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0D35C" w14:textId="648B6A13" w:rsidR="00DD7B87" w:rsidRPr="00901194" w:rsidRDefault="00884F05" w:rsidP="006459EB">
      <w:pPr>
        <w:spacing w:after="0" w:line="360" w:lineRule="auto"/>
        <w:jc w:val="center"/>
        <w:rPr>
          <w:rFonts w:cs="Times New Roman"/>
          <w:szCs w:val="24"/>
        </w:rPr>
      </w:pPr>
      <w:r w:rsidRPr="00901194">
        <w:rPr>
          <w:rFonts w:cs="Times New Roman"/>
          <w:szCs w:val="24"/>
        </w:rPr>
        <w:t>UNIVERSITY OF OKLAHOMA</w:t>
      </w:r>
    </w:p>
    <w:p w14:paraId="27A6CA72" w14:textId="77777777" w:rsidR="00884F05" w:rsidRPr="00901194" w:rsidRDefault="00884F05" w:rsidP="006459EB">
      <w:pPr>
        <w:spacing w:after="0" w:line="360" w:lineRule="auto"/>
        <w:jc w:val="center"/>
        <w:rPr>
          <w:rFonts w:cs="Times New Roman"/>
          <w:szCs w:val="24"/>
        </w:rPr>
      </w:pPr>
      <w:r w:rsidRPr="00901194">
        <w:rPr>
          <w:rFonts w:cs="Times New Roman"/>
          <w:szCs w:val="24"/>
        </w:rPr>
        <w:t>GRADUATE COLLEGE</w:t>
      </w:r>
    </w:p>
    <w:p w14:paraId="60FD027E" w14:textId="77777777" w:rsidR="00884F05" w:rsidRPr="00901194" w:rsidRDefault="00884F05" w:rsidP="006459EB">
      <w:pPr>
        <w:spacing w:after="0" w:line="240" w:lineRule="auto"/>
        <w:jc w:val="center"/>
        <w:rPr>
          <w:rFonts w:cs="Times New Roman"/>
          <w:szCs w:val="24"/>
        </w:rPr>
      </w:pPr>
    </w:p>
    <w:p w14:paraId="1B629024" w14:textId="77777777" w:rsidR="00884F05" w:rsidRPr="00901194" w:rsidRDefault="00884F05" w:rsidP="006459EB">
      <w:pPr>
        <w:spacing w:after="0" w:line="240" w:lineRule="auto"/>
        <w:jc w:val="center"/>
        <w:rPr>
          <w:rFonts w:cs="Times New Roman"/>
          <w:szCs w:val="24"/>
        </w:rPr>
      </w:pPr>
    </w:p>
    <w:p w14:paraId="55315EAC" w14:textId="77777777" w:rsidR="00884F05" w:rsidRPr="00901194" w:rsidRDefault="00884F05" w:rsidP="006459EB">
      <w:pPr>
        <w:spacing w:after="0" w:line="240" w:lineRule="auto"/>
        <w:jc w:val="center"/>
        <w:rPr>
          <w:rFonts w:cs="Times New Roman"/>
          <w:szCs w:val="24"/>
        </w:rPr>
      </w:pPr>
    </w:p>
    <w:p w14:paraId="2B1E7A6E" w14:textId="77777777" w:rsidR="00884F05" w:rsidRPr="00901194" w:rsidRDefault="00884F05" w:rsidP="006459EB">
      <w:pPr>
        <w:spacing w:after="0" w:line="240" w:lineRule="auto"/>
        <w:jc w:val="center"/>
        <w:rPr>
          <w:rFonts w:cs="Times New Roman"/>
          <w:szCs w:val="24"/>
        </w:rPr>
      </w:pPr>
    </w:p>
    <w:p w14:paraId="2F464299" w14:textId="77777777" w:rsidR="00884F05" w:rsidRPr="00901194" w:rsidRDefault="00884F05" w:rsidP="006459EB">
      <w:pPr>
        <w:spacing w:after="0" w:line="240" w:lineRule="auto"/>
        <w:jc w:val="center"/>
        <w:rPr>
          <w:rFonts w:cs="Times New Roman"/>
          <w:szCs w:val="24"/>
        </w:rPr>
      </w:pPr>
    </w:p>
    <w:p w14:paraId="7CB61583" w14:textId="77777777" w:rsidR="00884F05" w:rsidRPr="00901194" w:rsidRDefault="00884F05" w:rsidP="006459EB">
      <w:pPr>
        <w:spacing w:after="0" w:line="240" w:lineRule="auto"/>
        <w:jc w:val="center"/>
        <w:rPr>
          <w:rFonts w:cs="Times New Roman"/>
          <w:szCs w:val="24"/>
        </w:rPr>
      </w:pPr>
    </w:p>
    <w:p w14:paraId="526BAB98" w14:textId="77777777" w:rsidR="00884F05" w:rsidRPr="00901194" w:rsidRDefault="00884F05" w:rsidP="006459EB">
      <w:pPr>
        <w:spacing w:after="0" w:line="240" w:lineRule="auto"/>
        <w:jc w:val="center"/>
        <w:rPr>
          <w:rFonts w:cs="Times New Roman"/>
          <w:szCs w:val="24"/>
        </w:rPr>
      </w:pPr>
    </w:p>
    <w:p w14:paraId="0B583DFC" w14:textId="77777777" w:rsidR="00884F05" w:rsidRPr="00901194" w:rsidRDefault="00884F05" w:rsidP="006459EB">
      <w:pPr>
        <w:spacing w:after="0" w:line="240" w:lineRule="auto"/>
        <w:jc w:val="center"/>
        <w:rPr>
          <w:rFonts w:cs="Times New Roman"/>
          <w:szCs w:val="24"/>
        </w:rPr>
      </w:pPr>
    </w:p>
    <w:p w14:paraId="0AE211E8" w14:textId="77777777" w:rsidR="00884F05" w:rsidRPr="00901194" w:rsidRDefault="00884F05" w:rsidP="006459EB">
      <w:pPr>
        <w:spacing w:after="0" w:line="360" w:lineRule="auto"/>
        <w:jc w:val="center"/>
        <w:rPr>
          <w:rFonts w:cs="Times New Roman"/>
          <w:szCs w:val="24"/>
        </w:rPr>
      </w:pPr>
    </w:p>
    <w:p w14:paraId="0F1D4F44" w14:textId="53248353" w:rsidR="00884F05" w:rsidRPr="00901194" w:rsidRDefault="00C12632" w:rsidP="006459EB">
      <w:pPr>
        <w:spacing w:after="0" w:line="240" w:lineRule="auto"/>
        <w:jc w:val="center"/>
        <w:rPr>
          <w:rFonts w:cs="Times New Roman"/>
          <w:szCs w:val="24"/>
        </w:rPr>
      </w:pPr>
      <w:r w:rsidRPr="00901194">
        <w:rPr>
          <w:rFonts w:cs="Times New Roman"/>
          <w:b/>
          <w:bCs/>
          <w:szCs w:val="24"/>
          <w:u w:val="single"/>
        </w:rPr>
        <w:t>Studies in Anthropological Metabolomic and Microbial Approaches</w:t>
      </w:r>
    </w:p>
    <w:p w14:paraId="4AF1841E" w14:textId="2E6654D5" w:rsidR="00884F05" w:rsidRPr="00901194" w:rsidRDefault="00884F05" w:rsidP="006459EB">
      <w:pPr>
        <w:spacing w:after="0" w:line="240" w:lineRule="auto"/>
        <w:jc w:val="center"/>
        <w:rPr>
          <w:rFonts w:cs="Times New Roman"/>
          <w:szCs w:val="24"/>
        </w:rPr>
      </w:pPr>
    </w:p>
    <w:p w14:paraId="26D1325E" w14:textId="42860276" w:rsidR="00884F05" w:rsidRPr="00901194" w:rsidRDefault="00884F05" w:rsidP="006459EB">
      <w:pPr>
        <w:spacing w:after="0" w:line="240" w:lineRule="auto"/>
        <w:jc w:val="center"/>
        <w:rPr>
          <w:rFonts w:cs="Times New Roman"/>
          <w:szCs w:val="24"/>
        </w:rPr>
      </w:pPr>
    </w:p>
    <w:p w14:paraId="2A193931" w14:textId="24B3DBDA" w:rsidR="00884F05" w:rsidRPr="00901194" w:rsidRDefault="00884F05" w:rsidP="006459EB">
      <w:pPr>
        <w:spacing w:after="0" w:line="240" w:lineRule="auto"/>
        <w:jc w:val="center"/>
        <w:rPr>
          <w:rFonts w:cs="Times New Roman"/>
          <w:szCs w:val="24"/>
        </w:rPr>
      </w:pPr>
    </w:p>
    <w:p w14:paraId="230605E0" w14:textId="391C2762" w:rsidR="00884F05" w:rsidRPr="00901194" w:rsidRDefault="00884F05" w:rsidP="006459EB">
      <w:pPr>
        <w:spacing w:after="0" w:line="240" w:lineRule="auto"/>
        <w:jc w:val="center"/>
        <w:rPr>
          <w:rFonts w:cs="Times New Roman"/>
          <w:szCs w:val="24"/>
        </w:rPr>
      </w:pPr>
    </w:p>
    <w:p w14:paraId="081FBF9C" w14:textId="45067174" w:rsidR="00884F05" w:rsidRPr="00901194" w:rsidRDefault="00884F05" w:rsidP="006459EB">
      <w:pPr>
        <w:spacing w:after="0" w:line="240" w:lineRule="auto"/>
        <w:jc w:val="center"/>
        <w:rPr>
          <w:rFonts w:cs="Times New Roman"/>
          <w:szCs w:val="24"/>
        </w:rPr>
      </w:pPr>
    </w:p>
    <w:p w14:paraId="233B484F" w14:textId="3451B805" w:rsidR="00884F05" w:rsidRPr="00901194" w:rsidRDefault="00884F05" w:rsidP="006459EB">
      <w:pPr>
        <w:spacing w:after="0" w:line="240" w:lineRule="auto"/>
        <w:jc w:val="center"/>
        <w:rPr>
          <w:rFonts w:cs="Times New Roman"/>
          <w:szCs w:val="24"/>
        </w:rPr>
      </w:pPr>
    </w:p>
    <w:p w14:paraId="3E0D6FEF" w14:textId="248BEEAE" w:rsidR="00884F05" w:rsidRPr="00901194" w:rsidRDefault="00884F05" w:rsidP="006459EB">
      <w:pPr>
        <w:spacing w:after="0" w:line="240" w:lineRule="auto"/>
        <w:jc w:val="center"/>
        <w:rPr>
          <w:rFonts w:cs="Times New Roman"/>
          <w:szCs w:val="24"/>
        </w:rPr>
      </w:pPr>
    </w:p>
    <w:p w14:paraId="27504E4C" w14:textId="4ED87F38" w:rsidR="00884F05" w:rsidRPr="00901194" w:rsidRDefault="00884F05" w:rsidP="006459EB">
      <w:pPr>
        <w:spacing w:after="0" w:line="240" w:lineRule="auto"/>
        <w:jc w:val="center"/>
        <w:rPr>
          <w:rFonts w:cs="Times New Roman"/>
          <w:szCs w:val="24"/>
        </w:rPr>
      </w:pPr>
    </w:p>
    <w:p w14:paraId="6295575E" w14:textId="16458AB1" w:rsidR="00884F05" w:rsidRPr="00901194" w:rsidRDefault="00884F05" w:rsidP="006459EB">
      <w:pPr>
        <w:spacing w:after="0" w:line="240" w:lineRule="auto"/>
        <w:jc w:val="center"/>
        <w:rPr>
          <w:rFonts w:cs="Times New Roman"/>
          <w:szCs w:val="24"/>
        </w:rPr>
      </w:pPr>
    </w:p>
    <w:p w14:paraId="04E65E1A" w14:textId="14B4CEF5" w:rsidR="00884F05" w:rsidRPr="00901194" w:rsidRDefault="00884F05" w:rsidP="006459EB">
      <w:pPr>
        <w:spacing w:after="0" w:line="240" w:lineRule="auto"/>
        <w:jc w:val="center"/>
        <w:rPr>
          <w:rFonts w:cs="Times New Roman"/>
          <w:szCs w:val="24"/>
        </w:rPr>
      </w:pPr>
    </w:p>
    <w:p w14:paraId="777459BA" w14:textId="45A334C6" w:rsidR="00884F05" w:rsidRPr="00901194" w:rsidRDefault="00884F05" w:rsidP="006459EB">
      <w:pPr>
        <w:spacing w:after="0" w:line="240" w:lineRule="auto"/>
        <w:jc w:val="center"/>
        <w:rPr>
          <w:rFonts w:cs="Times New Roman"/>
          <w:szCs w:val="24"/>
        </w:rPr>
      </w:pPr>
    </w:p>
    <w:p w14:paraId="212C61AE" w14:textId="3EAC0A35" w:rsidR="00884F05" w:rsidRPr="00901194" w:rsidRDefault="00884F05" w:rsidP="006459EB">
      <w:pPr>
        <w:spacing w:after="0" w:line="240" w:lineRule="auto"/>
        <w:jc w:val="center"/>
        <w:rPr>
          <w:rFonts w:cs="Times New Roman"/>
          <w:szCs w:val="24"/>
        </w:rPr>
      </w:pPr>
    </w:p>
    <w:p w14:paraId="69105D5B" w14:textId="77777777" w:rsidR="00884F05" w:rsidRPr="00901194" w:rsidRDefault="00884F05" w:rsidP="006459EB">
      <w:pPr>
        <w:spacing w:after="0" w:line="360" w:lineRule="auto"/>
        <w:jc w:val="center"/>
        <w:rPr>
          <w:rFonts w:cs="Times New Roman"/>
          <w:szCs w:val="24"/>
        </w:rPr>
      </w:pPr>
    </w:p>
    <w:p w14:paraId="2E802595" w14:textId="42C1079F" w:rsidR="00884F05" w:rsidRPr="00901194" w:rsidRDefault="00884F05" w:rsidP="006459EB">
      <w:pPr>
        <w:spacing w:after="0" w:line="360" w:lineRule="auto"/>
        <w:jc w:val="center"/>
        <w:rPr>
          <w:rFonts w:cs="Times New Roman"/>
          <w:szCs w:val="24"/>
        </w:rPr>
      </w:pPr>
      <w:r w:rsidRPr="00901194">
        <w:rPr>
          <w:rFonts w:cs="Times New Roman"/>
          <w:szCs w:val="24"/>
        </w:rPr>
        <w:t>A DISSERTATION</w:t>
      </w:r>
    </w:p>
    <w:p w14:paraId="410569D7" w14:textId="48F71EDE" w:rsidR="00884F05" w:rsidRPr="00901194" w:rsidRDefault="00884F05" w:rsidP="006459EB">
      <w:pPr>
        <w:spacing w:after="0" w:line="360" w:lineRule="auto"/>
        <w:jc w:val="center"/>
        <w:rPr>
          <w:rFonts w:cs="Times New Roman"/>
          <w:szCs w:val="24"/>
        </w:rPr>
      </w:pPr>
      <w:r w:rsidRPr="00901194">
        <w:rPr>
          <w:rFonts w:cs="Times New Roman"/>
          <w:szCs w:val="24"/>
        </w:rPr>
        <w:t>SUBMITTED TO THE GRADUATE FACULTY</w:t>
      </w:r>
    </w:p>
    <w:p w14:paraId="4B67FB92" w14:textId="3CD9DF79" w:rsidR="00884F05" w:rsidRPr="00901194" w:rsidRDefault="00884F05" w:rsidP="006459EB">
      <w:pPr>
        <w:spacing w:after="0" w:line="360" w:lineRule="auto"/>
        <w:jc w:val="center"/>
        <w:rPr>
          <w:rFonts w:cs="Times New Roman"/>
          <w:szCs w:val="24"/>
        </w:rPr>
      </w:pPr>
      <w:r w:rsidRPr="00901194">
        <w:rPr>
          <w:rFonts w:cs="Times New Roman"/>
          <w:szCs w:val="24"/>
        </w:rPr>
        <w:t>in partial fulfillment of the requirements for the</w:t>
      </w:r>
    </w:p>
    <w:p w14:paraId="5DA74DD7" w14:textId="2628B015" w:rsidR="00884F05" w:rsidRPr="00901194" w:rsidRDefault="00884F05" w:rsidP="006459EB">
      <w:pPr>
        <w:spacing w:after="0" w:line="360" w:lineRule="auto"/>
        <w:jc w:val="center"/>
        <w:rPr>
          <w:rFonts w:cs="Times New Roman"/>
          <w:szCs w:val="24"/>
        </w:rPr>
      </w:pPr>
      <w:r w:rsidRPr="00901194">
        <w:rPr>
          <w:rFonts w:cs="Times New Roman"/>
          <w:szCs w:val="24"/>
        </w:rPr>
        <w:t>Degree of</w:t>
      </w:r>
    </w:p>
    <w:p w14:paraId="01F7E761" w14:textId="0D5EF821" w:rsidR="00884F05" w:rsidRPr="00901194" w:rsidRDefault="00884F05" w:rsidP="006459EB">
      <w:pPr>
        <w:spacing w:after="0" w:line="360" w:lineRule="auto"/>
        <w:jc w:val="center"/>
        <w:rPr>
          <w:rFonts w:cs="Times New Roman"/>
          <w:szCs w:val="24"/>
        </w:rPr>
      </w:pPr>
      <w:r w:rsidRPr="00901194">
        <w:rPr>
          <w:rFonts w:cs="Times New Roman"/>
          <w:szCs w:val="24"/>
        </w:rPr>
        <w:t>DOCTOR OF PHILOSOPHY</w:t>
      </w:r>
    </w:p>
    <w:p w14:paraId="0F61D54B" w14:textId="374066C7" w:rsidR="00884F05" w:rsidRPr="00901194" w:rsidRDefault="00884F05" w:rsidP="006459EB">
      <w:pPr>
        <w:spacing w:after="0" w:line="240" w:lineRule="auto"/>
        <w:jc w:val="center"/>
        <w:rPr>
          <w:rFonts w:cs="Times New Roman"/>
          <w:szCs w:val="24"/>
        </w:rPr>
      </w:pPr>
    </w:p>
    <w:p w14:paraId="3CB3B38A" w14:textId="54FB8767" w:rsidR="00884F05" w:rsidRPr="00901194" w:rsidRDefault="00884F05" w:rsidP="00884F05">
      <w:pPr>
        <w:spacing w:after="0" w:line="240" w:lineRule="auto"/>
        <w:jc w:val="center"/>
        <w:rPr>
          <w:rFonts w:cs="Times New Roman"/>
          <w:szCs w:val="24"/>
        </w:rPr>
      </w:pPr>
    </w:p>
    <w:p w14:paraId="50866531" w14:textId="1F662482" w:rsidR="00884F05" w:rsidRPr="00901194" w:rsidRDefault="00884F05" w:rsidP="00884F05">
      <w:pPr>
        <w:spacing w:after="0" w:line="240" w:lineRule="auto"/>
        <w:jc w:val="center"/>
        <w:rPr>
          <w:rFonts w:cs="Times New Roman"/>
          <w:szCs w:val="24"/>
        </w:rPr>
      </w:pPr>
    </w:p>
    <w:p w14:paraId="2C934135" w14:textId="283947A7" w:rsidR="00884F05" w:rsidRPr="00901194" w:rsidRDefault="00884F05" w:rsidP="00884F05">
      <w:pPr>
        <w:spacing w:after="0" w:line="240" w:lineRule="auto"/>
        <w:jc w:val="center"/>
        <w:rPr>
          <w:rFonts w:cs="Times New Roman"/>
          <w:szCs w:val="24"/>
        </w:rPr>
      </w:pPr>
    </w:p>
    <w:p w14:paraId="50535C45" w14:textId="77777777" w:rsidR="00884F05" w:rsidRPr="00901194" w:rsidRDefault="00884F05" w:rsidP="00884F05">
      <w:pPr>
        <w:spacing w:after="0" w:line="240" w:lineRule="auto"/>
        <w:jc w:val="center"/>
        <w:rPr>
          <w:rFonts w:cs="Times New Roman"/>
          <w:szCs w:val="24"/>
        </w:rPr>
      </w:pPr>
    </w:p>
    <w:p w14:paraId="3CE8E9FC" w14:textId="132158D1" w:rsidR="00884F05" w:rsidRPr="00901194" w:rsidRDefault="00884F05" w:rsidP="00884F05">
      <w:pPr>
        <w:spacing w:after="0" w:line="240" w:lineRule="auto"/>
        <w:jc w:val="center"/>
        <w:rPr>
          <w:rFonts w:cs="Times New Roman"/>
          <w:szCs w:val="24"/>
        </w:rPr>
      </w:pPr>
      <w:r w:rsidRPr="00901194">
        <w:rPr>
          <w:rFonts w:cs="Times New Roman"/>
          <w:szCs w:val="24"/>
        </w:rPr>
        <w:t>By</w:t>
      </w:r>
    </w:p>
    <w:p w14:paraId="0159123C" w14:textId="77777777" w:rsidR="00884F05" w:rsidRPr="00901194" w:rsidRDefault="00884F05" w:rsidP="00884F05">
      <w:pPr>
        <w:spacing w:after="0" w:line="240" w:lineRule="auto"/>
        <w:jc w:val="center"/>
        <w:rPr>
          <w:rFonts w:cs="Times New Roman"/>
          <w:szCs w:val="24"/>
        </w:rPr>
      </w:pPr>
    </w:p>
    <w:p w14:paraId="34028599" w14:textId="46F90A61" w:rsidR="00884F05" w:rsidRPr="00901194" w:rsidRDefault="00884F05" w:rsidP="00884F05">
      <w:pPr>
        <w:spacing w:after="0" w:line="240" w:lineRule="auto"/>
        <w:jc w:val="center"/>
        <w:rPr>
          <w:rFonts w:cs="Times New Roman"/>
          <w:szCs w:val="24"/>
        </w:rPr>
      </w:pPr>
      <w:r w:rsidRPr="00901194">
        <w:rPr>
          <w:rFonts w:cs="Times New Roman"/>
          <w:szCs w:val="24"/>
        </w:rPr>
        <w:t>JACOB J. HAFFNER</w:t>
      </w:r>
    </w:p>
    <w:p w14:paraId="5B100035" w14:textId="3AF4C45F" w:rsidR="00884F05" w:rsidRPr="00901194" w:rsidRDefault="00884F05" w:rsidP="00884F05">
      <w:pPr>
        <w:spacing w:after="0" w:line="240" w:lineRule="auto"/>
        <w:jc w:val="center"/>
        <w:rPr>
          <w:rFonts w:cs="Times New Roman"/>
          <w:szCs w:val="24"/>
        </w:rPr>
      </w:pPr>
      <w:r w:rsidRPr="00901194">
        <w:rPr>
          <w:rFonts w:cs="Times New Roman"/>
          <w:szCs w:val="24"/>
        </w:rPr>
        <w:t>Norman, Oklahoma</w:t>
      </w:r>
    </w:p>
    <w:p w14:paraId="5B1E3E96" w14:textId="4460AFB6" w:rsidR="00884F05" w:rsidRPr="00901194" w:rsidRDefault="00884F05" w:rsidP="00884F05">
      <w:pPr>
        <w:spacing w:after="0" w:line="240" w:lineRule="auto"/>
        <w:jc w:val="center"/>
        <w:rPr>
          <w:rFonts w:cs="Times New Roman"/>
          <w:szCs w:val="24"/>
        </w:rPr>
      </w:pPr>
      <w:r w:rsidRPr="00901194">
        <w:rPr>
          <w:rFonts w:cs="Times New Roman"/>
          <w:szCs w:val="24"/>
        </w:rPr>
        <w:t>2023</w:t>
      </w:r>
    </w:p>
    <w:p w14:paraId="261254FA" w14:textId="77777777" w:rsidR="005C1FA5" w:rsidRPr="00901194" w:rsidRDefault="005C1FA5" w:rsidP="00E817F2">
      <w:pPr>
        <w:spacing w:after="0"/>
        <w:jc w:val="center"/>
        <w:rPr>
          <w:rFonts w:cs="Times New Roman"/>
          <w:b/>
          <w:bCs/>
          <w:szCs w:val="24"/>
          <w:u w:val="single"/>
        </w:rPr>
      </w:pPr>
    </w:p>
    <w:p w14:paraId="4BDD8C54" w14:textId="77777777" w:rsidR="00796AC1" w:rsidRPr="00901194" w:rsidRDefault="00796AC1" w:rsidP="00796AC1">
      <w:pPr>
        <w:spacing w:after="0" w:line="240" w:lineRule="auto"/>
        <w:jc w:val="center"/>
        <w:rPr>
          <w:rFonts w:cs="Times New Roman"/>
          <w:szCs w:val="24"/>
        </w:rPr>
      </w:pPr>
      <w:r w:rsidRPr="00901194">
        <w:rPr>
          <w:rFonts w:cs="Times New Roman"/>
          <w:b/>
          <w:bCs/>
          <w:szCs w:val="24"/>
          <w:u w:val="single"/>
        </w:rPr>
        <w:lastRenderedPageBreak/>
        <w:t>Studies in Anthropological Metabolomic and Microbial Approaches</w:t>
      </w:r>
    </w:p>
    <w:p w14:paraId="4B6C36DE" w14:textId="77777777" w:rsidR="006459EB" w:rsidRPr="00901194" w:rsidRDefault="006459EB" w:rsidP="00D41158">
      <w:pPr>
        <w:spacing w:after="0"/>
        <w:rPr>
          <w:rFonts w:cs="Times New Roman"/>
          <w:szCs w:val="24"/>
        </w:rPr>
      </w:pPr>
    </w:p>
    <w:p w14:paraId="2667BF63" w14:textId="104F408E" w:rsidR="006459EB" w:rsidRPr="00901194" w:rsidRDefault="006459EB" w:rsidP="00E817F2">
      <w:pPr>
        <w:spacing w:after="0"/>
        <w:jc w:val="center"/>
        <w:rPr>
          <w:rFonts w:cs="Times New Roman"/>
          <w:szCs w:val="24"/>
        </w:rPr>
      </w:pPr>
      <w:r w:rsidRPr="00901194">
        <w:rPr>
          <w:rFonts w:cs="Times New Roman"/>
          <w:szCs w:val="24"/>
        </w:rPr>
        <w:t>A DISSERTATION APPROVED FOR THE</w:t>
      </w:r>
    </w:p>
    <w:p w14:paraId="0A6FC00F" w14:textId="77777777" w:rsidR="006459EB" w:rsidRPr="00901194" w:rsidRDefault="006459EB" w:rsidP="00E817F2">
      <w:pPr>
        <w:spacing w:after="0"/>
        <w:jc w:val="center"/>
        <w:rPr>
          <w:rFonts w:cs="Times New Roman"/>
          <w:szCs w:val="24"/>
        </w:rPr>
      </w:pPr>
      <w:r w:rsidRPr="00901194">
        <w:rPr>
          <w:rFonts w:cs="Times New Roman"/>
          <w:szCs w:val="24"/>
        </w:rPr>
        <w:t>DEPARTMENT OF ANTHROPOLOGY</w:t>
      </w:r>
    </w:p>
    <w:p w14:paraId="52A3F0DD" w14:textId="77777777" w:rsidR="006459EB" w:rsidRPr="00901194" w:rsidRDefault="006459EB" w:rsidP="00D41158">
      <w:pPr>
        <w:spacing w:after="0"/>
        <w:rPr>
          <w:rFonts w:cs="Times New Roman"/>
          <w:szCs w:val="24"/>
        </w:rPr>
      </w:pPr>
    </w:p>
    <w:p w14:paraId="4B78C2E5" w14:textId="77777777" w:rsidR="006459EB" w:rsidRPr="00901194" w:rsidRDefault="006459EB" w:rsidP="00E817F2">
      <w:pPr>
        <w:spacing w:after="0"/>
        <w:jc w:val="center"/>
        <w:rPr>
          <w:rFonts w:cs="Times New Roman"/>
          <w:szCs w:val="24"/>
        </w:rPr>
      </w:pPr>
    </w:p>
    <w:p w14:paraId="24FE5A2A" w14:textId="77777777" w:rsidR="006459EB" w:rsidRPr="00901194" w:rsidRDefault="006459EB" w:rsidP="00E817F2">
      <w:pPr>
        <w:spacing w:after="0"/>
        <w:jc w:val="center"/>
        <w:rPr>
          <w:rFonts w:cs="Times New Roman"/>
          <w:szCs w:val="24"/>
        </w:rPr>
      </w:pPr>
    </w:p>
    <w:p w14:paraId="3E2BDF7C" w14:textId="77777777" w:rsidR="006459EB" w:rsidRPr="00901194" w:rsidRDefault="006459EB" w:rsidP="00E817F2">
      <w:pPr>
        <w:spacing w:after="0"/>
        <w:jc w:val="center"/>
        <w:rPr>
          <w:rFonts w:cs="Times New Roman"/>
          <w:szCs w:val="24"/>
        </w:rPr>
      </w:pPr>
    </w:p>
    <w:p w14:paraId="34C3A5FC" w14:textId="77777777" w:rsidR="006459EB" w:rsidRPr="00901194" w:rsidRDefault="006459EB" w:rsidP="00E817F2">
      <w:pPr>
        <w:spacing w:after="0"/>
        <w:jc w:val="center"/>
        <w:rPr>
          <w:rFonts w:cs="Times New Roman"/>
          <w:szCs w:val="24"/>
        </w:rPr>
      </w:pPr>
    </w:p>
    <w:p w14:paraId="757FE892" w14:textId="77777777" w:rsidR="006459EB" w:rsidRPr="00901194" w:rsidRDefault="006459EB" w:rsidP="00E817F2">
      <w:pPr>
        <w:spacing w:after="0"/>
        <w:jc w:val="center"/>
        <w:rPr>
          <w:rFonts w:cs="Times New Roman"/>
          <w:szCs w:val="24"/>
        </w:rPr>
      </w:pPr>
    </w:p>
    <w:p w14:paraId="6B90F3E2" w14:textId="77777777" w:rsidR="006459EB" w:rsidRPr="00901194" w:rsidRDefault="006459EB" w:rsidP="00E817F2">
      <w:pPr>
        <w:spacing w:after="0"/>
        <w:jc w:val="center"/>
        <w:rPr>
          <w:rFonts w:cs="Times New Roman"/>
          <w:szCs w:val="24"/>
        </w:rPr>
      </w:pPr>
      <w:r w:rsidRPr="00901194">
        <w:rPr>
          <w:rFonts w:cs="Times New Roman"/>
          <w:szCs w:val="24"/>
        </w:rPr>
        <w:t>BY THE COMMITTEE CONSISTING OF</w:t>
      </w:r>
    </w:p>
    <w:p w14:paraId="5E120D6D" w14:textId="69CE10F7" w:rsidR="006459EB" w:rsidRPr="00901194" w:rsidRDefault="006459EB" w:rsidP="00D41158">
      <w:pPr>
        <w:rPr>
          <w:rFonts w:cs="Times New Roman"/>
          <w:szCs w:val="24"/>
        </w:rPr>
      </w:pPr>
    </w:p>
    <w:p w14:paraId="216DBA29" w14:textId="77777777" w:rsidR="00D41158" w:rsidRPr="00901194" w:rsidRDefault="00D41158" w:rsidP="00D41158">
      <w:pPr>
        <w:rPr>
          <w:rFonts w:cs="Times New Roman"/>
          <w:szCs w:val="24"/>
        </w:rPr>
      </w:pPr>
    </w:p>
    <w:p w14:paraId="4778CB61" w14:textId="759A01D6" w:rsidR="006459EB" w:rsidRPr="00901194" w:rsidRDefault="006459EB" w:rsidP="00E817F2">
      <w:pPr>
        <w:spacing w:after="0"/>
        <w:jc w:val="right"/>
        <w:rPr>
          <w:rFonts w:cs="Times New Roman"/>
          <w:szCs w:val="24"/>
        </w:rPr>
      </w:pPr>
      <w:r w:rsidRPr="00901194">
        <w:rPr>
          <w:rFonts w:cs="Times New Roman"/>
          <w:szCs w:val="24"/>
        </w:rPr>
        <w:t>Dr. Cecil M. Lewis, Jr., Chair</w:t>
      </w:r>
    </w:p>
    <w:p w14:paraId="001F2A79" w14:textId="77777777" w:rsidR="006459EB" w:rsidRPr="00901194" w:rsidRDefault="006459EB" w:rsidP="00E817F2">
      <w:pPr>
        <w:spacing w:after="0"/>
        <w:jc w:val="right"/>
        <w:rPr>
          <w:rFonts w:cs="Times New Roman"/>
          <w:szCs w:val="24"/>
        </w:rPr>
      </w:pPr>
    </w:p>
    <w:p w14:paraId="46AD1C74" w14:textId="1A208750" w:rsidR="006459EB" w:rsidRPr="00901194" w:rsidRDefault="006459EB" w:rsidP="00E817F2">
      <w:pPr>
        <w:spacing w:after="0"/>
        <w:jc w:val="right"/>
        <w:rPr>
          <w:rFonts w:cs="Times New Roman"/>
          <w:szCs w:val="24"/>
        </w:rPr>
      </w:pPr>
      <w:r w:rsidRPr="00901194">
        <w:rPr>
          <w:rFonts w:cs="Times New Roman"/>
          <w:szCs w:val="24"/>
        </w:rPr>
        <w:t>Dr. Jessica Cerezo-Román</w:t>
      </w:r>
    </w:p>
    <w:p w14:paraId="7A296654" w14:textId="77777777" w:rsidR="006459EB" w:rsidRPr="00901194" w:rsidRDefault="006459EB" w:rsidP="00E817F2">
      <w:pPr>
        <w:spacing w:after="0"/>
        <w:jc w:val="right"/>
        <w:rPr>
          <w:rFonts w:cs="Times New Roman"/>
          <w:szCs w:val="24"/>
        </w:rPr>
      </w:pPr>
    </w:p>
    <w:p w14:paraId="2147AB17" w14:textId="14AB299D" w:rsidR="006459EB" w:rsidRPr="00901194" w:rsidRDefault="006459EB" w:rsidP="00E817F2">
      <w:pPr>
        <w:spacing w:after="0"/>
        <w:jc w:val="right"/>
        <w:rPr>
          <w:rFonts w:cs="Times New Roman"/>
          <w:szCs w:val="24"/>
        </w:rPr>
      </w:pPr>
      <w:r w:rsidRPr="00901194">
        <w:rPr>
          <w:rFonts w:cs="Times New Roman"/>
          <w:szCs w:val="24"/>
        </w:rPr>
        <w:t>Dr. Thomas Fenn</w:t>
      </w:r>
    </w:p>
    <w:p w14:paraId="557B4D86" w14:textId="77777777" w:rsidR="006459EB" w:rsidRPr="00901194" w:rsidRDefault="006459EB" w:rsidP="00E817F2">
      <w:pPr>
        <w:spacing w:after="0"/>
        <w:jc w:val="right"/>
        <w:rPr>
          <w:rFonts w:cs="Times New Roman"/>
          <w:szCs w:val="24"/>
        </w:rPr>
      </w:pPr>
    </w:p>
    <w:p w14:paraId="7659E20C" w14:textId="4D63CDE3" w:rsidR="006459EB" w:rsidRPr="00901194" w:rsidRDefault="006459EB" w:rsidP="00E817F2">
      <w:pPr>
        <w:spacing w:after="0"/>
        <w:jc w:val="right"/>
        <w:rPr>
          <w:rFonts w:cs="Times New Roman"/>
          <w:szCs w:val="24"/>
        </w:rPr>
      </w:pPr>
      <w:r w:rsidRPr="00901194">
        <w:rPr>
          <w:rFonts w:cs="Times New Roman"/>
          <w:szCs w:val="24"/>
        </w:rPr>
        <w:t>Dr. Luca Fornelli</w:t>
      </w:r>
    </w:p>
    <w:p w14:paraId="7141D46D" w14:textId="77777777" w:rsidR="006459EB" w:rsidRPr="00901194" w:rsidRDefault="006459EB" w:rsidP="00E817F2">
      <w:pPr>
        <w:spacing w:after="0"/>
        <w:jc w:val="right"/>
        <w:rPr>
          <w:rFonts w:cs="Times New Roman"/>
          <w:szCs w:val="24"/>
        </w:rPr>
      </w:pPr>
      <w:r w:rsidRPr="00901194">
        <w:rPr>
          <w:rFonts w:cs="Times New Roman"/>
          <w:szCs w:val="24"/>
        </w:rPr>
        <w:t xml:space="preserve"> </w:t>
      </w:r>
    </w:p>
    <w:p w14:paraId="057F535C" w14:textId="77777777" w:rsidR="006459EB" w:rsidRPr="00901194" w:rsidRDefault="006459EB" w:rsidP="00E817F2">
      <w:pPr>
        <w:spacing w:after="0"/>
        <w:jc w:val="right"/>
        <w:rPr>
          <w:rFonts w:cs="Times New Roman"/>
          <w:szCs w:val="24"/>
        </w:rPr>
      </w:pPr>
      <w:r w:rsidRPr="00901194">
        <w:rPr>
          <w:rFonts w:cs="Times New Roman"/>
          <w:szCs w:val="24"/>
        </w:rPr>
        <w:t>Dr. Krithivasan Sankaranarayanan</w:t>
      </w:r>
    </w:p>
    <w:p w14:paraId="264BC8BD" w14:textId="2C45369A" w:rsidR="00884F05" w:rsidRPr="00901194" w:rsidRDefault="00884F05" w:rsidP="00301D07">
      <w:pPr>
        <w:rPr>
          <w:rFonts w:cs="Times New Roman"/>
          <w:szCs w:val="24"/>
        </w:rPr>
      </w:pPr>
    </w:p>
    <w:p w14:paraId="764C8E2E" w14:textId="71F76B8D" w:rsidR="00301D07" w:rsidRPr="00901194" w:rsidRDefault="00301D07" w:rsidP="00301D07">
      <w:pPr>
        <w:rPr>
          <w:rFonts w:cs="Times New Roman"/>
          <w:szCs w:val="24"/>
        </w:rPr>
      </w:pPr>
    </w:p>
    <w:p w14:paraId="3BE5EF58" w14:textId="7F1BC4D4" w:rsidR="00301D07" w:rsidRPr="00901194" w:rsidRDefault="00301D07" w:rsidP="00301D07">
      <w:pPr>
        <w:rPr>
          <w:rFonts w:cs="Times New Roman"/>
          <w:szCs w:val="24"/>
        </w:rPr>
      </w:pPr>
    </w:p>
    <w:p w14:paraId="0DA6BE07" w14:textId="50D4DD53" w:rsidR="00301D07" w:rsidRPr="00901194" w:rsidRDefault="00301D07" w:rsidP="00301D07">
      <w:pPr>
        <w:rPr>
          <w:rFonts w:cs="Times New Roman"/>
          <w:szCs w:val="24"/>
        </w:rPr>
      </w:pPr>
    </w:p>
    <w:p w14:paraId="113B8E46" w14:textId="34CDD418" w:rsidR="00301D07" w:rsidRPr="00901194" w:rsidRDefault="00301D07" w:rsidP="00301D07">
      <w:pPr>
        <w:rPr>
          <w:rFonts w:cs="Times New Roman"/>
          <w:szCs w:val="24"/>
        </w:rPr>
      </w:pPr>
    </w:p>
    <w:p w14:paraId="574E6D31" w14:textId="76BFCDC9" w:rsidR="00301D07" w:rsidRPr="00901194" w:rsidRDefault="00301D07" w:rsidP="00301D07">
      <w:pPr>
        <w:rPr>
          <w:rFonts w:cs="Times New Roman"/>
          <w:szCs w:val="24"/>
        </w:rPr>
      </w:pPr>
    </w:p>
    <w:p w14:paraId="374681D2" w14:textId="26EF1B0D" w:rsidR="00301D07" w:rsidRPr="00901194" w:rsidRDefault="00301D07" w:rsidP="00301D07">
      <w:pPr>
        <w:rPr>
          <w:rFonts w:cs="Times New Roman"/>
          <w:szCs w:val="24"/>
        </w:rPr>
      </w:pPr>
    </w:p>
    <w:p w14:paraId="3DED7952" w14:textId="5A541016" w:rsidR="00301D07" w:rsidRPr="00901194" w:rsidRDefault="00301D07" w:rsidP="00301D07">
      <w:pPr>
        <w:rPr>
          <w:rFonts w:cs="Times New Roman"/>
          <w:szCs w:val="24"/>
        </w:rPr>
      </w:pPr>
    </w:p>
    <w:p w14:paraId="65F9F8E7" w14:textId="41CE98C0" w:rsidR="00301D07" w:rsidRPr="00901194" w:rsidRDefault="00301D07" w:rsidP="00301D07">
      <w:pPr>
        <w:rPr>
          <w:rFonts w:cs="Times New Roman"/>
          <w:szCs w:val="24"/>
        </w:rPr>
      </w:pPr>
    </w:p>
    <w:p w14:paraId="2DC6C7A1" w14:textId="3DE54913" w:rsidR="00301D07" w:rsidRPr="00901194" w:rsidRDefault="00301D07" w:rsidP="00301D07">
      <w:pPr>
        <w:rPr>
          <w:rFonts w:cs="Times New Roman"/>
          <w:szCs w:val="24"/>
        </w:rPr>
      </w:pPr>
    </w:p>
    <w:p w14:paraId="203132B9" w14:textId="1A73AE5D" w:rsidR="00301D07" w:rsidRPr="00901194" w:rsidRDefault="00301D07" w:rsidP="00301D07">
      <w:pPr>
        <w:rPr>
          <w:rFonts w:cs="Times New Roman"/>
          <w:szCs w:val="24"/>
        </w:rPr>
      </w:pPr>
    </w:p>
    <w:p w14:paraId="2097E518" w14:textId="04EE40BC" w:rsidR="00301D07" w:rsidRPr="00901194" w:rsidRDefault="00301D07" w:rsidP="00301D07">
      <w:pPr>
        <w:rPr>
          <w:rFonts w:cs="Times New Roman"/>
          <w:szCs w:val="24"/>
        </w:rPr>
      </w:pPr>
    </w:p>
    <w:p w14:paraId="63B9CFF2" w14:textId="2522EBD8" w:rsidR="00E817F2" w:rsidRPr="00901194" w:rsidRDefault="00E817F2" w:rsidP="00FA5578">
      <w:pPr>
        <w:tabs>
          <w:tab w:val="left" w:pos="6855"/>
        </w:tabs>
        <w:rPr>
          <w:rFonts w:cs="Times New Roman"/>
          <w:szCs w:val="24"/>
        </w:rPr>
      </w:pPr>
    </w:p>
    <w:p w14:paraId="358F450C" w14:textId="5458BCF8" w:rsidR="00E817F2" w:rsidRPr="00901194" w:rsidRDefault="00E817F2" w:rsidP="00301D07">
      <w:pPr>
        <w:rPr>
          <w:rFonts w:cs="Times New Roman"/>
          <w:szCs w:val="24"/>
        </w:rPr>
      </w:pPr>
    </w:p>
    <w:p w14:paraId="6B56473D" w14:textId="67F7E47F" w:rsidR="00E817F2" w:rsidRPr="00901194" w:rsidRDefault="00E817F2" w:rsidP="00301D07">
      <w:pPr>
        <w:rPr>
          <w:rFonts w:cs="Times New Roman"/>
          <w:szCs w:val="24"/>
        </w:rPr>
      </w:pPr>
    </w:p>
    <w:p w14:paraId="2C05C75C" w14:textId="74BDEB7C" w:rsidR="00E817F2" w:rsidRPr="00901194" w:rsidRDefault="00E817F2" w:rsidP="00301D07">
      <w:pPr>
        <w:rPr>
          <w:rFonts w:cs="Times New Roman"/>
          <w:szCs w:val="24"/>
        </w:rPr>
      </w:pPr>
    </w:p>
    <w:p w14:paraId="0B3B8348" w14:textId="77777777" w:rsidR="00E817F2" w:rsidRPr="00901194" w:rsidRDefault="00E817F2" w:rsidP="00301D07">
      <w:pPr>
        <w:rPr>
          <w:rFonts w:cs="Times New Roman"/>
          <w:szCs w:val="24"/>
        </w:rPr>
      </w:pPr>
    </w:p>
    <w:p w14:paraId="020297DE" w14:textId="4E907231" w:rsidR="00301D07" w:rsidRPr="00901194" w:rsidRDefault="00301D07" w:rsidP="00E817F2">
      <w:pPr>
        <w:spacing w:after="0" w:line="240" w:lineRule="auto"/>
        <w:jc w:val="center"/>
        <w:rPr>
          <w:rFonts w:cs="Times New Roman"/>
          <w:szCs w:val="24"/>
        </w:rPr>
      </w:pPr>
      <w:r w:rsidRPr="00901194">
        <w:rPr>
          <w:rFonts w:cs="Times New Roman"/>
          <w:szCs w:val="24"/>
        </w:rPr>
        <w:t>© Copyright by JACOB J. HAFFNER 2023</w:t>
      </w:r>
    </w:p>
    <w:p w14:paraId="08CAAA62" w14:textId="24554B45" w:rsidR="001220FB" w:rsidRPr="00901194" w:rsidRDefault="00301D07" w:rsidP="00E817F2">
      <w:pPr>
        <w:spacing w:after="0" w:line="240" w:lineRule="auto"/>
        <w:jc w:val="center"/>
        <w:rPr>
          <w:rFonts w:cs="Times New Roman"/>
          <w:szCs w:val="24"/>
        </w:rPr>
        <w:sectPr w:rsidR="001220FB" w:rsidRPr="00901194" w:rsidSect="00E20C39">
          <w:pgSz w:w="12240" w:h="15840"/>
          <w:pgMar w:top="1440" w:right="1440" w:bottom="1440" w:left="1440" w:header="0" w:footer="0" w:gutter="0"/>
          <w:pgNumType w:fmt="lowerRoman"/>
          <w:cols w:space="720"/>
          <w:formProt w:val="0"/>
          <w:docGrid w:linePitch="360" w:charSpace="-2049"/>
        </w:sectPr>
      </w:pPr>
      <w:r w:rsidRPr="00901194">
        <w:rPr>
          <w:rFonts w:cs="Times New Roman"/>
          <w:szCs w:val="24"/>
        </w:rPr>
        <w:t>All Rights Reserved</w:t>
      </w:r>
      <w:r w:rsidR="000743F9">
        <w:rPr>
          <w:rFonts w:cs="Times New Roman"/>
          <w:szCs w:val="24"/>
        </w:rPr>
        <w:t>.</w:t>
      </w:r>
    </w:p>
    <w:p w14:paraId="5905FC9D" w14:textId="03751584" w:rsidR="006555AC" w:rsidRPr="00901194" w:rsidRDefault="006555AC" w:rsidP="00827AB2">
      <w:pPr>
        <w:pStyle w:val="ChapterHeading1"/>
      </w:pPr>
      <w:bookmarkStart w:id="0" w:name="_Toc134185934"/>
      <w:r w:rsidRPr="00901194">
        <w:lastRenderedPageBreak/>
        <w:t>Acknowledgements</w:t>
      </w:r>
      <w:bookmarkEnd w:id="0"/>
    </w:p>
    <w:p w14:paraId="1DAB4321" w14:textId="632B177D" w:rsidR="00BA6EC6" w:rsidRPr="00901194" w:rsidRDefault="00443DA3">
      <w:pPr>
        <w:rPr>
          <w:rFonts w:cs="Times New Roman"/>
          <w:szCs w:val="24"/>
        </w:rPr>
      </w:pPr>
      <w:r w:rsidRPr="00901194">
        <w:rPr>
          <w:rFonts w:cs="Times New Roman"/>
          <w:b/>
          <w:bCs/>
          <w:szCs w:val="24"/>
        </w:rPr>
        <w:tab/>
      </w:r>
      <w:r w:rsidR="00AB3C02" w:rsidRPr="00901194">
        <w:rPr>
          <w:rFonts w:cs="Times New Roman"/>
          <w:szCs w:val="24"/>
        </w:rPr>
        <w:t xml:space="preserve">First, I thank everyone who offered academic support and advice throughout graduate school. None of this would be possible without the support and patience of several key people. One such person is my committee chair, Dr. Cecil Lewis, whose endless optimism, patience, and </w:t>
      </w:r>
      <w:r w:rsidR="002F799A" w:rsidRPr="00901194">
        <w:rPr>
          <w:rFonts w:cs="Times New Roman"/>
          <w:szCs w:val="24"/>
        </w:rPr>
        <w:t xml:space="preserve">wisdom </w:t>
      </w:r>
      <w:r w:rsidR="00AB3C02" w:rsidRPr="00901194">
        <w:rPr>
          <w:rFonts w:cs="Times New Roman"/>
          <w:szCs w:val="24"/>
        </w:rPr>
        <w:t>enabled me to pursue this academic journey. I am sincerely grateful and appreciate mentorship – thank you. I would also like to thank Dr. Laura-Isobel McCall, who provided training in everything related to mass spectrometry-based metabolomics</w:t>
      </w:r>
      <w:r w:rsidR="00034CF3" w:rsidRPr="00901194">
        <w:rPr>
          <w:rFonts w:cs="Times New Roman"/>
          <w:szCs w:val="24"/>
        </w:rPr>
        <w:t>, including but not limited to laboratory, bioinformatics, and experiment design. Her guidance and mentorship greatly facilitated my graduate progress. I also thank Dr. Tanvi Honap</w:t>
      </w:r>
      <w:r w:rsidR="00A07B44" w:rsidRPr="00901194">
        <w:rPr>
          <w:rFonts w:cs="Times New Roman"/>
          <w:szCs w:val="24"/>
        </w:rPr>
        <w:t xml:space="preserve"> and</w:t>
      </w:r>
      <w:r w:rsidR="00034CF3" w:rsidRPr="00901194">
        <w:rPr>
          <w:rFonts w:cs="Times New Roman"/>
          <w:szCs w:val="24"/>
        </w:rPr>
        <w:t xml:space="preserve"> Dr. Krithi </w:t>
      </w:r>
      <w:r w:rsidR="00034CF3" w:rsidRPr="00901194">
        <w:rPr>
          <w:rFonts w:cs="Times New Roman"/>
        </w:rPr>
        <w:t>Sankaranarayanan</w:t>
      </w:r>
      <w:r w:rsidR="00A07B44" w:rsidRPr="00901194">
        <w:rPr>
          <w:rFonts w:cs="Times New Roman"/>
          <w:szCs w:val="24"/>
        </w:rPr>
        <w:t xml:space="preserve"> for their contributions to my work and their assistance in brainstorming, </w:t>
      </w:r>
      <w:r w:rsidR="00BA6EC6" w:rsidRPr="00901194">
        <w:rPr>
          <w:rFonts w:cs="Times New Roman"/>
          <w:szCs w:val="24"/>
        </w:rPr>
        <w:t>suggestions</w:t>
      </w:r>
      <w:r w:rsidR="00A07B44" w:rsidRPr="00901194">
        <w:rPr>
          <w:rFonts w:cs="Times New Roman"/>
          <w:szCs w:val="24"/>
        </w:rPr>
        <w:t xml:space="preserve">, </w:t>
      </w:r>
      <w:r w:rsidR="00BA6EC6" w:rsidRPr="00901194">
        <w:rPr>
          <w:rFonts w:cs="Times New Roman"/>
          <w:szCs w:val="24"/>
        </w:rPr>
        <w:t xml:space="preserve">lessons, </w:t>
      </w:r>
      <w:r w:rsidR="00A07B44" w:rsidRPr="00901194">
        <w:rPr>
          <w:rFonts w:cs="Times New Roman"/>
          <w:szCs w:val="24"/>
        </w:rPr>
        <w:t xml:space="preserve">and </w:t>
      </w:r>
      <w:r w:rsidR="00BA6EC6" w:rsidRPr="00901194">
        <w:rPr>
          <w:rFonts w:cs="Times New Roman"/>
          <w:szCs w:val="24"/>
        </w:rPr>
        <w:t xml:space="preserve">their </w:t>
      </w:r>
      <w:r w:rsidR="00A07B44" w:rsidRPr="00901194">
        <w:rPr>
          <w:rFonts w:cs="Times New Roman"/>
          <w:szCs w:val="24"/>
        </w:rPr>
        <w:t>patience over my time at LMAMR, especially for training me in wet-lab</w:t>
      </w:r>
      <w:r w:rsidR="00901194" w:rsidRPr="00901194">
        <w:rPr>
          <w:rFonts w:cs="Times New Roman"/>
          <w:szCs w:val="24"/>
        </w:rPr>
        <w:t xml:space="preserve"> protocols</w:t>
      </w:r>
      <w:r w:rsidR="00A07B44" w:rsidRPr="00901194">
        <w:rPr>
          <w:rFonts w:cs="Times New Roman"/>
          <w:szCs w:val="24"/>
        </w:rPr>
        <w:t xml:space="preserve"> and bioinformatics. Additionally, I am deeply thankful to Dr. Jessica Cerezo-Román, Dr. Thomas Fenn, and Dr. Luca Fornelli for the variety of ideas, suggestions, and advice whenever we spoke, and especially for their contributions in this dissertation</w:t>
      </w:r>
      <w:r w:rsidR="00541CE4" w:rsidRPr="00901194">
        <w:rPr>
          <w:rFonts w:cs="Times New Roman"/>
          <w:szCs w:val="24"/>
        </w:rPr>
        <w:t xml:space="preserve"> and broader graduate school experience</w:t>
      </w:r>
      <w:r w:rsidR="00A07B44" w:rsidRPr="00901194">
        <w:rPr>
          <w:rFonts w:cs="Times New Roman"/>
          <w:szCs w:val="24"/>
        </w:rPr>
        <w:t xml:space="preserve">. </w:t>
      </w:r>
    </w:p>
    <w:p w14:paraId="3ADB3886" w14:textId="19D78118" w:rsidR="005B6CBC" w:rsidRPr="00901194" w:rsidRDefault="00BA6EC6">
      <w:pPr>
        <w:rPr>
          <w:rFonts w:cs="Times New Roman"/>
          <w:szCs w:val="24"/>
        </w:rPr>
      </w:pPr>
      <w:r w:rsidRPr="00901194">
        <w:rPr>
          <w:rFonts w:cs="Times New Roman"/>
          <w:szCs w:val="24"/>
        </w:rPr>
        <w:tab/>
        <w:t xml:space="preserve">I would also like to thank everyone at LMAMR (Nisha, Allie, Dave, </w:t>
      </w:r>
      <w:r w:rsidR="00541CE4" w:rsidRPr="00901194">
        <w:rPr>
          <w:rFonts w:cs="Times New Roman"/>
          <w:szCs w:val="24"/>
        </w:rPr>
        <w:t>Rita, Justin</w:t>
      </w:r>
      <w:r w:rsidRPr="00901194">
        <w:rPr>
          <w:rFonts w:cs="Times New Roman"/>
          <w:szCs w:val="24"/>
        </w:rPr>
        <w:t xml:space="preserve">, Sterling, Christine, Abby, Sam, Robin, Kristen, Karissa, Nihan, Sarah, Hande, </w:t>
      </w:r>
      <w:r w:rsidR="005B6CBC" w:rsidRPr="00901194">
        <w:rPr>
          <w:rFonts w:cs="Times New Roman"/>
          <w:szCs w:val="24"/>
        </w:rPr>
        <w:t xml:space="preserve">Horvey, </w:t>
      </w:r>
      <w:r w:rsidRPr="00901194">
        <w:rPr>
          <w:rFonts w:cs="Times New Roman"/>
          <w:szCs w:val="24"/>
        </w:rPr>
        <w:t>Lizi</w:t>
      </w:r>
      <w:r w:rsidR="005B6CBC" w:rsidRPr="00901194">
        <w:rPr>
          <w:rFonts w:cs="Times New Roman"/>
          <w:szCs w:val="24"/>
        </w:rPr>
        <w:t xml:space="preserve">, Cara, </w:t>
      </w:r>
      <w:r w:rsidR="002F799A" w:rsidRPr="00901194">
        <w:rPr>
          <w:rFonts w:cs="Times New Roman"/>
          <w:szCs w:val="24"/>
        </w:rPr>
        <w:t xml:space="preserve">Amy, </w:t>
      </w:r>
      <w:r w:rsidR="005B6CBC" w:rsidRPr="00901194">
        <w:rPr>
          <w:rFonts w:cs="Times New Roman"/>
          <w:szCs w:val="24"/>
        </w:rPr>
        <w:t>Chris, and everyone else) and the McCall Lab (Danya, Ekram, Mahbobeh, Azadeh, Morgan, Rebecca, Zongyuan, Jarrod, Monica, Nathan, Caitlyn, Gautham, Karina, Adwaita, Shelley, Mitchelle, and everyone else) for their patience, support, and putting up with all my rambling</w:t>
      </w:r>
      <w:r w:rsidR="00541CE4" w:rsidRPr="00901194">
        <w:rPr>
          <w:rFonts w:cs="Times New Roman"/>
          <w:szCs w:val="24"/>
        </w:rPr>
        <w:t>s</w:t>
      </w:r>
      <w:r w:rsidR="005B6CBC" w:rsidRPr="00901194">
        <w:rPr>
          <w:rFonts w:cs="Times New Roman"/>
          <w:szCs w:val="24"/>
        </w:rPr>
        <w:t>/venting throughout my time at OU.</w:t>
      </w:r>
    </w:p>
    <w:p w14:paraId="5B196EC6" w14:textId="6F3090B5" w:rsidR="005B6CBC" w:rsidRPr="00901194" w:rsidRDefault="005B6CBC">
      <w:pPr>
        <w:rPr>
          <w:rFonts w:cs="Times New Roman"/>
          <w:szCs w:val="24"/>
        </w:rPr>
      </w:pPr>
      <w:r w:rsidRPr="00901194">
        <w:rPr>
          <w:rFonts w:cs="Times New Roman"/>
          <w:szCs w:val="24"/>
        </w:rPr>
        <w:lastRenderedPageBreak/>
        <w:tab/>
        <w:t>I would also like to thank all the collaborators and co-authors whom I’ve worked with throughout graduate school, as well as those working on any future manuscripts. Additionally, I would also like to thank everyone who contributed samples to my various research projects; none of this would be possible without your generosity and openness.</w:t>
      </w:r>
    </w:p>
    <w:p w14:paraId="1286FC98" w14:textId="4B381378" w:rsidR="005B6CBC" w:rsidRPr="00901194" w:rsidRDefault="005B6CBC">
      <w:pPr>
        <w:rPr>
          <w:rFonts w:cs="Times New Roman"/>
          <w:szCs w:val="24"/>
        </w:rPr>
      </w:pPr>
      <w:r w:rsidRPr="00901194">
        <w:rPr>
          <w:rFonts w:cs="Times New Roman"/>
          <w:szCs w:val="24"/>
        </w:rPr>
        <w:tab/>
        <w:t>Lastly, I would like to thank my family and friends for their support and much-needed optimism</w:t>
      </w:r>
      <w:r w:rsidR="00541CE4" w:rsidRPr="00901194">
        <w:rPr>
          <w:rFonts w:cs="Times New Roman"/>
          <w:szCs w:val="24"/>
        </w:rPr>
        <w:t xml:space="preserve"> (especially to offset my cynicism)</w:t>
      </w:r>
      <w:r w:rsidRPr="00901194">
        <w:rPr>
          <w:rFonts w:cs="Times New Roman"/>
          <w:szCs w:val="24"/>
        </w:rPr>
        <w:t xml:space="preserve">. To my parents, Denise and Jim, thank you for your encouragement and support throughout my time in school (and beyond). To my sister, Julie, thank you for helping keep me sane, entertained, and for </w:t>
      </w:r>
      <w:r w:rsidR="00541CE4" w:rsidRPr="00901194">
        <w:rPr>
          <w:rFonts w:cs="Times New Roman"/>
          <w:szCs w:val="24"/>
        </w:rPr>
        <w:t xml:space="preserve">all </w:t>
      </w:r>
      <w:r w:rsidRPr="00901194">
        <w:rPr>
          <w:rFonts w:cs="Times New Roman"/>
          <w:szCs w:val="24"/>
        </w:rPr>
        <w:t xml:space="preserve">your support. Also, thank you to Lori, Caitlin, Alex, Emily, Armen, Alex “Smurf”, and everyone else for your friendship and kindness. </w:t>
      </w:r>
    </w:p>
    <w:p w14:paraId="3DC72DAA" w14:textId="2B2B3C17" w:rsidR="006555AC" w:rsidRPr="00901194" w:rsidRDefault="005B6CBC">
      <w:pPr>
        <w:rPr>
          <w:rFonts w:cs="Times New Roman"/>
          <w:b/>
          <w:bCs/>
          <w:szCs w:val="24"/>
        </w:rPr>
      </w:pPr>
      <w:r w:rsidRPr="00901194">
        <w:rPr>
          <w:rFonts w:cs="Times New Roman"/>
          <w:szCs w:val="24"/>
        </w:rPr>
        <w:tab/>
      </w:r>
      <w:r w:rsidR="006555AC" w:rsidRPr="00901194">
        <w:rPr>
          <w:rFonts w:cs="Times New Roman"/>
          <w:b/>
          <w:bCs/>
          <w:szCs w:val="24"/>
        </w:rPr>
        <w:br w:type="page"/>
      </w:r>
    </w:p>
    <w:sdt>
      <w:sdtPr>
        <w:rPr>
          <w:rFonts w:ascii="Times New Roman" w:eastAsiaTheme="minorHAnsi" w:hAnsi="Times New Roman" w:cs="Times New Roman"/>
          <w:color w:val="000000" w:themeColor="text1"/>
          <w:sz w:val="24"/>
          <w:szCs w:val="22"/>
        </w:rPr>
        <w:id w:val="1093671806"/>
        <w:docPartObj>
          <w:docPartGallery w:val="Table of Contents"/>
          <w:docPartUnique/>
        </w:docPartObj>
      </w:sdtPr>
      <w:sdtEndPr>
        <w:rPr>
          <w:b/>
          <w:bCs/>
          <w:noProof/>
        </w:rPr>
      </w:sdtEndPr>
      <w:sdtContent>
        <w:p w14:paraId="70F09580" w14:textId="38A41C29" w:rsidR="00455803" w:rsidRPr="00901194" w:rsidRDefault="00455803">
          <w:pPr>
            <w:pStyle w:val="TOCHeading"/>
            <w:rPr>
              <w:rStyle w:val="ChapterHeading1Char"/>
            </w:rPr>
          </w:pPr>
          <w:r w:rsidRPr="00901194">
            <w:rPr>
              <w:rStyle w:val="ChapterHeading1Char"/>
            </w:rPr>
            <w:t>Table of Contents</w:t>
          </w:r>
        </w:p>
        <w:p w14:paraId="3A4CBB60" w14:textId="2EBAA236" w:rsidR="005D6CF6" w:rsidRDefault="00455803">
          <w:pPr>
            <w:pStyle w:val="TOC1"/>
            <w:tabs>
              <w:tab w:val="right" w:leader="dot" w:pos="9350"/>
            </w:tabs>
            <w:rPr>
              <w:rFonts w:asciiTheme="minorHAnsi" w:eastAsiaTheme="minorEastAsia" w:hAnsiTheme="minorHAnsi"/>
              <w:noProof/>
              <w:color w:val="auto"/>
              <w:sz w:val="22"/>
            </w:rPr>
          </w:pPr>
          <w:r w:rsidRPr="00901194">
            <w:rPr>
              <w:rFonts w:cs="Times New Roman"/>
            </w:rPr>
            <w:fldChar w:fldCharType="begin"/>
          </w:r>
          <w:r w:rsidRPr="00901194">
            <w:rPr>
              <w:rFonts w:cs="Times New Roman"/>
            </w:rPr>
            <w:instrText xml:space="preserve"> TOC \o "1-3" \h \z \u </w:instrText>
          </w:r>
          <w:r w:rsidRPr="00901194">
            <w:rPr>
              <w:rFonts w:cs="Times New Roman"/>
            </w:rPr>
            <w:fldChar w:fldCharType="separate"/>
          </w:r>
          <w:hyperlink w:anchor="_Toc134185934" w:history="1">
            <w:r w:rsidR="005D6CF6" w:rsidRPr="00B0648B">
              <w:rPr>
                <w:rStyle w:val="Hyperlink"/>
                <w:noProof/>
              </w:rPr>
              <w:t>Acknowledgements</w:t>
            </w:r>
            <w:r w:rsidR="005D6CF6">
              <w:rPr>
                <w:noProof/>
                <w:webHidden/>
              </w:rPr>
              <w:tab/>
            </w:r>
            <w:r w:rsidR="005D6CF6">
              <w:rPr>
                <w:noProof/>
                <w:webHidden/>
              </w:rPr>
              <w:fldChar w:fldCharType="begin"/>
            </w:r>
            <w:r w:rsidR="005D6CF6">
              <w:rPr>
                <w:noProof/>
                <w:webHidden/>
              </w:rPr>
              <w:instrText xml:space="preserve"> PAGEREF _Toc134185934 \h </w:instrText>
            </w:r>
            <w:r w:rsidR="005D6CF6">
              <w:rPr>
                <w:noProof/>
                <w:webHidden/>
              </w:rPr>
            </w:r>
            <w:r w:rsidR="005D6CF6">
              <w:rPr>
                <w:noProof/>
                <w:webHidden/>
              </w:rPr>
              <w:fldChar w:fldCharType="separate"/>
            </w:r>
            <w:r w:rsidR="005D6CF6">
              <w:rPr>
                <w:noProof/>
                <w:webHidden/>
              </w:rPr>
              <w:t>iv</w:t>
            </w:r>
            <w:r w:rsidR="005D6CF6">
              <w:rPr>
                <w:noProof/>
                <w:webHidden/>
              </w:rPr>
              <w:fldChar w:fldCharType="end"/>
            </w:r>
          </w:hyperlink>
        </w:p>
        <w:p w14:paraId="2CBD32D5" w14:textId="0882D0BB" w:rsidR="005D6CF6" w:rsidRDefault="005D6CF6">
          <w:pPr>
            <w:pStyle w:val="TOC1"/>
            <w:tabs>
              <w:tab w:val="right" w:leader="dot" w:pos="9350"/>
            </w:tabs>
            <w:rPr>
              <w:rFonts w:asciiTheme="minorHAnsi" w:eastAsiaTheme="minorEastAsia" w:hAnsiTheme="minorHAnsi"/>
              <w:noProof/>
              <w:color w:val="auto"/>
              <w:sz w:val="22"/>
            </w:rPr>
          </w:pPr>
          <w:hyperlink w:anchor="_Toc134185935" w:history="1">
            <w:r w:rsidRPr="00B0648B">
              <w:rPr>
                <w:rStyle w:val="Hyperlink"/>
                <w:noProof/>
              </w:rPr>
              <w:t>List of Tables and Figures</w:t>
            </w:r>
            <w:r>
              <w:rPr>
                <w:noProof/>
                <w:webHidden/>
              </w:rPr>
              <w:tab/>
            </w:r>
            <w:r>
              <w:rPr>
                <w:noProof/>
                <w:webHidden/>
              </w:rPr>
              <w:fldChar w:fldCharType="begin"/>
            </w:r>
            <w:r>
              <w:rPr>
                <w:noProof/>
                <w:webHidden/>
              </w:rPr>
              <w:instrText xml:space="preserve"> PAGEREF _Toc134185935 \h </w:instrText>
            </w:r>
            <w:r>
              <w:rPr>
                <w:noProof/>
                <w:webHidden/>
              </w:rPr>
            </w:r>
            <w:r>
              <w:rPr>
                <w:noProof/>
                <w:webHidden/>
              </w:rPr>
              <w:fldChar w:fldCharType="separate"/>
            </w:r>
            <w:r>
              <w:rPr>
                <w:noProof/>
                <w:webHidden/>
              </w:rPr>
              <w:t>x</w:t>
            </w:r>
            <w:r>
              <w:rPr>
                <w:noProof/>
                <w:webHidden/>
              </w:rPr>
              <w:fldChar w:fldCharType="end"/>
            </w:r>
          </w:hyperlink>
        </w:p>
        <w:p w14:paraId="7153F0DD" w14:textId="25664A5E" w:rsidR="005D6CF6" w:rsidRDefault="005D6CF6">
          <w:pPr>
            <w:pStyle w:val="TOC2"/>
            <w:tabs>
              <w:tab w:val="right" w:leader="dot" w:pos="9350"/>
            </w:tabs>
            <w:rPr>
              <w:rFonts w:asciiTheme="minorHAnsi" w:eastAsiaTheme="minorEastAsia" w:hAnsiTheme="minorHAnsi"/>
              <w:noProof/>
              <w:color w:val="auto"/>
              <w:sz w:val="22"/>
            </w:rPr>
          </w:pPr>
          <w:hyperlink w:anchor="_Toc134185936" w:history="1">
            <w:r w:rsidRPr="00B0648B">
              <w:rPr>
                <w:rStyle w:val="Hyperlink"/>
                <w:noProof/>
              </w:rPr>
              <w:t>Chapter 1</w:t>
            </w:r>
            <w:r>
              <w:rPr>
                <w:noProof/>
                <w:webHidden/>
              </w:rPr>
              <w:tab/>
            </w:r>
            <w:r>
              <w:rPr>
                <w:noProof/>
                <w:webHidden/>
              </w:rPr>
              <w:fldChar w:fldCharType="begin"/>
            </w:r>
            <w:r>
              <w:rPr>
                <w:noProof/>
                <w:webHidden/>
              </w:rPr>
              <w:instrText xml:space="preserve"> PAGEREF _Toc134185936 \h </w:instrText>
            </w:r>
            <w:r>
              <w:rPr>
                <w:noProof/>
                <w:webHidden/>
              </w:rPr>
            </w:r>
            <w:r>
              <w:rPr>
                <w:noProof/>
                <w:webHidden/>
              </w:rPr>
              <w:fldChar w:fldCharType="separate"/>
            </w:r>
            <w:r>
              <w:rPr>
                <w:noProof/>
                <w:webHidden/>
              </w:rPr>
              <w:t>x</w:t>
            </w:r>
            <w:r>
              <w:rPr>
                <w:noProof/>
                <w:webHidden/>
              </w:rPr>
              <w:fldChar w:fldCharType="end"/>
            </w:r>
          </w:hyperlink>
        </w:p>
        <w:p w14:paraId="3C4C462C" w14:textId="6F79570F" w:rsidR="005D6CF6" w:rsidRDefault="005D6CF6">
          <w:pPr>
            <w:pStyle w:val="TOC2"/>
            <w:tabs>
              <w:tab w:val="right" w:leader="dot" w:pos="9350"/>
            </w:tabs>
            <w:rPr>
              <w:rFonts w:asciiTheme="minorHAnsi" w:eastAsiaTheme="minorEastAsia" w:hAnsiTheme="minorHAnsi"/>
              <w:noProof/>
              <w:color w:val="auto"/>
              <w:sz w:val="22"/>
            </w:rPr>
          </w:pPr>
          <w:hyperlink w:anchor="_Toc134185937" w:history="1">
            <w:r w:rsidRPr="00B0648B">
              <w:rPr>
                <w:rStyle w:val="Hyperlink"/>
                <w:noProof/>
              </w:rPr>
              <w:t>Chapter 2</w:t>
            </w:r>
            <w:r>
              <w:rPr>
                <w:noProof/>
                <w:webHidden/>
              </w:rPr>
              <w:tab/>
            </w:r>
            <w:r>
              <w:rPr>
                <w:noProof/>
                <w:webHidden/>
              </w:rPr>
              <w:fldChar w:fldCharType="begin"/>
            </w:r>
            <w:r>
              <w:rPr>
                <w:noProof/>
                <w:webHidden/>
              </w:rPr>
              <w:instrText xml:space="preserve"> PAGEREF _Toc134185937 \h </w:instrText>
            </w:r>
            <w:r>
              <w:rPr>
                <w:noProof/>
                <w:webHidden/>
              </w:rPr>
            </w:r>
            <w:r>
              <w:rPr>
                <w:noProof/>
                <w:webHidden/>
              </w:rPr>
              <w:fldChar w:fldCharType="separate"/>
            </w:r>
            <w:r>
              <w:rPr>
                <w:noProof/>
                <w:webHidden/>
              </w:rPr>
              <w:t>x</w:t>
            </w:r>
            <w:r>
              <w:rPr>
                <w:noProof/>
                <w:webHidden/>
              </w:rPr>
              <w:fldChar w:fldCharType="end"/>
            </w:r>
          </w:hyperlink>
        </w:p>
        <w:p w14:paraId="552CD170" w14:textId="32D32451" w:rsidR="005D6CF6" w:rsidRDefault="005D6CF6">
          <w:pPr>
            <w:pStyle w:val="TOC2"/>
            <w:tabs>
              <w:tab w:val="right" w:leader="dot" w:pos="9350"/>
            </w:tabs>
            <w:rPr>
              <w:rFonts w:asciiTheme="minorHAnsi" w:eastAsiaTheme="minorEastAsia" w:hAnsiTheme="minorHAnsi"/>
              <w:noProof/>
              <w:color w:val="auto"/>
              <w:sz w:val="22"/>
            </w:rPr>
          </w:pPr>
          <w:hyperlink w:anchor="_Toc134185938" w:history="1">
            <w:r w:rsidRPr="00B0648B">
              <w:rPr>
                <w:rStyle w:val="Hyperlink"/>
                <w:noProof/>
              </w:rPr>
              <w:t>Chapter 3</w:t>
            </w:r>
            <w:r>
              <w:rPr>
                <w:noProof/>
                <w:webHidden/>
              </w:rPr>
              <w:tab/>
            </w:r>
            <w:r>
              <w:rPr>
                <w:noProof/>
                <w:webHidden/>
              </w:rPr>
              <w:fldChar w:fldCharType="begin"/>
            </w:r>
            <w:r>
              <w:rPr>
                <w:noProof/>
                <w:webHidden/>
              </w:rPr>
              <w:instrText xml:space="preserve"> PAGEREF _Toc134185938 \h </w:instrText>
            </w:r>
            <w:r>
              <w:rPr>
                <w:noProof/>
                <w:webHidden/>
              </w:rPr>
            </w:r>
            <w:r>
              <w:rPr>
                <w:noProof/>
                <w:webHidden/>
              </w:rPr>
              <w:fldChar w:fldCharType="separate"/>
            </w:r>
            <w:r>
              <w:rPr>
                <w:noProof/>
                <w:webHidden/>
              </w:rPr>
              <w:t>x</w:t>
            </w:r>
            <w:r>
              <w:rPr>
                <w:noProof/>
                <w:webHidden/>
              </w:rPr>
              <w:fldChar w:fldCharType="end"/>
            </w:r>
          </w:hyperlink>
        </w:p>
        <w:p w14:paraId="336B8C28" w14:textId="1BA84C53" w:rsidR="005D6CF6" w:rsidRDefault="005D6CF6">
          <w:pPr>
            <w:pStyle w:val="TOC2"/>
            <w:tabs>
              <w:tab w:val="right" w:leader="dot" w:pos="9350"/>
            </w:tabs>
            <w:rPr>
              <w:rFonts w:asciiTheme="minorHAnsi" w:eastAsiaTheme="minorEastAsia" w:hAnsiTheme="minorHAnsi"/>
              <w:noProof/>
              <w:color w:val="auto"/>
              <w:sz w:val="22"/>
            </w:rPr>
          </w:pPr>
          <w:hyperlink w:anchor="_Toc134185939" w:history="1">
            <w:r w:rsidRPr="00B0648B">
              <w:rPr>
                <w:rStyle w:val="Hyperlink"/>
                <w:noProof/>
              </w:rPr>
              <w:t>Chapter 4</w:t>
            </w:r>
            <w:r>
              <w:rPr>
                <w:noProof/>
                <w:webHidden/>
              </w:rPr>
              <w:tab/>
            </w:r>
            <w:r>
              <w:rPr>
                <w:noProof/>
                <w:webHidden/>
              </w:rPr>
              <w:fldChar w:fldCharType="begin"/>
            </w:r>
            <w:r>
              <w:rPr>
                <w:noProof/>
                <w:webHidden/>
              </w:rPr>
              <w:instrText xml:space="preserve"> PAGEREF _Toc134185939 \h </w:instrText>
            </w:r>
            <w:r>
              <w:rPr>
                <w:noProof/>
                <w:webHidden/>
              </w:rPr>
            </w:r>
            <w:r>
              <w:rPr>
                <w:noProof/>
                <w:webHidden/>
              </w:rPr>
              <w:fldChar w:fldCharType="separate"/>
            </w:r>
            <w:r>
              <w:rPr>
                <w:noProof/>
                <w:webHidden/>
              </w:rPr>
              <w:t>xi</w:t>
            </w:r>
            <w:r>
              <w:rPr>
                <w:noProof/>
                <w:webHidden/>
              </w:rPr>
              <w:fldChar w:fldCharType="end"/>
            </w:r>
          </w:hyperlink>
        </w:p>
        <w:p w14:paraId="3FECA589" w14:textId="524A1378" w:rsidR="005D6CF6" w:rsidRDefault="005D6CF6">
          <w:pPr>
            <w:pStyle w:val="TOC2"/>
            <w:tabs>
              <w:tab w:val="right" w:leader="dot" w:pos="9350"/>
            </w:tabs>
            <w:rPr>
              <w:rFonts w:asciiTheme="minorHAnsi" w:eastAsiaTheme="minorEastAsia" w:hAnsiTheme="minorHAnsi"/>
              <w:noProof/>
              <w:color w:val="auto"/>
              <w:sz w:val="22"/>
            </w:rPr>
          </w:pPr>
          <w:hyperlink w:anchor="_Toc134185940" w:history="1">
            <w:r w:rsidRPr="00B0648B">
              <w:rPr>
                <w:rStyle w:val="Hyperlink"/>
                <w:noProof/>
              </w:rPr>
              <w:t>Chapter 5</w:t>
            </w:r>
            <w:r>
              <w:rPr>
                <w:noProof/>
                <w:webHidden/>
              </w:rPr>
              <w:tab/>
            </w:r>
            <w:r>
              <w:rPr>
                <w:noProof/>
                <w:webHidden/>
              </w:rPr>
              <w:fldChar w:fldCharType="begin"/>
            </w:r>
            <w:r>
              <w:rPr>
                <w:noProof/>
                <w:webHidden/>
              </w:rPr>
              <w:instrText xml:space="preserve"> PAGEREF _Toc134185940 \h </w:instrText>
            </w:r>
            <w:r>
              <w:rPr>
                <w:noProof/>
                <w:webHidden/>
              </w:rPr>
            </w:r>
            <w:r>
              <w:rPr>
                <w:noProof/>
                <w:webHidden/>
              </w:rPr>
              <w:fldChar w:fldCharType="separate"/>
            </w:r>
            <w:r>
              <w:rPr>
                <w:noProof/>
                <w:webHidden/>
              </w:rPr>
              <w:t>xi</w:t>
            </w:r>
            <w:r>
              <w:rPr>
                <w:noProof/>
                <w:webHidden/>
              </w:rPr>
              <w:fldChar w:fldCharType="end"/>
            </w:r>
          </w:hyperlink>
        </w:p>
        <w:p w14:paraId="74974BCA" w14:textId="0A1A6785" w:rsidR="005D6CF6" w:rsidRDefault="005D6CF6">
          <w:pPr>
            <w:pStyle w:val="TOC1"/>
            <w:tabs>
              <w:tab w:val="right" w:leader="dot" w:pos="9350"/>
            </w:tabs>
            <w:rPr>
              <w:rFonts w:asciiTheme="minorHAnsi" w:eastAsiaTheme="minorEastAsia" w:hAnsiTheme="minorHAnsi"/>
              <w:noProof/>
              <w:color w:val="auto"/>
              <w:sz w:val="22"/>
            </w:rPr>
          </w:pPr>
          <w:hyperlink w:anchor="_Toc134185941" w:history="1">
            <w:r w:rsidRPr="00B0648B">
              <w:rPr>
                <w:rStyle w:val="Hyperlink"/>
                <w:noProof/>
              </w:rPr>
              <w:t>Abstract</w:t>
            </w:r>
            <w:r>
              <w:rPr>
                <w:noProof/>
                <w:webHidden/>
              </w:rPr>
              <w:tab/>
            </w:r>
            <w:r>
              <w:rPr>
                <w:noProof/>
                <w:webHidden/>
              </w:rPr>
              <w:fldChar w:fldCharType="begin"/>
            </w:r>
            <w:r>
              <w:rPr>
                <w:noProof/>
                <w:webHidden/>
              </w:rPr>
              <w:instrText xml:space="preserve"> PAGEREF _Toc134185941 \h </w:instrText>
            </w:r>
            <w:r>
              <w:rPr>
                <w:noProof/>
                <w:webHidden/>
              </w:rPr>
            </w:r>
            <w:r>
              <w:rPr>
                <w:noProof/>
                <w:webHidden/>
              </w:rPr>
              <w:fldChar w:fldCharType="separate"/>
            </w:r>
            <w:r>
              <w:rPr>
                <w:noProof/>
                <w:webHidden/>
              </w:rPr>
              <w:t>xii</w:t>
            </w:r>
            <w:r>
              <w:rPr>
                <w:noProof/>
                <w:webHidden/>
              </w:rPr>
              <w:fldChar w:fldCharType="end"/>
            </w:r>
          </w:hyperlink>
        </w:p>
        <w:p w14:paraId="6B43681C" w14:textId="39425085" w:rsidR="005D6CF6" w:rsidRDefault="005D6CF6">
          <w:pPr>
            <w:pStyle w:val="TOC1"/>
            <w:tabs>
              <w:tab w:val="right" w:leader="dot" w:pos="9350"/>
            </w:tabs>
            <w:rPr>
              <w:rFonts w:asciiTheme="minorHAnsi" w:eastAsiaTheme="minorEastAsia" w:hAnsiTheme="minorHAnsi"/>
              <w:noProof/>
              <w:color w:val="auto"/>
              <w:sz w:val="22"/>
            </w:rPr>
          </w:pPr>
          <w:hyperlink w:anchor="_Toc134185942" w:history="1">
            <w:r w:rsidRPr="00B0648B">
              <w:rPr>
                <w:rStyle w:val="Hyperlink"/>
                <w:noProof/>
              </w:rPr>
              <w:t>Chapter 1 – Introduction</w:t>
            </w:r>
            <w:r>
              <w:rPr>
                <w:noProof/>
                <w:webHidden/>
              </w:rPr>
              <w:tab/>
            </w:r>
            <w:r>
              <w:rPr>
                <w:noProof/>
                <w:webHidden/>
              </w:rPr>
              <w:fldChar w:fldCharType="begin"/>
            </w:r>
            <w:r>
              <w:rPr>
                <w:noProof/>
                <w:webHidden/>
              </w:rPr>
              <w:instrText xml:space="preserve"> PAGEREF _Toc134185942 \h </w:instrText>
            </w:r>
            <w:r>
              <w:rPr>
                <w:noProof/>
                <w:webHidden/>
              </w:rPr>
            </w:r>
            <w:r>
              <w:rPr>
                <w:noProof/>
                <w:webHidden/>
              </w:rPr>
              <w:fldChar w:fldCharType="separate"/>
            </w:r>
            <w:r>
              <w:rPr>
                <w:noProof/>
                <w:webHidden/>
              </w:rPr>
              <w:t>1</w:t>
            </w:r>
            <w:r>
              <w:rPr>
                <w:noProof/>
                <w:webHidden/>
              </w:rPr>
              <w:fldChar w:fldCharType="end"/>
            </w:r>
          </w:hyperlink>
        </w:p>
        <w:p w14:paraId="13FDF163" w14:textId="7D86EF17" w:rsidR="005D6CF6" w:rsidRDefault="005D6CF6">
          <w:pPr>
            <w:pStyle w:val="TOC2"/>
            <w:tabs>
              <w:tab w:val="left" w:pos="880"/>
              <w:tab w:val="right" w:leader="dot" w:pos="9350"/>
            </w:tabs>
            <w:rPr>
              <w:rFonts w:asciiTheme="minorHAnsi" w:eastAsiaTheme="minorEastAsia" w:hAnsiTheme="minorHAnsi"/>
              <w:noProof/>
              <w:color w:val="auto"/>
              <w:sz w:val="22"/>
            </w:rPr>
          </w:pPr>
          <w:hyperlink w:anchor="_Toc134185943" w:history="1">
            <w:r w:rsidRPr="00B0648B">
              <w:rPr>
                <w:rStyle w:val="Hyperlink"/>
                <w:noProof/>
              </w:rPr>
              <w:t>1.1</w:t>
            </w:r>
            <w:r>
              <w:rPr>
                <w:rFonts w:asciiTheme="minorHAnsi" w:eastAsiaTheme="minorEastAsia" w:hAnsiTheme="minorHAnsi"/>
                <w:noProof/>
                <w:color w:val="auto"/>
                <w:sz w:val="22"/>
              </w:rPr>
              <w:tab/>
            </w:r>
            <w:r w:rsidRPr="00B0648B">
              <w:rPr>
                <w:rStyle w:val="Hyperlink"/>
                <w:noProof/>
              </w:rPr>
              <w:t>MOLECULAR ANTHROPOLOGY BACKGROUND</w:t>
            </w:r>
            <w:r>
              <w:rPr>
                <w:noProof/>
                <w:webHidden/>
              </w:rPr>
              <w:tab/>
            </w:r>
            <w:r>
              <w:rPr>
                <w:noProof/>
                <w:webHidden/>
              </w:rPr>
              <w:fldChar w:fldCharType="begin"/>
            </w:r>
            <w:r>
              <w:rPr>
                <w:noProof/>
                <w:webHidden/>
              </w:rPr>
              <w:instrText xml:space="preserve"> PAGEREF _Toc134185943 \h </w:instrText>
            </w:r>
            <w:r>
              <w:rPr>
                <w:noProof/>
                <w:webHidden/>
              </w:rPr>
            </w:r>
            <w:r>
              <w:rPr>
                <w:noProof/>
                <w:webHidden/>
              </w:rPr>
              <w:fldChar w:fldCharType="separate"/>
            </w:r>
            <w:r>
              <w:rPr>
                <w:noProof/>
                <w:webHidden/>
              </w:rPr>
              <w:t>1</w:t>
            </w:r>
            <w:r>
              <w:rPr>
                <w:noProof/>
                <w:webHidden/>
              </w:rPr>
              <w:fldChar w:fldCharType="end"/>
            </w:r>
          </w:hyperlink>
        </w:p>
        <w:p w14:paraId="10221625" w14:textId="0071942D" w:rsidR="005D6CF6" w:rsidRDefault="005D6CF6">
          <w:pPr>
            <w:pStyle w:val="TOC2"/>
            <w:tabs>
              <w:tab w:val="left" w:pos="880"/>
              <w:tab w:val="right" w:leader="dot" w:pos="9350"/>
            </w:tabs>
            <w:rPr>
              <w:rFonts w:asciiTheme="minorHAnsi" w:eastAsiaTheme="minorEastAsia" w:hAnsiTheme="minorHAnsi"/>
              <w:noProof/>
              <w:color w:val="auto"/>
              <w:sz w:val="22"/>
            </w:rPr>
          </w:pPr>
          <w:hyperlink w:anchor="_Toc134185944" w:history="1">
            <w:r w:rsidRPr="00B0648B">
              <w:rPr>
                <w:rStyle w:val="Hyperlink"/>
                <w:noProof/>
              </w:rPr>
              <w:t>1.2</w:t>
            </w:r>
            <w:r>
              <w:rPr>
                <w:rFonts w:asciiTheme="minorHAnsi" w:eastAsiaTheme="minorEastAsia" w:hAnsiTheme="minorHAnsi"/>
                <w:noProof/>
                <w:color w:val="auto"/>
                <w:sz w:val="22"/>
              </w:rPr>
              <w:tab/>
            </w:r>
            <w:r w:rsidRPr="00B0648B">
              <w:rPr>
                <w:rStyle w:val="Hyperlink"/>
                <w:noProof/>
              </w:rPr>
              <w:t>MASS SPECTROMETRY-BASED METABOLOMICS</w:t>
            </w:r>
            <w:r>
              <w:rPr>
                <w:noProof/>
                <w:webHidden/>
              </w:rPr>
              <w:tab/>
            </w:r>
            <w:r>
              <w:rPr>
                <w:noProof/>
                <w:webHidden/>
              </w:rPr>
              <w:fldChar w:fldCharType="begin"/>
            </w:r>
            <w:r>
              <w:rPr>
                <w:noProof/>
                <w:webHidden/>
              </w:rPr>
              <w:instrText xml:space="preserve"> PAGEREF _Toc134185944 \h </w:instrText>
            </w:r>
            <w:r>
              <w:rPr>
                <w:noProof/>
                <w:webHidden/>
              </w:rPr>
            </w:r>
            <w:r>
              <w:rPr>
                <w:noProof/>
                <w:webHidden/>
              </w:rPr>
              <w:fldChar w:fldCharType="separate"/>
            </w:r>
            <w:r>
              <w:rPr>
                <w:noProof/>
                <w:webHidden/>
              </w:rPr>
              <w:t>2</w:t>
            </w:r>
            <w:r>
              <w:rPr>
                <w:noProof/>
                <w:webHidden/>
              </w:rPr>
              <w:fldChar w:fldCharType="end"/>
            </w:r>
          </w:hyperlink>
        </w:p>
        <w:p w14:paraId="06B83F3E" w14:textId="78EFB56A" w:rsidR="005D6CF6" w:rsidRDefault="005D6CF6">
          <w:pPr>
            <w:pStyle w:val="TOC2"/>
            <w:tabs>
              <w:tab w:val="left" w:pos="880"/>
              <w:tab w:val="right" w:leader="dot" w:pos="9350"/>
            </w:tabs>
            <w:rPr>
              <w:rFonts w:asciiTheme="minorHAnsi" w:eastAsiaTheme="minorEastAsia" w:hAnsiTheme="minorHAnsi"/>
              <w:noProof/>
              <w:color w:val="auto"/>
              <w:sz w:val="22"/>
            </w:rPr>
          </w:pPr>
          <w:hyperlink w:anchor="_Toc134185945" w:history="1">
            <w:r w:rsidRPr="00B0648B">
              <w:rPr>
                <w:rStyle w:val="Hyperlink"/>
                <w:noProof/>
              </w:rPr>
              <w:t>1.3</w:t>
            </w:r>
            <w:r>
              <w:rPr>
                <w:rFonts w:asciiTheme="minorHAnsi" w:eastAsiaTheme="minorEastAsia" w:hAnsiTheme="minorHAnsi"/>
                <w:noProof/>
                <w:color w:val="auto"/>
                <w:sz w:val="22"/>
              </w:rPr>
              <w:tab/>
            </w:r>
            <w:r w:rsidRPr="00B0648B">
              <w:rPr>
                <w:rStyle w:val="Hyperlink"/>
                <w:noProof/>
              </w:rPr>
              <w:t>MOLECULAR ANTHROPOLOGY AND METABOLOMICS</w:t>
            </w:r>
            <w:r>
              <w:rPr>
                <w:noProof/>
                <w:webHidden/>
              </w:rPr>
              <w:tab/>
            </w:r>
            <w:r>
              <w:rPr>
                <w:noProof/>
                <w:webHidden/>
              </w:rPr>
              <w:fldChar w:fldCharType="begin"/>
            </w:r>
            <w:r>
              <w:rPr>
                <w:noProof/>
                <w:webHidden/>
              </w:rPr>
              <w:instrText xml:space="preserve"> PAGEREF _Toc134185945 \h </w:instrText>
            </w:r>
            <w:r>
              <w:rPr>
                <w:noProof/>
                <w:webHidden/>
              </w:rPr>
            </w:r>
            <w:r>
              <w:rPr>
                <w:noProof/>
                <w:webHidden/>
              </w:rPr>
              <w:fldChar w:fldCharType="separate"/>
            </w:r>
            <w:r>
              <w:rPr>
                <w:noProof/>
                <w:webHidden/>
              </w:rPr>
              <w:t>6</w:t>
            </w:r>
            <w:r>
              <w:rPr>
                <w:noProof/>
                <w:webHidden/>
              </w:rPr>
              <w:fldChar w:fldCharType="end"/>
            </w:r>
          </w:hyperlink>
        </w:p>
        <w:p w14:paraId="655EF108" w14:textId="3175EAAC" w:rsidR="005D6CF6" w:rsidRDefault="005D6CF6">
          <w:pPr>
            <w:pStyle w:val="TOC2"/>
            <w:tabs>
              <w:tab w:val="left" w:pos="880"/>
              <w:tab w:val="right" w:leader="dot" w:pos="9350"/>
            </w:tabs>
            <w:rPr>
              <w:rFonts w:asciiTheme="minorHAnsi" w:eastAsiaTheme="minorEastAsia" w:hAnsiTheme="minorHAnsi"/>
              <w:noProof/>
              <w:color w:val="auto"/>
              <w:sz w:val="22"/>
            </w:rPr>
          </w:pPr>
          <w:hyperlink w:anchor="_Toc134185946" w:history="1">
            <w:r w:rsidRPr="00B0648B">
              <w:rPr>
                <w:rStyle w:val="Hyperlink"/>
                <w:noProof/>
              </w:rPr>
              <w:t>1.4</w:t>
            </w:r>
            <w:r>
              <w:rPr>
                <w:rFonts w:asciiTheme="minorHAnsi" w:eastAsiaTheme="minorEastAsia" w:hAnsiTheme="minorHAnsi"/>
                <w:noProof/>
                <w:color w:val="auto"/>
                <w:sz w:val="22"/>
              </w:rPr>
              <w:tab/>
            </w:r>
            <w:r w:rsidRPr="00B0648B">
              <w:rPr>
                <w:rStyle w:val="Hyperlink"/>
                <w:noProof/>
              </w:rPr>
              <w:t>DISSERTATION STRUCTURE</w:t>
            </w:r>
            <w:r>
              <w:rPr>
                <w:noProof/>
                <w:webHidden/>
              </w:rPr>
              <w:tab/>
            </w:r>
            <w:r>
              <w:rPr>
                <w:noProof/>
                <w:webHidden/>
              </w:rPr>
              <w:fldChar w:fldCharType="begin"/>
            </w:r>
            <w:r>
              <w:rPr>
                <w:noProof/>
                <w:webHidden/>
              </w:rPr>
              <w:instrText xml:space="preserve"> PAGEREF _Toc134185946 \h </w:instrText>
            </w:r>
            <w:r>
              <w:rPr>
                <w:noProof/>
                <w:webHidden/>
              </w:rPr>
            </w:r>
            <w:r>
              <w:rPr>
                <w:noProof/>
                <w:webHidden/>
              </w:rPr>
              <w:fldChar w:fldCharType="separate"/>
            </w:r>
            <w:r>
              <w:rPr>
                <w:noProof/>
                <w:webHidden/>
              </w:rPr>
              <w:t>8</w:t>
            </w:r>
            <w:r>
              <w:rPr>
                <w:noProof/>
                <w:webHidden/>
              </w:rPr>
              <w:fldChar w:fldCharType="end"/>
            </w:r>
          </w:hyperlink>
        </w:p>
        <w:p w14:paraId="0651B300" w14:textId="1E68DB00" w:rsidR="005D6CF6" w:rsidRDefault="005D6CF6">
          <w:pPr>
            <w:pStyle w:val="TOC1"/>
            <w:tabs>
              <w:tab w:val="right" w:leader="dot" w:pos="9350"/>
            </w:tabs>
            <w:rPr>
              <w:rFonts w:asciiTheme="minorHAnsi" w:eastAsiaTheme="minorEastAsia" w:hAnsiTheme="minorHAnsi"/>
              <w:noProof/>
              <w:color w:val="auto"/>
              <w:sz w:val="22"/>
            </w:rPr>
          </w:pPr>
          <w:hyperlink w:anchor="_Toc134185947" w:history="1">
            <w:r w:rsidRPr="00B0648B">
              <w:rPr>
                <w:rStyle w:val="Hyperlink"/>
                <w:noProof/>
              </w:rPr>
              <w:t>Chapter 2 – Untargeted Fecal Metabolomic Analyses across an Industrialization Gradient Reveal Shared Metabolites and Impact of Industrialization on Fecal Microbiome-Metabolome Interactions</w:t>
            </w:r>
            <w:r w:rsidRPr="00B0648B">
              <w:rPr>
                <w:rStyle w:val="Hyperlink"/>
                <w:noProof/>
                <w:vertAlign w:val="superscript"/>
              </w:rPr>
              <w:t>,</w:t>
            </w:r>
            <w:r>
              <w:rPr>
                <w:noProof/>
                <w:webHidden/>
              </w:rPr>
              <w:tab/>
            </w:r>
            <w:r>
              <w:rPr>
                <w:noProof/>
                <w:webHidden/>
              </w:rPr>
              <w:fldChar w:fldCharType="begin"/>
            </w:r>
            <w:r>
              <w:rPr>
                <w:noProof/>
                <w:webHidden/>
              </w:rPr>
              <w:instrText xml:space="preserve"> PAGEREF _Toc134185947 \h </w:instrText>
            </w:r>
            <w:r>
              <w:rPr>
                <w:noProof/>
                <w:webHidden/>
              </w:rPr>
            </w:r>
            <w:r>
              <w:rPr>
                <w:noProof/>
                <w:webHidden/>
              </w:rPr>
              <w:fldChar w:fldCharType="separate"/>
            </w:r>
            <w:r>
              <w:rPr>
                <w:noProof/>
                <w:webHidden/>
              </w:rPr>
              <w:t>10</w:t>
            </w:r>
            <w:r>
              <w:rPr>
                <w:noProof/>
                <w:webHidden/>
              </w:rPr>
              <w:fldChar w:fldCharType="end"/>
            </w:r>
          </w:hyperlink>
        </w:p>
        <w:p w14:paraId="074CBA7B" w14:textId="46AB70F6" w:rsidR="005D6CF6" w:rsidRDefault="005D6CF6">
          <w:pPr>
            <w:pStyle w:val="TOC2"/>
            <w:tabs>
              <w:tab w:val="right" w:leader="dot" w:pos="9350"/>
            </w:tabs>
            <w:rPr>
              <w:rFonts w:asciiTheme="minorHAnsi" w:eastAsiaTheme="minorEastAsia" w:hAnsiTheme="minorHAnsi"/>
              <w:noProof/>
              <w:color w:val="auto"/>
              <w:sz w:val="22"/>
            </w:rPr>
          </w:pPr>
          <w:hyperlink w:anchor="_Toc134185948" w:history="1">
            <w:r w:rsidRPr="00B0648B">
              <w:rPr>
                <w:rStyle w:val="Hyperlink"/>
                <w:noProof/>
              </w:rPr>
              <w:t>2.1 ABSTRACT</w:t>
            </w:r>
            <w:r>
              <w:rPr>
                <w:noProof/>
                <w:webHidden/>
              </w:rPr>
              <w:tab/>
            </w:r>
            <w:r>
              <w:rPr>
                <w:noProof/>
                <w:webHidden/>
              </w:rPr>
              <w:fldChar w:fldCharType="begin"/>
            </w:r>
            <w:r>
              <w:rPr>
                <w:noProof/>
                <w:webHidden/>
              </w:rPr>
              <w:instrText xml:space="preserve"> PAGEREF _Toc134185948 \h </w:instrText>
            </w:r>
            <w:r>
              <w:rPr>
                <w:noProof/>
                <w:webHidden/>
              </w:rPr>
            </w:r>
            <w:r>
              <w:rPr>
                <w:noProof/>
                <w:webHidden/>
              </w:rPr>
              <w:fldChar w:fldCharType="separate"/>
            </w:r>
            <w:r>
              <w:rPr>
                <w:noProof/>
                <w:webHidden/>
              </w:rPr>
              <w:t>10</w:t>
            </w:r>
            <w:r>
              <w:rPr>
                <w:noProof/>
                <w:webHidden/>
              </w:rPr>
              <w:fldChar w:fldCharType="end"/>
            </w:r>
          </w:hyperlink>
        </w:p>
        <w:p w14:paraId="259AABFE" w14:textId="2996ECB0" w:rsidR="005D6CF6" w:rsidRDefault="005D6CF6">
          <w:pPr>
            <w:pStyle w:val="TOC2"/>
            <w:tabs>
              <w:tab w:val="right" w:leader="dot" w:pos="9350"/>
            </w:tabs>
            <w:rPr>
              <w:rFonts w:asciiTheme="minorHAnsi" w:eastAsiaTheme="minorEastAsia" w:hAnsiTheme="minorHAnsi"/>
              <w:noProof/>
              <w:color w:val="auto"/>
              <w:sz w:val="22"/>
            </w:rPr>
          </w:pPr>
          <w:hyperlink w:anchor="_Toc134185949" w:history="1">
            <w:r w:rsidRPr="00B0648B">
              <w:rPr>
                <w:rStyle w:val="Hyperlink"/>
                <w:noProof/>
              </w:rPr>
              <w:t>2.2 INTRODUCTION</w:t>
            </w:r>
            <w:r>
              <w:rPr>
                <w:noProof/>
                <w:webHidden/>
              </w:rPr>
              <w:tab/>
            </w:r>
            <w:r>
              <w:rPr>
                <w:noProof/>
                <w:webHidden/>
              </w:rPr>
              <w:fldChar w:fldCharType="begin"/>
            </w:r>
            <w:r>
              <w:rPr>
                <w:noProof/>
                <w:webHidden/>
              </w:rPr>
              <w:instrText xml:space="preserve"> PAGEREF _Toc134185949 \h </w:instrText>
            </w:r>
            <w:r>
              <w:rPr>
                <w:noProof/>
                <w:webHidden/>
              </w:rPr>
            </w:r>
            <w:r>
              <w:rPr>
                <w:noProof/>
                <w:webHidden/>
              </w:rPr>
              <w:fldChar w:fldCharType="separate"/>
            </w:r>
            <w:r>
              <w:rPr>
                <w:noProof/>
                <w:webHidden/>
              </w:rPr>
              <w:t>11</w:t>
            </w:r>
            <w:r>
              <w:rPr>
                <w:noProof/>
                <w:webHidden/>
              </w:rPr>
              <w:fldChar w:fldCharType="end"/>
            </w:r>
          </w:hyperlink>
        </w:p>
        <w:p w14:paraId="39C508AA" w14:textId="6C7CAD36" w:rsidR="005D6CF6" w:rsidRDefault="005D6CF6">
          <w:pPr>
            <w:pStyle w:val="TOC2"/>
            <w:tabs>
              <w:tab w:val="right" w:leader="dot" w:pos="9350"/>
            </w:tabs>
            <w:rPr>
              <w:rFonts w:asciiTheme="minorHAnsi" w:eastAsiaTheme="minorEastAsia" w:hAnsiTheme="minorHAnsi"/>
              <w:noProof/>
              <w:color w:val="auto"/>
              <w:sz w:val="22"/>
            </w:rPr>
          </w:pPr>
          <w:hyperlink w:anchor="_Toc134185950" w:history="1">
            <w:r w:rsidRPr="00B0648B">
              <w:rPr>
                <w:rStyle w:val="Hyperlink"/>
                <w:noProof/>
              </w:rPr>
              <w:t>2.3 MATERIALS AND METHODS</w:t>
            </w:r>
            <w:r>
              <w:rPr>
                <w:noProof/>
                <w:webHidden/>
              </w:rPr>
              <w:tab/>
            </w:r>
            <w:r>
              <w:rPr>
                <w:noProof/>
                <w:webHidden/>
              </w:rPr>
              <w:fldChar w:fldCharType="begin"/>
            </w:r>
            <w:r>
              <w:rPr>
                <w:noProof/>
                <w:webHidden/>
              </w:rPr>
              <w:instrText xml:space="preserve"> PAGEREF _Toc134185950 \h </w:instrText>
            </w:r>
            <w:r>
              <w:rPr>
                <w:noProof/>
                <w:webHidden/>
              </w:rPr>
            </w:r>
            <w:r>
              <w:rPr>
                <w:noProof/>
                <w:webHidden/>
              </w:rPr>
              <w:fldChar w:fldCharType="separate"/>
            </w:r>
            <w:r>
              <w:rPr>
                <w:noProof/>
                <w:webHidden/>
              </w:rPr>
              <w:t>13</w:t>
            </w:r>
            <w:r>
              <w:rPr>
                <w:noProof/>
                <w:webHidden/>
              </w:rPr>
              <w:fldChar w:fldCharType="end"/>
            </w:r>
          </w:hyperlink>
        </w:p>
        <w:p w14:paraId="56EA2FFB" w14:textId="7354760D" w:rsidR="005D6CF6" w:rsidRDefault="005D6CF6">
          <w:pPr>
            <w:pStyle w:val="TOC3"/>
            <w:tabs>
              <w:tab w:val="right" w:leader="dot" w:pos="9350"/>
            </w:tabs>
            <w:rPr>
              <w:rFonts w:asciiTheme="minorHAnsi" w:eastAsiaTheme="minorEastAsia" w:hAnsiTheme="minorHAnsi"/>
              <w:noProof/>
              <w:color w:val="auto"/>
              <w:sz w:val="22"/>
            </w:rPr>
          </w:pPr>
          <w:hyperlink w:anchor="_Toc134185951" w:history="1">
            <w:r w:rsidRPr="00B0648B">
              <w:rPr>
                <w:rStyle w:val="Hyperlink"/>
                <w:noProof/>
              </w:rPr>
              <w:t>Project Design</w:t>
            </w:r>
            <w:r>
              <w:rPr>
                <w:noProof/>
                <w:webHidden/>
              </w:rPr>
              <w:tab/>
            </w:r>
            <w:r>
              <w:rPr>
                <w:noProof/>
                <w:webHidden/>
              </w:rPr>
              <w:fldChar w:fldCharType="begin"/>
            </w:r>
            <w:r>
              <w:rPr>
                <w:noProof/>
                <w:webHidden/>
              </w:rPr>
              <w:instrText xml:space="preserve"> PAGEREF _Toc134185951 \h </w:instrText>
            </w:r>
            <w:r>
              <w:rPr>
                <w:noProof/>
                <w:webHidden/>
              </w:rPr>
            </w:r>
            <w:r>
              <w:rPr>
                <w:noProof/>
                <w:webHidden/>
              </w:rPr>
              <w:fldChar w:fldCharType="separate"/>
            </w:r>
            <w:r>
              <w:rPr>
                <w:noProof/>
                <w:webHidden/>
              </w:rPr>
              <w:t>13</w:t>
            </w:r>
            <w:r>
              <w:rPr>
                <w:noProof/>
                <w:webHidden/>
              </w:rPr>
              <w:fldChar w:fldCharType="end"/>
            </w:r>
          </w:hyperlink>
        </w:p>
        <w:p w14:paraId="713FA24C" w14:textId="14326E3C" w:rsidR="005D6CF6" w:rsidRDefault="005D6CF6">
          <w:pPr>
            <w:pStyle w:val="TOC3"/>
            <w:tabs>
              <w:tab w:val="right" w:leader="dot" w:pos="9350"/>
            </w:tabs>
            <w:rPr>
              <w:rFonts w:asciiTheme="minorHAnsi" w:eastAsiaTheme="minorEastAsia" w:hAnsiTheme="minorHAnsi"/>
              <w:noProof/>
              <w:color w:val="auto"/>
              <w:sz w:val="22"/>
            </w:rPr>
          </w:pPr>
          <w:hyperlink w:anchor="_Toc134185952" w:history="1">
            <w:r w:rsidRPr="00B0648B">
              <w:rPr>
                <w:rStyle w:val="Hyperlink"/>
                <w:noProof/>
              </w:rPr>
              <w:t>Populations</w:t>
            </w:r>
            <w:r>
              <w:rPr>
                <w:noProof/>
                <w:webHidden/>
              </w:rPr>
              <w:tab/>
            </w:r>
            <w:r>
              <w:rPr>
                <w:noProof/>
                <w:webHidden/>
              </w:rPr>
              <w:fldChar w:fldCharType="begin"/>
            </w:r>
            <w:r>
              <w:rPr>
                <w:noProof/>
                <w:webHidden/>
              </w:rPr>
              <w:instrText xml:space="preserve"> PAGEREF _Toc134185952 \h </w:instrText>
            </w:r>
            <w:r>
              <w:rPr>
                <w:noProof/>
                <w:webHidden/>
              </w:rPr>
            </w:r>
            <w:r>
              <w:rPr>
                <w:noProof/>
                <w:webHidden/>
              </w:rPr>
              <w:fldChar w:fldCharType="separate"/>
            </w:r>
            <w:r>
              <w:rPr>
                <w:noProof/>
                <w:webHidden/>
              </w:rPr>
              <w:t>14</w:t>
            </w:r>
            <w:r>
              <w:rPr>
                <w:noProof/>
                <w:webHidden/>
              </w:rPr>
              <w:fldChar w:fldCharType="end"/>
            </w:r>
          </w:hyperlink>
        </w:p>
        <w:p w14:paraId="31422FF4" w14:textId="4F5697AC" w:rsidR="005D6CF6" w:rsidRDefault="005D6CF6">
          <w:pPr>
            <w:pStyle w:val="TOC3"/>
            <w:tabs>
              <w:tab w:val="right" w:leader="dot" w:pos="9350"/>
            </w:tabs>
            <w:rPr>
              <w:rFonts w:asciiTheme="minorHAnsi" w:eastAsiaTheme="minorEastAsia" w:hAnsiTheme="minorHAnsi"/>
              <w:noProof/>
              <w:color w:val="auto"/>
              <w:sz w:val="22"/>
            </w:rPr>
          </w:pPr>
          <w:hyperlink w:anchor="_Toc134185953" w:history="1">
            <w:r w:rsidRPr="00B0648B">
              <w:rPr>
                <w:rStyle w:val="Hyperlink"/>
                <w:noProof/>
              </w:rPr>
              <w:t>Sample Collection</w:t>
            </w:r>
            <w:r>
              <w:rPr>
                <w:noProof/>
                <w:webHidden/>
              </w:rPr>
              <w:tab/>
            </w:r>
            <w:r>
              <w:rPr>
                <w:noProof/>
                <w:webHidden/>
              </w:rPr>
              <w:fldChar w:fldCharType="begin"/>
            </w:r>
            <w:r>
              <w:rPr>
                <w:noProof/>
                <w:webHidden/>
              </w:rPr>
              <w:instrText xml:space="preserve"> PAGEREF _Toc134185953 \h </w:instrText>
            </w:r>
            <w:r>
              <w:rPr>
                <w:noProof/>
                <w:webHidden/>
              </w:rPr>
            </w:r>
            <w:r>
              <w:rPr>
                <w:noProof/>
                <w:webHidden/>
              </w:rPr>
              <w:fldChar w:fldCharType="separate"/>
            </w:r>
            <w:r>
              <w:rPr>
                <w:noProof/>
                <w:webHidden/>
              </w:rPr>
              <w:t>17</w:t>
            </w:r>
            <w:r>
              <w:rPr>
                <w:noProof/>
                <w:webHidden/>
              </w:rPr>
              <w:fldChar w:fldCharType="end"/>
            </w:r>
          </w:hyperlink>
        </w:p>
        <w:p w14:paraId="53365E4F" w14:textId="7ACB9311" w:rsidR="005D6CF6" w:rsidRDefault="005D6CF6">
          <w:pPr>
            <w:pStyle w:val="TOC3"/>
            <w:tabs>
              <w:tab w:val="right" w:leader="dot" w:pos="9350"/>
            </w:tabs>
            <w:rPr>
              <w:rFonts w:asciiTheme="minorHAnsi" w:eastAsiaTheme="minorEastAsia" w:hAnsiTheme="minorHAnsi"/>
              <w:noProof/>
              <w:color w:val="auto"/>
              <w:sz w:val="22"/>
            </w:rPr>
          </w:pPr>
          <w:hyperlink w:anchor="_Toc134185954" w:history="1">
            <w:r w:rsidRPr="00B0648B">
              <w:rPr>
                <w:rStyle w:val="Hyperlink"/>
                <w:noProof/>
              </w:rPr>
              <w:t>Ethics Approval and Informed Consent</w:t>
            </w:r>
            <w:r>
              <w:rPr>
                <w:noProof/>
                <w:webHidden/>
              </w:rPr>
              <w:tab/>
            </w:r>
            <w:r>
              <w:rPr>
                <w:noProof/>
                <w:webHidden/>
              </w:rPr>
              <w:fldChar w:fldCharType="begin"/>
            </w:r>
            <w:r>
              <w:rPr>
                <w:noProof/>
                <w:webHidden/>
              </w:rPr>
              <w:instrText xml:space="preserve"> PAGEREF _Toc134185954 \h </w:instrText>
            </w:r>
            <w:r>
              <w:rPr>
                <w:noProof/>
                <w:webHidden/>
              </w:rPr>
            </w:r>
            <w:r>
              <w:rPr>
                <w:noProof/>
                <w:webHidden/>
              </w:rPr>
              <w:fldChar w:fldCharType="separate"/>
            </w:r>
            <w:r>
              <w:rPr>
                <w:noProof/>
                <w:webHidden/>
              </w:rPr>
              <w:t>18</w:t>
            </w:r>
            <w:r>
              <w:rPr>
                <w:noProof/>
                <w:webHidden/>
              </w:rPr>
              <w:fldChar w:fldCharType="end"/>
            </w:r>
          </w:hyperlink>
        </w:p>
        <w:p w14:paraId="67CCDF27" w14:textId="5AEC67E7" w:rsidR="005D6CF6" w:rsidRDefault="005D6CF6">
          <w:pPr>
            <w:pStyle w:val="TOC3"/>
            <w:tabs>
              <w:tab w:val="right" w:leader="dot" w:pos="9350"/>
            </w:tabs>
            <w:rPr>
              <w:rFonts w:asciiTheme="minorHAnsi" w:eastAsiaTheme="minorEastAsia" w:hAnsiTheme="minorHAnsi"/>
              <w:noProof/>
              <w:color w:val="auto"/>
              <w:sz w:val="22"/>
            </w:rPr>
          </w:pPr>
          <w:hyperlink w:anchor="_Toc134185955" w:history="1">
            <w:r w:rsidRPr="00B0648B">
              <w:rPr>
                <w:rStyle w:val="Hyperlink"/>
                <w:noProof/>
              </w:rPr>
              <w:t>LC-MS/MS Fecal Sample Preparation</w:t>
            </w:r>
            <w:r>
              <w:rPr>
                <w:noProof/>
                <w:webHidden/>
              </w:rPr>
              <w:tab/>
            </w:r>
            <w:r>
              <w:rPr>
                <w:noProof/>
                <w:webHidden/>
              </w:rPr>
              <w:fldChar w:fldCharType="begin"/>
            </w:r>
            <w:r>
              <w:rPr>
                <w:noProof/>
                <w:webHidden/>
              </w:rPr>
              <w:instrText xml:space="preserve"> PAGEREF _Toc134185955 \h </w:instrText>
            </w:r>
            <w:r>
              <w:rPr>
                <w:noProof/>
                <w:webHidden/>
              </w:rPr>
            </w:r>
            <w:r>
              <w:rPr>
                <w:noProof/>
                <w:webHidden/>
              </w:rPr>
              <w:fldChar w:fldCharType="separate"/>
            </w:r>
            <w:r>
              <w:rPr>
                <w:noProof/>
                <w:webHidden/>
              </w:rPr>
              <w:t>19</w:t>
            </w:r>
            <w:r>
              <w:rPr>
                <w:noProof/>
                <w:webHidden/>
              </w:rPr>
              <w:fldChar w:fldCharType="end"/>
            </w:r>
          </w:hyperlink>
        </w:p>
        <w:p w14:paraId="3999CEEF" w14:textId="34D75E28" w:rsidR="005D6CF6" w:rsidRDefault="005D6CF6">
          <w:pPr>
            <w:pStyle w:val="TOC3"/>
            <w:tabs>
              <w:tab w:val="right" w:leader="dot" w:pos="9350"/>
            </w:tabs>
            <w:rPr>
              <w:rFonts w:asciiTheme="minorHAnsi" w:eastAsiaTheme="minorEastAsia" w:hAnsiTheme="minorHAnsi"/>
              <w:noProof/>
              <w:color w:val="auto"/>
              <w:sz w:val="22"/>
            </w:rPr>
          </w:pPr>
          <w:hyperlink w:anchor="_Toc134185956" w:history="1">
            <w:r w:rsidRPr="00B0648B">
              <w:rPr>
                <w:rStyle w:val="Hyperlink"/>
                <w:noProof/>
              </w:rPr>
              <w:t>LC-MS/MS Analysis</w:t>
            </w:r>
            <w:r>
              <w:rPr>
                <w:noProof/>
                <w:webHidden/>
              </w:rPr>
              <w:tab/>
            </w:r>
            <w:r>
              <w:rPr>
                <w:noProof/>
                <w:webHidden/>
              </w:rPr>
              <w:fldChar w:fldCharType="begin"/>
            </w:r>
            <w:r>
              <w:rPr>
                <w:noProof/>
                <w:webHidden/>
              </w:rPr>
              <w:instrText xml:space="preserve"> PAGEREF _Toc134185956 \h </w:instrText>
            </w:r>
            <w:r>
              <w:rPr>
                <w:noProof/>
                <w:webHidden/>
              </w:rPr>
            </w:r>
            <w:r>
              <w:rPr>
                <w:noProof/>
                <w:webHidden/>
              </w:rPr>
              <w:fldChar w:fldCharType="separate"/>
            </w:r>
            <w:r>
              <w:rPr>
                <w:noProof/>
                <w:webHidden/>
              </w:rPr>
              <w:t>19</w:t>
            </w:r>
            <w:r>
              <w:rPr>
                <w:noProof/>
                <w:webHidden/>
              </w:rPr>
              <w:fldChar w:fldCharType="end"/>
            </w:r>
          </w:hyperlink>
        </w:p>
        <w:p w14:paraId="5CA472A6" w14:textId="3BD6ED78" w:rsidR="005D6CF6" w:rsidRDefault="005D6CF6">
          <w:pPr>
            <w:pStyle w:val="TOC3"/>
            <w:tabs>
              <w:tab w:val="right" w:leader="dot" w:pos="9350"/>
            </w:tabs>
            <w:rPr>
              <w:rFonts w:asciiTheme="minorHAnsi" w:eastAsiaTheme="minorEastAsia" w:hAnsiTheme="minorHAnsi"/>
              <w:noProof/>
              <w:color w:val="auto"/>
              <w:sz w:val="22"/>
            </w:rPr>
          </w:pPr>
          <w:hyperlink w:anchor="_Toc134185957" w:history="1">
            <w:r w:rsidRPr="00B0648B">
              <w:rPr>
                <w:rStyle w:val="Hyperlink"/>
                <w:noProof/>
              </w:rPr>
              <w:t>Data Analysis and Processing</w:t>
            </w:r>
            <w:r>
              <w:rPr>
                <w:noProof/>
                <w:webHidden/>
              </w:rPr>
              <w:tab/>
            </w:r>
            <w:r>
              <w:rPr>
                <w:noProof/>
                <w:webHidden/>
              </w:rPr>
              <w:fldChar w:fldCharType="begin"/>
            </w:r>
            <w:r>
              <w:rPr>
                <w:noProof/>
                <w:webHidden/>
              </w:rPr>
              <w:instrText xml:space="preserve"> PAGEREF _Toc134185957 \h </w:instrText>
            </w:r>
            <w:r>
              <w:rPr>
                <w:noProof/>
                <w:webHidden/>
              </w:rPr>
            </w:r>
            <w:r>
              <w:rPr>
                <w:noProof/>
                <w:webHidden/>
              </w:rPr>
              <w:fldChar w:fldCharType="separate"/>
            </w:r>
            <w:r>
              <w:rPr>
                <w:noProof/>
                <w:webHidden/>
              </w:rPr>
              <w:t>21</w:t>
            </w:r>
            <w:r>
              <w:rPr>
                <w:noProof/>
                <w:webHidden/>
              </w:rPr>
              <w:fldChar w:fldCharType="end"/>
            </w:r>
          </w:hyperlink>
        </w:p>
        <w:p w14:paraId="2BCF439D" w14:textId="61475F03" w:rsidR="005D6CF6" w:rsidRDefault="005D6CF6">
          <w:pPr>
            <w:pStyle w:val="TOC3"/>
            <w:tabs>
              <w:tab w:val="right" w:leader="dot" w:pos="9350"/>
            </w:tabs>
            <w:rPr>
              <w:rFonts w:asciiTheme="minorHAnsi" w:eastAsiaTheme="minorEastAsia" w:hAnsiTheme="minorHAnsi"/>
              <w:noProof/>
              <w:color w:val="auto"/>
              <w:sz w:val="22"/>
            </w:rPr>
          </w:pPr>
          <w:hyperlink w:anchor="_Toc134185958" w:history="1">
            <w:r w:rsidRPr="00B0648B">
              <w:rPr>
                <w:rStyle w:val="Hyperlink"/>
                <w:noProof/>
              </w:rPr>
              <w:t>Mmvec and Statistical Analyses</w:t>
            </w:r>
            <w:r>
              <w:rPr>
                <w:noProof/>
                <w:webHidden/>
              </w:rPr>
              <w:tab/>
            </w:r>
            <w:r>
              <w:rPr>
                <w:noProof/>
                <w:webHidden/>
              </w:rPr>
              <w:fldChar w:fldCharType="begin"/>
            </w:r>
            <w:r>
              <w:rPr>
                <w:noProof/>
                <w:webHidden/>
              </w:rPr>
              <w:instrText xml:space="preserve"> PAGEREF _Toc134185958 \h </w:instrText>
            </w:r>
            <w:r>
              <w:rPr>
                <w:noProof/>
                <w:webHidden/>
              </w:rPr>
            </w:r>
            <w:r>
              <w:rPr>
                <w:noProof/>
                <w:webHidden/>
              </w:rPr>
              <w:fldChar w:fldCharType="separate"/>
            </w:r>
            <w:r>
              <w:rPr>
                <w:noProof/>
                <w:webHidden/>
              </w:rPr>
              <w:t>23</w:t>
            </w:r>
            <w:r>
              <w:rPr>
                <w:noProof/>
                <w:webHidden/>
              </w:rPr>
              <w:fldChar w:fldCharType="end"/>
            </w:r>
          </w:hyperlink>
        </w:p>
        <w:p w14:paraId="4961BACC" w14:textId="19808DB3" w:rsidR="005D6CF6" w:rsidRDefault="005D6CF6">
          <w:pPr>
            <w:pStyle w:val="TOC3"/>
            <w:tabs>
              <w:tab w:val="right" w:leader="dot" w:pos="9350"/>
            </w:tabs>
            <w:rPr>
              <w:rFonts w:asciiTheme="minorHAnsi" w:eastAsiaTheme="minorEastAsia" w:hAnsiTheme="minorHAnsi"/>
              <w:noProof/>
              <w:color w:val="auto"/>
              <w:sz w:val="22"/>
            </w:rPr>
          </w:pPr>
          <w:hyperlink w:anchor="_Toc134185959" w:history="1">
            <w:r w:rsidRPr="00B0648B">
              <w:rPr>
                <w:rStyle w:val="Hyperlink"/>
                <w:noProof/>
              </w:rPr>
              <w:t>Data Availability</w:t>
            </w:r>
            <w:r>
              <w:rPr>
                <w:noProof/>
                <w:webHidden/>
              </w:rPr>
              <w:tab/>
            </w:r>
            <w:r>
              <w:rPr>
                <w:noProof/>
                <w:webHidden/>
              </w:rPr>
              <w:fldChar w:fldCharType="begin"/>
            </w:r>
            <w:r>
              <w:rPr>
                <w:noProof/>
                <w:webHidden/>
              </w:rPr>
              <w:instrText xml:space="preserve"> PAGEREF _Toc134185959 \h </w:instrText>
            </w:r>
            <w:r>
              <w:rPr>
                <w:noProof/>
                <w:webHidden/>
              </w:rPr>
            </w:r>
            <w:r>
              <w:rPr>
                <w:noProof/>
                <w:webHidden/>
              </w:rPr>
              <w:fldChar w:fldCharType="separate"/>
            </w:r>
            <w:r>
              <w:rPr>
                <w:noProof/>
                <w:webHidden/>
              </w:rPr>
              <w:t>24</w:t>
            </w:r>
            <w:r>
              <w:rPr>
                <w:noProof/>
                <w:webHidden/>
              </w:rPr>
              <w:fldChar w:fldCharType="end"/>
            </w:r>
          </w:hyperlink>
        </w:p>
        <w:p w14:paraId="4547F901" w14:textId="4A2B3945" w:rsidR="005D6CF6" w:rsidRDefault="005D6CF6">
          <w:pPr>
            <w:pStyle w:val="TOC2"/>
            <w:tabs>
              <w:tab w:val="right" w:leader="dot" w:pos="9350"/>
            </w:tabs>
            <w:rPr>
              <w:rFonts w:asciiTheme="minorHAnsi" w:eastAsiaTheme="minorEastAsia" w:hAnsiTheme="minorHAnsi"/>
              <w:noProof/>
              <w:color w:val="auto"/>
              <w:sz w:val="22"/>
            </w:rPr>
          </w:pPr>
          <w:hyperlink w:anchor="_Toc134185960" w:history="1">
            <w:r w:rsidRPr="00B0648B">
              <w:rPr>
                <w:rStyle w:val="Hyperlink"/>
                <w:noProof/>
                <w:lang w:bidi="en-US"/>
              </w:rPr>
              <w:t>2.4 RESULTS AND DISCUSSION</w:t>
            </w:r>
            <w:r>
              <w:rPr>
                <w:noProof/>
                <w:webHidden/>
              </w:rPr>
              <w:tab/>
            </w:r>
            <w:r>
              <w:rPr>
                <w:noProof/>
                <w:webHidden/>
              </w:rPr>
              <w:fldChar w:fldCharType="begin"/>
            </w:r>
            <w:r>
              <w:rPr>
                <w:noProof/>
                <w:webHidden/>
              </w:rPr>
              <w:instrText xml:space="preserve"> PAGEREF _Toc134185960 \h </w:instrText>
            </w:r>
            <w:r>
              <w:rPr>
                <w:noProof/>
                <w:webHidden/>
              </w:rPr>
            </w:r>
            <w:r>
              <w:rPr>
                <w:noProof/>
                <w:webHidden/>
              </w:rPr>
              <w:fldChar w:fldCharType="separate"/>
            </w:r>
            <w:r>
              <w:rPr>
                <w:noProof/>
                <w:webHidden/>
              </w:rPr>
              <w:t>25</w:t>
            </w:r>
            <w:r>
              <w:rPr>
                <w:noProof/>
                <w:webHidden/>
              </w:rPr>
              <w:fldChar w:fldCharType="end"/>
            </w:r>
          </w:hyperlink>
        </w:p>
        <w:p w14:paraId="75286D7B" w14:textId="7175EB9F" w:rsidR="005D6CF6" w:rsidRDefault="005D6CF6">
          <w:pPr>
            <w:pStyle w:val="TOC2"/>
            <w:tabs>
              <w:tab w:val="right" w:leader="dot" w:pos="9350"/>
            </w:tabs>
            <w:rPr>
              <w:rFonts w:asciiTheme="minorHAnsi" w:eastAsiaTheme="minorEastAsia" w:hAnsiTheme="minorHAnsi"/>
              <w:noProof/>
              <w:color w:val="auto"/>
              <w:sz w:val="22"/>
            </w:rPr>
          </w:pPr>
          <w:hyperlink w:anchor="_Toc134185961" w:history="1">
            <w:r w:rsidRPr="00B0648B">
              <w:rPr>
                <w:rStyle w:val="Hyperlink"/>
                <w:noProof/>
              </w:rPr>
              <w:t>2.5 CONCLUSIONS</w:t>
            </w:r>
            <w:r>
              <w:rPr>
                <w:noProof/>
                <w:webHidden/>
              </w:rPr>
              <w:tab/>
            </w:r>
            <w:r>
              <w:rPr>
                <w:noProof/>
                <w:webHidden/>
              </w:rPr>
              <w:fldChar w:fldCharType="begin"/>
            </w:r>
            <w:r>
              <w:rPr>
                <w:noProof/>
                <w:webHidden/>
              </w:rPr>
              <w:instrText xml:space="preserve"> PAGEREF _Toc134185961 \h </w:instrText>
            </w:r>
            <w:r>
              <w:rPr>
                <w:noProof/>
                <w:webHidden/>
              </w:rPr>
            </w:r>
            <w:r>
              <w:rPr>
                <w:noProof/>
                <w:webHidden/>
              </w:rPr>
              <w:fldChar w:fldCharType="separate"/>
            </w:r>
            <w:r>
              <w:rPr>
                <w:noProof/>
                <w:webHidden/>
              </w:rPr>
              <w:t>46</w:t>
            </w:r>
            <w:r>
              <w:rPr>
                <w:noProof/>
                <w:webHidden/>
              </w:rPr>
              <w:fldChar w:fldCharType="end"/>
            </w:r>
          </w:hyperlink>
        </w:p>
        <w:p w14:paraId="2AFD0AE2" w14:textId="1614D7D0" w:rsidR="005D6CF6" w:rsidRDefault="005D6CF6">
          <w:pPr>
            <w:pStyle w:val="TOC1"/>
            <w:tabs>
              <w:tab w:val="right" w:leader="dot" w:pos="9350"/>
            </w:tabs>
            <w:rPr>
              <w:rFonts w:asciiTheme="minorHAnsi" w:eastAsiaTheme="minorEastAsia" w:hAnsiTheme="minorHAnsi"/>
              <w:noProof/>
              <w:color w:val="auto"/>
              <w:sz w:val="22"/>
            </w:rPr>
          </w:pPr>
          <w:hyperlink w:anchor="_Toc134185962" w:history="1">
            <w:r w:rsidRPr="00B0648B">
              <w:rPr>
                <w:rStyle w:val="Hyperlink"/>
                <w:noProof/>
              </w:rPr>
              <w:t>Chapter 3 - Untargeted Mass Spectrometry-Based Metabolomics Reveals Responses to High Fiber Whole-Food Diets and Microbiome Composition in Mice</w:t>
            </w:r>
            <w:r>
              <w:rPr>
                <w:noProof/>
                <w:webHidden/>
              </w:rPr>
              <w:tab/>
            </w:r>
            <w:r>
              <w:rPr>
                <w:noProof/>
                <w:webHidden/>
              </w:rPr>
              <w:fldChar w:fldCharType="begin"/>
            </w:r>
            <w:r>
              <w:rPr>
                <w:noProof/>
                <w:webHidden/>
              </w:rPr>
              <w:instrText xml:space="preserve"> PAGEREF _Toc134185962 \h </w:instrText>
            </w:r>
            <w:r>
              <w:rPr>
                <w:noProof/>
                <w:webHidden/>
              </w:rPr>
            </w:r>
            <w:r>
              <w:rPr>
                <w:noProof/>
                <w:webHidden/>
              </w:rPr>
              <w:fldChar w:fldCharType="separate"/>
            </w:r>
            <w:r>
              <w:rPr>
                <w:noProof/>
                <w:webHidden/>
              </w:rPr>
              <w:t>47</w:t>
            </w:r>
            <w:r>
              <w:rPr>
                <w:noProof/>
                <w:webHidden/>
              </w:rPr>
              <w:fldChar w:fldCharType="end"/>
            </w:r>
          </w:hyperlink>
        </w:p>
        <w:p w14:paraId="48975C0A" w14:textId="5F8A8C0A" w:rsidR="005D6CF6" w:rsidRDefault="005D6CF6">
          <w:pPr>
            <w:pStyle w:val="TOC2"/>
            <w:tabs>
              <w:tab w:val="right" w:leader="dot" w:pos="9350"/>
            </w:tabs>
            <w:rPr>
              <w:rFonts w:asciiTheme="minorHAnsi" w:eastAsiaTheme="minorEastAsia" w:hAnsiTheme="minorHAnsi"/>
              <w:noProof/>
              <w:color w:val="auto"/>
              <w:sz w:val="22"/>
            </w:rPr>
          </w:pPr>
          <w:hyperlink w:anchor="_Toc134185963" w:history="1">
            <w:r w:rsidRPr="00B0648B">
              <w:rPr>
                <w:rStyle w:val="Hyperlink"/>
                <w:noProof/>
              </w:rPr>
              <w:t>3.1 ABSTRACT</w:t>
            </w:r>
            <w:r>
              <w:rPr>
                <w:noProof/>
                <w:webHidden/>
              </w:rPr>
              <w:tab/>
            </w:r>
            <w:r>
              <w:rPr>
                <w:noProof/>
                <w:webHidden/>
              </w:rPr>
              <w:fldChar w:fldCharType="begin"/>
            </w:r>
            <w:r>
              <w:rPr>
                <w:noProof/>
                <w:webHidden/>
              </w:rPr>
              <w:instrText xml:space="preserve"> PAGEREF _Toc134185963 \h </w:instrText>
            </w:r>
            <w:r>
              <w:rPr>
                <w:noProof/>
                <w:webHidden/>
              </w:rPr>
            </w:r>
            <w:r>
              <w:rPr>
                <w:noProof/>
                <w:webHidden/>
              </w:rPr>
              <w:fldChar w:fldCharType="separate"/>
            </w:r>
            <w:r>
              <w:rPr>
                <w:noProof/>
                <w:webHidden/>
              </w:rPr>
              <w:t>47</w:t>
            </w:r>
            <w:r>
              <w:rPr>
                <w:noProof/>
                <w:webHidden/>
              </w:rPr>
              <w:fldChar w:fldCharType="end"/>
            </w:r>
          </w:hyperlink>
        </w:p>
        <w:p w14:paraId="71B2C099" w14:textId="656B1439" w:rsidR="005D6CF6" w:rsidRDefault="005D6CF6">
          <w:pPr>
            <w:pStyle w:val="TOC2"/>
            <w:tabs>
              <w:tab w:val="right" w:leader="dot" w:pos="9350"/>
            </w:tabs>
            <w:rPr>
              <w:rFonts w:asciiTheme="minorHAnsi" w:eastAsiaTheme="minorEastAsia" w:hAnsiTheme="minorHAnsi"/>
              <w:noProof/>
              <w:color w:val="auto"/>
              <w:sz w:val="22"/>
            </w:rPr>
          </w:pPr>
          <w:hyperlink w:anchor="_Toc134185964" w:history="1">
            <w:r w:rsidRPr="00B0648B">
              <w:rPr>
                <w:rStyle w:val="Hyperlink"/>
                <w:noProof/>
              </w:rPr>
              <w:t>3.2 INTRODUCTION</w:t>
            </w:r>
            <w:r>
              <w:rPr>
                <w:noProof/>
                <w:webHidden/>
              </w:rPr>
              <w:tab/>
            </w:r>
            <w:r>
              <w:rPr>
                <w:noProof/>
                <w:webHidden/>
              </w:rPr>
              <w:fldChar w:fldCharType="begin"/>
            </w:r>
            <w:r>
              <w:rPr>
                <w:noProof/>
                <w:webHidden/>
              </w:rPr>
              <w:instrText xml:space="preserve"> PAGEREF _Toc134185964 \h </w:instrText>
            </w:r>
            <w:r>
              <w:rPr>
                <w:noProof/>
                <w:webHidden/>
              </w:rPr>
            </w:r>
            <w:r>
              <w:rPr>
                <w:noProof/>
                <w:webHidden/>
              </w:rPr>
              <w:fldChar w:fldCharType="separate"/>
            </w:r>
            <w:r>
              <w:rPr>
                <w:noProof/>
                <w:webHidden/>
              </w:rPr>
              <w:t>49</w:t>
            </w:r>
            <w:r>
              <w:rPr>
                <w:noProof/>
                <w:webHidden/>
              </w:rPr>
              <w:fldChar w:fldCharType="end"/>
            </w:r>
          </w:hyperlink>
        </w:p>
        <w:p w14:paraId="7193AD08" w14:textId="71F3A330" w:rsidR="005D6CF6" w:rsidRDefault="005D6CF6">
          <w:pPr>
            <w:pStyle w:val="TOC2"/>
            <w:tabs>
              <w:tab w:val="right" w:leader="dot" w:pos="9350"/>
            </w:tabs>
            <w:rPr>
              <w:rFonts w:asciiTheme="minorHAnsi" w:eastAsiaTheme="minorEastAsia" w:hAnsiTheme="minorHAnsi"/>
              <w:noProof/>
              <w:color w:val="auto"/>
              <w:sz w:val="22"/>
            </w:rPr>
          </w:pPr>
          <w:hyperlink w:anchor="_Toc134185965" w:history="1">
            <w:r w:rsidRPr="00B0648B">
              <w:rPr>
                <w:rStyle w:val="Hyperlink"/>
                <w:noProof/>
              </w:rPr>
              <w:t>3.3 MATERIALS AND METHODS</w:t>
            </w:r>
            <w:r>
              <w:rPr>
                <w:noProof/>
                <w:webHidden/>
              </w:rPr>
              <w:tab/>
            </w:r>
            <w:r>
              <w:rPr>
                <w:noProof/>
                <w:webHidden/>
              </w:rPr>
              <w:fldChar w:fldCharType="begin"/>
            </w:r>
            <w:r>
              <w:rPr>
                <w:noProof/>
                <w:webHidden/>
              </w:rPr>
              <w:instrText xml:space="preserve"> PAGEREF _Toc134185965 \h </w:instrText>
            </w:r>
            <w:r>
              <w:rPr>
                <w:noProof/>
                <w:webHidden/>
              </w:rPr>
            </w:r>
            <w:r>
              <w:rPr>
                <w:noProof/>
                <w:webHidden/>
              </w:rPr>
              <w:fldChar w:fldCharType="separate"/>
            </w:r>
            <w:r>
              <w:rPr>
                <w:noProof/>
                <w:webHidden/>
              </w:rPr>
              <w:t>51</w:t>
            </w:r>
            <w:r>
              <w:rPr>
                <w:noProof/>
                <w:webHidden/>
              </w:rPr>
              <w:fldChar w:fldCharType="end"/>
            </w:r>
          </w:hyperlink>
        </w:p>
        <w:p w14:paraId="49620B0F" w14:textId="588FDEED" w:rsidR="005D6CF6" w:rsidRDefault="005D6CF6">
          <w:pPr>
            <w:pStyle w:val="TOC3"/>
            <w:tabs>
              <w:tab w:val="right" w:leader="dot" w:pos="9350"/>
            </w:tabs>
            <w:rPr>
              <w:rFonts w:asciiTheme="minorHAnsi" w:eastAsiaTheme="minorEastAsia" w:hAnsiTheme="minorHAnsi"/>
              <w:noProof/>
              <w:color w:val="auto"/>
              <w:sz w:val="22"/>
            </w:rPr>
          </w:pPr>
          <w:hyperlink w:anchor="_Toc134185966" w:history="1">
            <w:r w:rsidRPr="00B0648B">
              <w:rPr>
                <w:rStyle w:val="Hyperlink"/>
                <w:noProof/>
              </w:rPr>
              <w:t>Experiment Design</w:t>
            </w:r>
            <w:r>
              <w:rPr>
                <w:noProof/>
                <w:webHidden/>
              </w:rPr>
              <w:tab/>
            </w:r>
            <w:r>
              <w:rPr>
                <w:noProof/>
                <w:webHidden/>
              </w:rPr>
              <w:fldChar w:fldCharType="begin"/>
            </w:r>
            <w:r>
              <w:rPr>
                <w:noProof/>
                <w:webHidden/>
              </w:rPr>
              <w:instrText xml:space="preserve"> PAGEREF _Toc134185966 \h </w:instrText>
            </w:r>
            <w:r>
              <w:rPr>
                <w:noProof/>
                <w:webHidden/>
              </w:rPr>
            </w:r>
            <w:r>
              <w:rPr>
                <w:noProof/>
                <w:webHidden/>
              </w:rPr>
              <w:fldChar w:fldCharType="separate"/>
            </w:r>
            <w:r>
              <w:rPr>
                <w:noProof/>
                <w:webHidden/>
              </w:rPr>
              <w:t>51</w:t>
            </w:r>
            <w:r>
              <w:rPr>
                <w:noProof/>
                <w:webHidden/>
              </w:rPr>
              <w:fldChar w:fldCharType="end"/>
            </w:r>
          </w:hyperlink>
        </w:p>
        <w:p w14:paraId="514F21BA" w14:textId="2AEAE546" w:rsidR="005D6CF6" w:rsidRDefault="005D6CF6">
          <w:pPr>
            <w:pStyle w:val="TOC3"/>
            <w:tabs>
              <w:tab w:val="right" w:leader="dot" w:pos="9350"/>
            </w:tabs>
            <w:rPr>
              <w:rFonts w:asciiTheme="minorHAnsi" w:eastAsiaTheme="minorEastAsia" w:hAnsiTheme="minorHAnsi"/>
              <w:noProof/>
              <w:color w:val="auto"/>
              <w:sz w:val="22"/>
            </w:rPr>
          </w:pPr>
          <w:hyperlink w:anchor="_Toc134185967" w:history="1">
            <w:r w:rsidRPr="00B0648B">
              <w:rPr>
                <w:rStyle w:val="Hyperlink"/>
                <w:noProof/>
              </w:rPr>
              <w:t>Dietary Formulation</w:t>
            </w:r>
            <w:r>
              <w:rPr>
                <w:noProof/>
                <w:webHidden/>
              </w:rPr>
              <w:tab/>
            </w:r>
            <w:r>
              <w:rPr>
                <w:noProof/>
                <w:webHidden/>
              </w:rPr>
              <w:fldChar w:fldCharType="begin"/>
            </w:r>
            <w:r>
              <w:rPr>
                <w:noProof/>
                <w:webHidden/>
              </w:rPr>
              <w:instrText xml:space="preserve"> PAGEREF _Toc134185967 \h </w:instrText>
            </w:r>
            <w:r>
              <w:rPr>
                <w:noProof/>
                <w:webHidden/>
              </w:rPr>
            </w:r>
            <w:r>
              <w:rPr>
                <w:noProof/>
                <w:webHidden/>
              </w:rPr>
              <w:fldChar w:fldCharType="separate"/>
            </w:r>
            <w:r>
              <w:rPr>
                <w:noProof/>
                <w:webHidden/>
              </w:rPr>
              <w:t>53</w:t>
            </w:r>
            <w:r>
              <w:rPr>
                <w:noProof/>
                <w:webHidden/>
              </w:rPr>
              <w:fldChar w:fldCharType="end"/>
            </w:r>
          </w:hyperlink>
        </w:p>
        <w:p w14:paraId="63CDD042" w14:textId="1622395C" w:rsidR="005D6CF6" w:rsidRDefault="005D6CF6">
          <w:pPr>
            <w:pStyle w:val="TOC3"/>
            <w:tabs>
              <w:tab w:val="right" w:leader="dot" w:pos="9350"/>
            </w:tabs>
            <w:rPr>
              <w:rFonts w:asciiTheme="minorHAnsi" w:eastAsiaTheme="minorEastAsia" w:hAnsiTheme="minorHAnsi"/>
              <w:noProof/>
              <w:color w:val="auto"/>
              <w:sz w:val="22"/>
            </w:rPr>
          </w:pPr>
          <w:hyperlink w:anchor="_Toc134185968" w:history="1">
            <w:r w:rsidRPr="00B0648B">
              <w:rPr>
                <w:rStyle w:val="Hyperlink"/>
                <w:noProof/>
              </w:rPr>
              <w:t>Gnotobiotic husbandry</w:t>
            </w:r>
            <w:r>
              <w:rPr>
                <w:noProof/>
                <w:webHidden/>
              </w:rPr>
              <w:tab/>
            </w:r>
            <w:r>
              <w:rPr>
                <w:noProof/>
                <w:webHidden/>
              </w:rPr>
              <w:fldChar w:fldCharType="begin"/>
            </w:r>
            <w:r>
              <w:rPr>
                <w:noProof/>
                <w:webHidden/>
              </w:rPr>
              <w:instrText xml:space="preserve"> PAGEREF _Toc134185968 \h </w:instrText>
            </w:r>
            <w:r>
              <w:rPr>
                <w:noProof/>
                <w:webHidden/>
              </w:rPr>
            </w:r>
            <w:r>
              <w:rPr>
                <w:noProof/>
                <w:webHidden/>
              </w:rPr>
              <w:fldChar w:fldCharType="separate"/>
            </w:r>
            <w:r>
              <w:rPr>
                <w:noProof/>
                <w:webHidden/>
              </w:rPr>
              <w:t>53</w:t>
            </w:r>
            <w:r>
              <w:rPr>
                <w:noProof/>
                <w:webHidden/>
              </w:rPr>
              <w:fldChar w:fldCharType="end"/>
            </w:r>
          </w:hyperlink>
        </w:p>
        <w:p w14:paraId="69BB5F32" w14:textId="5D5DEEB6" w:rsidR="005D6CF6" w:rsidRDefault="005D6CF6">
          <w:pPr>
            <w:pStyle w:val="TOC3"/>
            <w:tabs>
              <w:tab w:val="right" w:leader="dot" w:pos="9350"/>
            </w:tabs>
            <w:rPr>
              <w:rFonts w:asciiTheme="minorHAnsi" w:eastAsiaTheme="minorEastAsia" w:hAnsiTheme="minorHAnsi"/>
              <w:noProof/>
              <w:color w:val="auto"/>
              <w:sz w:val="22"/>
            </w:rPr>
          </w:pPr>
          <w:hyperlink w:anchor="_Toc134185969" w:history="1">
            <w:r w:rsidRPr="00B0648B">
              <w:rPr>
                <w:rStyle w:val="Hyperlink"/>
                <w:noProof/>
              </w:rPr>
              <w:t>Colonization of GF mice with human fecal samples and diet interventions</w:t>
            </w:r>
            <w:r>
              <w:rPr>
                <w:noProof/>
                <w:webHidden/>
              </w:rPr>
              <w:tab/>
            </w:r>
            <w:r>
              <w:rPr>
                <w:noProof/>
                <w:webHidden/>
              </w:rPr>
              <w:fldChar w:fldCharType="begin"/>
            </w:r>
            <w:r>
              <w:rPr>
                <w:noProof/>
                <w:webHidden/>
              </w:rPr>
              <w:instrText xml:space="preserve"> PAGEREF _Toc134185969 \h </w:instrText>
            </w:r>
            <w:r>
              <w:rPr>
                <w:noProof/>
                <w:webHidden/>
              </w:rPr>
            </w:r>
            <w:r>
              <w:rPr>
                <w:noProof/>
                <w:webHidden/>
              </w:rPr>
              <w:fldChar w:fldCharType="separate"/>
            </w:r>
            <w:r>
              <w:rPr>
                <w:noProof/>
                <w:webHidden/>
              </w:rPr>
              <w:t>53</w:t>
            </w:r>
            <w:r>
              <w:rPr>
                <w:noProof/>
                <w:webHidden/>
              </w:rPr>
              <w:fldChar w:fldCharType="end"/>
            </w:r>
          </w:hyperlink>
        </w:p>
        <w:p w14:paraId="543FFE98" w14:textId="20AAB8DB" w:rsidR="005D6CF6" w:rsidRDefault="005D6CF6">
          <w:pPr>
            <w:pStyle w:val="TOC3"/>
            <w:tabs>
              <w:tab w:val="right" w:leader="dot" w:pos="9350"/>
            </w:tabs>
            <w:rPr>
              <w:rFonts w:asciiTheme="minorHAnsi" w:eastAsiaTheme="minorEastAsia" w:hAnsiTheme="minorHAnsi"/>
              <w:noProof/>
              <w:color w:val="auto"/>
              <w:sz w:val="22"/>
            </w:rPr>
          </w:pPr>
          <w:hyperlink w:anchor="_Toc134185970" w:history="1">
            <w:r w:rsidRPr="00B0648B">
              <w:rPr>
                <w:rStyle w:val="Hyperlink"/>
                <w:noProof/>
              </w:rPr>
              <w:t>Metabolite extraction for untargeted metabolomics</w:t>
            </w:r>
            <w:r>
              <w:rPr>
                <w:noProof/>
                <w:webHidden/>
              </w:rPr>
              <w:tab/>
            </w:r>
            <w:r>
              <w:rPr>
                <w:noProof/>
                <w:webHidden/>
              </w:rPr>
              <w:fldChar w:fldCharType="begin"/>
            </w:r>
            <w:r>
              <w:rPr>
                <w:noProof/>
                <w:webHidden/>
              </w:rPr>
              <w:instrText xml:space="preserve"> PAGEREF _Toc134185970 \h </w:instrText>
            </w:r>
            <w:r>
              <w:rPr>
                <w:noProof/>
                <w:webHidden/>
              </w:rPr>
            </w:r>
            <w:r>
              <w:rPr>
                <w:noProof/>
                <w:webHidden/>
              </w:rPr>
              <w:fldChar w:fldCharType="separate"/>
            </w:r>
            <w:r>
              <w:rPr>
                <w:noProof/>
                <w:webHidden/>
              </w:rPr>
              <w:t>54</w:t>
            </w:r>
            <w:r>
              <w:rPr>
                <w:noProof/>
                <w:webHidden/>
              </w:rPr>
              <w:fldChar w:fldCharType="end"/>
            </w:r>
          </w:hyperlink>
        </w:p>
        <w:p w14:paraId="3616E99B" w14:textId="0A8E042F" w:rsidR="005D6CF6" w:rsidRDefault="005D6CF6">
          <w:pPr>
            <w:pStyle w:val="TOC3"/>
            <w:tabs>
              <w:tab w:val="right" w:leader="dot" w:pos="9350"/>
            </w:tabs>
            <w:rPr>
              <w:rFonts w:asciiTheme="minorHAnsi" w:eastAsiaTheme="minorEastAsia" w:hAnsiTheme="minorHAnsi"/>
              <w:noProof/>
              <w:color w:val="auto"/>
              <w:sz w:val="22"/>
            </w:rPr>
          </w:pPr>
          <w:hyperlink w:anchor="_Toc134185971" w:history="1">
            <w:r w:rsidRPr="00B0648B">
              <w:rPr>
                <w:rStyle w:val="Hyperlink"/>
                <w:noProof/>
              </w:rPr>
              <w:t>Liquid Chromatography-Tandem Mass Spectrometry Data Acquisition</w:t>
            </w:r>
            <w:r>
              <w:rPr>
                <w:noProof/>
                <w:webHidden/>
              </w:rPr>
              <w:tab/>
            </w:r>
            <w:r>
              <w:rPr>
                <w:noProof/>
                <w:webHidden/>
              </w:rPr>
              <w:fldChar w:fldCharType="begin"/>
            </w:r>
            <w:r>
              <w:rPr>
                <w:noProof/>
                <w:webHidden/>
              </w:rPr>
              <w:instrText xml:space="preserve"> PAGEREF _Toc134185971 \h </w:instrText>
            </w:r>
            <w:r>
              <w:rPr>
                <w:noProof/>
                <w:webHidden/>
              </w:rPr>
            </w:r>
            <w:r>
              <w:rPr>
                <w:noProof/>
                <w:webHidden/>
              </w:rPr>
              <w:fldChar w:fldCharType="separate"/>
            </w:r>
            <w:r>
              <w:rPr>
                <w:noProof/>
                <w:webHidden/>
              </w:rPr>
              <w:t>55</w:t>
            </w:r>
            <w:r>
              <w:rPr>
                <w:noProof/>
                <w:webHidden/>
              </w:rPr>
              <w:fldChar w:fldCharType="end"/>
            </w:r>
          </w:hyperlink>
        </w:p>
        <w:p w14:paraId="280CB7BA" w14:textId="4D79733C" w:rsidR="005D6CF6" w:rsidRDefault="005D6CF6">
          <w:pPr>
            <w:pStyle w:val="TOC3"/>
            <w:tabs>
              <w:tab w:val="right" w:leader="dot" w:pos="9350"/>
            </w:tabs>
            <w:rPr>
              <w:rFonts w:asciiTheme="minorHAnsi" w:eastAsiaTheme="minorEastAsia" w:hAnsiTheme="minorHAnsi"/>
              <w:noProof/>
              <w:color w:val="auto"/>
              <w:sz w:val="22"/>
            </w:rPr>
          </w:pPr>
          <w:hyperlink w:anchor="_Toc134185972" w:history="1">
            <w:r w:rsidRPr="00B0648B">
              <w:rPr>
                <w:rStyle w:val="Hyperlink"/>
                <w:noProof/>
              </w:rPr>
              <w:t>Untargeted Metabolomics Data Analysis</w:t>
            </w:r>
            <w:r>
              <w:rPr>
                <w:noProof/>
                <w:webHidden/>
              </w:rPr>
              <w:tab/>
            </w:r>
            <w:r>
              <w:rPr>
                <w:noProof/>
                <w:webHidden/>
              </w:rPr>
              <w:fldChar w:fldCharType="begin"/>
            </w:r>
            <w:r>
              <w:rPr>
                <w:noProof/>
                <w:webHidden/>
              </w:rPr>
              <w:instrText xml:space="preserve"> PAGEREF _Toc134185972 \h </w:instrText>
            </w:r>
            <w:r>
              <w:rPr>
                <w:noProof/>
                <w:webHidden/>
              </w:rPr>
            </w:r>
            <w:r>
              <w:rPr>
                <w:noProof/>
                <w:webHidden/>
              </w:rPr>
              <w:fldChar w:fldCharType="separate"/>
            </w:r>
            <w:r>
              <w:rPr>
                <w:noProof/>
                <w:webHidden/>
              </w:rPr>
              <w:t>55</w:t>
            </w:r>
            <w:r>
              <w:rPr>
                <w:noProof/>
                <w:webHidden/>
              </w:rPr>
              <w:fldChar w:fldCharType="end"/>
            </w:r>
          </w:hyperlink>
        </w:p>
        <w:p w14:paraId="0AF11AF0" w14:textId="640D02A8" w:rsidR="005D6CF6" w:rsidRDefault="005D6CF6">
          <w:pPr>
            <w:pStyle w:val="TOC3"/>
            <w:tabs>
              <w:tab w:val="right" w:leader="dot" w:pos="9350"/>
            </w:tabs>
            <w:rPr>
              <w:rFonts w:asciiTheme="minorHAnsi" w:eastAsiaTheme="minorEastAsia" w:hAnsiTheme="minorHAnsi"/>
              <w:noProof/>
              <w:color w:val="auto"/>
              <w:sz w:val="22"/>
            </w:rPr>
          </w:pPr>
          <w:hyperlink w:anchor="_Toc134185973" w:history="1">
            <w:r w:rsidRPr="00B0648B">
              <w:rPr>
                <w:rStyle w:val="Hyperlink"/>
                <w:noProof/>
              </w:rPr>
              <w:t>Data availability</w:t>
            </w:r>
            <w:r>
              <w:rPr>
                <w:noProof/>
                <w:webHidden/>
              </w:rPr>
              <w:tab/>
            </w:r>
            <w:r>
              <w:rPr>
                <w:noProof/>
                <w:webHidden/>
              </w:rPr>
              <w:fldChar w:fldCharType="begin"/>
            </w:r>
            <w:r>
              <w:rPr>
                <w:noProof/>
                <w:webHidden/>
              </w:rPr>
              <w:instrText xml:space="preserve"> PAGEREF _Toc134185973 \h </w:instrText>
            </w:r>
            <w:r>
              <w:rPr>
                <w:noProof/>
                <w:webHidden/>
              </w:rPr>
            </w:r>
            <w:r>
              <w:rPr>
                <w:noProof/>
                <w:webHidden/>
              </w:rPr>
              <w:fldChar w:fldCharType="separate"/>
            </w:r>
            <w:r>
              <w:rPr>
                <w:noProof/>
                <w:webHidden/>
              </w:rPr>
              <w:t>58</w:t>
            </w:r>
            <w:r>
              <w:rPr>
                <w:noProof/>
                <w:webHidden/>
              </w:rPr>
              <w:fldChar w:fldCharType="end"/>
            </w:r>
          </w:hyperlink>
        </w:p>
        <w:p w14:paraId="5EA31DC9" w14:textId="2EC240EF" w:rsidR="005D6CF6" w:rsidRDefault="005D6CF6">
          <w:pPr>
            <w:pStyle w:val="TOC2"/>
            <w:tabs>
              <w:tab w:val="right" w:leader="dot" w:pos="9350"/>
            </w:tabs>
            <w:rPr>
              <w:rFonts w:asciiTheme="minorHAnsi" w:eastAsiaTheme="minorEastAsia" w:hAnsiTheme="minorHAnsi"/>
              <w:noProof/>
              <w:color w:val="auto"/>
              <w:sz w:val="22"/>
            </w:rPr>
          </w:pPr>
          <w:hyperlink w:anchor="_Toc134185974" w:history="1">
            <w:r w:rsidRPr="00B0648B">
              <w:rPr>
                <w:rStyle w:val="Hyperlink"/>
                <w:noProof/>
              </w:rPr>
              <w:t>3.4 RESULTS AND DISCUSSION</w:t>
            </w:r>
            <w:r>
              <w:rPr>
                <w:noProof/>
                <w:webHidden/>
              </w:rPr>
              <w:tab/>
            </w:r>
            <w:r>
              <w:rPr>
                <w:noProof/>
                <w:webHidden/>
              </w:rPr>
              <w:fldChar w:fldCharType="begin"/>
            </w:r>
            <w:r>
              <w:rPr>
                <w:noProof/>
                <w:webHidden/>
              </w:rPr>
              <w:instrText xml:space="preserve"> PAGEREF _Toc134185974 \h </w:instrText>
            </w:r>
            <w:r>
              <w:rPr>
                <w:noProof/>
                <w:webHidden/>
              </w:rPr>
            </w:r>
            <w:r>
              <w:rPr>
                <w:noProof/>
                <w:webHidden/>
              </w:rPr>
              <w:fldChar w:fldCharType="separate"/>
            </w:r>
            <w:r>
              <w:rPr>
                <w:noProof/>
                <w:webHidden/>
              </w:rPr>
              <w:t>59</w:t>
            </w:r>
            <w:r>
              <w:rPr>
                <w:noProof/>
                <w:webHidden/>
              </w:rPr>
              <w:fldChar w:fldCharType="end"/>
            </w:r>
          </w:hyperlink>
        </w:p>
        <w:p w14:paraId="32BA957E" w14:textId="2BB71909" w:rsidR="005D6CF6" w:rsidRDefault="005D6CF6">
          <w:pPr>
            <w:pStyle w:val="TOC3"/>
            <w:tabs>
              <w:tab w:val="right" w:leader="dot" w:pos="9350"/>
            </w:tabs>
            <w:rPr>
              <w:rFonts w:asciiTheme="minorHAnsi" w:eastAsiaTheme="minorEastAsia" w:hAnsiTheme="minorHAnsi"/>
              <w:noProof/>
              <w:color w:val="auto"/>
              <w:sz w:val="22"/>
            </w:rPr>
          </w:pPr>
          <w:hyperlink w:anchor="_Toc134185975" w:history="1">
            <w:r w:rsidRPr="00B0648B">
              <w:rPr>
                <w:rStyle w:val="Hyperlink"/>
                <w:noProof/>
              </w:rPr>
              <w:t>Diet and gut community differentially modulate cecal metabolites</w:t>
            </w:r>
            <w:r>
              <w:rPr>
                <w:noProof/>
                <w:webHidden/>
              </w:rPr>
              <w:tab/>
            </w:r>
            <w:r>
              <w:rPr>
                <w:noProof/>
                <w:webHidden/>
              </w:rPr>
              <w:fldChar w:fldCharType="begin"/>
            </w:r>
            <w:r>
              <w:rPr>
                <w:noProof/>
                <w:webHidden/>
              </w:rPr>
              <w:instrText xml:space="preserve"> PAGEREF _Toc134185975 \h </w:instrText>
            </w:r>
            <w:r>
              <w:rPr>
                <w:noProof/>
                <w:webHidden/>
              </w:rPr>
            </w:r>
            <w:r>
              <w:rPr>
                <w:noProof/>
                <w:webHidden/>
              </w:rPr>
              <w:fldChar w:fldCharType="separate"/>
            </w:r>
            <w:r>
              <w:rPr>
                <w:noProof/>
                <w:webHidden/>
              </w:rPr>
              <w:t>59</w:t>
            </w:r>
            <w:r>
              <w:rPr>
                <w:noProof/>
                <w:webHidden/>
              </w:rPr>
              <w:fldChar w:fldCharType="end"/>
            </w:r>
          </w:hyperlink>
        </w:p>
        <w:p w14:paraId="3B05C4B6" w14:textId="05C90E9E" w:rsidR="005D6CF6" w:rsidRDefault="005D6CF6">
          <w:pPr>
            <w:pStyle w:val="TOC3"/>
            <w:tabs>
              <w:tab w:val="right" w:leader="dot" w:pos="9350"/>
            </w:tabs>
            <w:rPr>
              <w:rFonts w:asciiTheme="minorHAnsi" w:eastAsiaTheme="minorEastAsia" w:hAnsiTheme="minorHAnsi"/>
              <w:noProof/>
              <w:color w:val="auto"/>
              <w:sz w:val="22"/>
            </w:rPr>
          </w:pPr>
          <w:hyperlink w:anchor="_Toc134185976" w:history="1">
            <w:r w:rsidRPr="00B0648B">
              <w:rPr>
                <w:rStyle w:val="Hyperlink"/>
                <w:noProof/>
              </w:rPr>
              <w:t>Diets and gut communities modulate serum metabolites</w:t>
            </w:r>
            <w:r>
              <w:rPr>
                <w:noProof/>
                <w:webHidden/>
              </w:rPr>
              <w:tab/>
            </w:r>
            <w:r>
              <w:rPr>
                <w:noProof/>
                <w:webHidden/>
              </w:rPr>
              <w:fldChar w:fldCharType="begin"/>
            </w:r>
            <w:r>
              <w:rPr>
                <w:noProof/>
                <w:webHidden/>
              </w:rPr>
              <w:instrText xml:space="preserve"> PAGEREF _Toc134185976 \h </w:instrText>
            </w:r>
            <w:r>
              <w:rPr>
                <w:noProof/>
                <w:webHidden/>
              </w:rPr>
            </w:r>
            <w:r>
              <w:rPr>
                <w:noProof/>
                <w:webHidden/>
              </w:rPr>
              <w:fldChar w:fldCharType="separate"/>
            </w:r>
            <w:r>
              <w:rPr>
                <w:noProof/>
                <w:webHidden/>
              </w:rPr>
              <w:t>70</w:t>
            </w:r>
            <w:r>
              <w:rPr>
                <w:noProof/>
                <w:webHidden/>
              </w:rPr>
              <w:fldChar w:fldCharType="end"/>
            </w:r>
          </w:hyperlink>
        </w:p>
        <w:p w14:paraId="67584DF6" w14:textId="4FC339C6" w:rsidR="005D6CF6" w:rsidRDefault="005D6CF6">
          <w:pPr>
            <w:pStyle w:val="TOC2"/>
            <w:tabs>
              <w:tab w:val="right" w:leader="dot" w:pos="9350"/>
            </w:tabs>
            <w:rPr>
              <w:rFonts w:asciiTheme="minorHAnsi" w:eastAsiaTheme="minorEastAsia" w:hAnsiTheme="minorHAnsi"/>
              <w:noProof/>
              <w:color w:val="auto"/>
              <w:sz w:val="22"/>
            </w:rPr>
          </w:pPr>
          <w:hyperlink w:anchor="_Toc134185977" w:history="1">
            <w:r w:rsidRPr="00B0648B">
              <w:rPr>
                <w:rStyle w:val="Hyperlink"/>
                <w:noProof/>
              </w:rPr>
              <w:t>3.5 CONCLUSIONS</w:t>
            </w:r>
            <w:r>
              <w:rPr>
                <w:noProof/>
                <w:webHidden/>
              </w:rPr>
              <w:tab/>
            </w:r>
            <w:r>
              <w:rPr>
                <w:noProof/>
                <w:webHidden/>
              </w:rPr>
              <w:fldChar w:fldCharType="begin"/>
            </w:r>
            <w:r>
              <w:rPr>
                <w:noProof/>
                <w:webHidden/>
              </w:rPr>
              <w:instrText xml:space="preserve"> PAGEREF _Toc134185977 \h </w:instrText>
            </w:r>
            <w:r>
              <w:rPr>
                <w:noProof/>
                <w:webHidden/>
              </w:rPr>
            </w:r>
            <w:r>
              <w:rPr>
                <w:noProof/>
                <w:webHidden/>
              </w:rPr>
              <w:fldChar w:fldCharType="separate"/>
            </w:r>
            <w:r>
              <w:rPr>
                <w:noProof/>
                <w:webHidden/>
              </w:rPr>
              <w:t>71</w:t>
            </w:r>
            <w:r>
              <w:rPr>
                <w:noProof/>
                <w:webHidden/>
              </w:rPr>
              <w:fldChar w:fldCharType="end"/>
            </w:r>
          </w:hyperlink>
        </w:p>
        <w:p w14:paraId="41B3BA06" w14:textId="44B07856" w:rsidR="005D6CF6" w:rsidRDefault="005D6CF6">
          <w:pPr>
            <w:pStyle w:val="TOC1"/>
            <w:tabs>
              <w:tab w:val="right" w:leader="dot" w:pos="9350"/>
            </w:tabs>
            <w:rPr>
              <w:rFonts w:asciiTheme="minorHAnsi" w:eastAsiaTheme="minorEastAsia" w:hAnsiTheme="minorHAnsi"/>
              <w:noProof/>
              <w:color w:val="auto"/>
              <w:sz w:val="22"/>
            </w:rPr>
          </w:pPr>
          <w:hyperlink w:anchor="_Toc134185978" w:history="1">
            <w:r w:rsidRPr="00B0648B">
              <w:rPr>
                <w:rStyle w:val="Hyperlink"/>
                <w:noProof/>
              </w:rPr>
              <w:t>Chapter 4 - Mass Spectrometry Database of Archaeologically Relevant Plants</w:t>
            </w:r>
            <w:r>
              <w:rPr>
                <w:noProof/>
                <w:webHidden/>
              </w:rPr>
              <w:tab/>
            </w:r>
            <w:r>
              <w:rPr>
                <w:noProof/>
                <w:webHidden/>
              </w:rPr>
              <w:fldChar w:fldCharType="begin"/>
            </w:r>
            <w:r>
              <w:rPr>
                <w:noProof/>
                <w:webHidden/>
              </w:rPr>
              <w:instrText xml:space="preserve"> PAGEREF _Toc134185978 \h </w:instrText>
            </w:r>
            <w:r>
              <w:rPr>
                <w:noProof/>
                <w:webHidden/>
              </w:rPr>
            </w:r>
            <w:r>
              <w:rPr>
                <w:noProof/>
                <w:webHidden/>
              </w:rPr>
              <w:fldChar w:fldCharType="separate"/>
            </w:r>
            <w:r>
              <w:rPr>
                <w:noProof/>
                <w:webHidden/>
              </w:rPr>
              <w:t>73</w:t>
            </w:r>
            <w:r>
              <w:rPr>
                <w:noProof/>
                <w:webHidden/>
              </w:rPr>
              <w:fldChar w:fldCharType="end"/>
            </w:r>
          </w:hyperlink>
        </w:p>
        <w:p w14:paraId="26F441FC" w14:textId="7B2C8E14" w:rsidR="005D6CF6" w:rsidRDefault="005D6CF6">
          <w:pPr>
            <w:pStyle w:val="TOC1"/>
            <w:tabs>
              <w:tab w:val="right" w:leader="dot" w:pos="9350"/>
            </w:tabs>
            <w:rPr>
              <w:rFonts w:asciiTheme="minorHAnsi" w:eastAsiaTheme="minorEastAsia" w:hAnsiTheme="minorHAnsi"/>
              <w:noProof/>
              <w:color w:val="auto"/>
              <w:sz w:val="22"/>
            </w:rPr>
          </w:pPr>
          <w:hyperlink w:anchor="_Toc134185979" w:history="1">
            <w:r w:rsidRPr="00B0648B">
              <w:rPr>
                <w:rStyle w:val="Hyperlink"/>
                <w:noProof/>
              </w:rPr>
              <w:t>for Organic Residue Analysis</w:t>
            </w:r>
            <w:r>
              <w:rPr>
                <w:noProof/>
                <w:webHidden/>
              </w:rPr>
              <w:tab/>
            </w:r>
            <w:r>
              <w:rPr>
                <w:noProof/>
                <w:webHidden/>
              </w:rPr>
              <w:fldChar w:fldCharType="begin"/>
            </w:r>
            <w:r>
              <w:rPr>
                <w:noProof/>
                <w:webHidden/>
              </w:rPr>
              <w:instrText xml:space="preserve"> PAGEREF _Toc134185979 \h </w:instrText>
            </w:r>
            <w:r>
              <w:rPr>
                <w:noProof/>
                <w:webHidden/>
              </w:rPr>
            </w:r>
            <w:r>
              <w:rPr>
                <w:noProof/>
                <w:webHidden/>
              </w:rPr>
              <w:fldChar w:fldCharType="separate"/>
            </w:r>
            <w:r>
              <w:rPr>
                <w:noProof/>
                <w:webHidden/>
              </w:rPr>
              <w:t>73</w:t>
            </w:r>
            <w:r>
              <w:rPr>
                <w:noProof/>
                <w:webHidden/>
              </w:rPr>
              <w:fldChar w:fldCharType="end"/>
            </w:r>
          </w:hyperlink>
        </w:p>
        <w:p w14:paraId="0394372B" w14:textId="09CC93D9" w:rsidR="005D6CF6" w:rsidRDefault="005D6CF6">
          <w:pPr>
            <w:pStyle w:val="TOC2"/>
            <w:tabs>
              <w:tab w:val="right" w:leader="dot" w:pos="9350"/>
            </w:tabs>
            <w:rPr>
              <w:rFonts w:asciiTheme="minorHAnsi" w:eastAsiaTheme="minorEastAsia" w:hAnsiTheme="minorHAnsi"/>
              <w:noProof/>
              <w:color w:val="auto"/>
              <w:sz w:val="22"/>
            </w:rPr>
          </w:pPr>
          <w:hyperlink w:anchor="_Toc134185980" w:history="1">
            <w:r w:rsidRPr="00B0648B">
              <w:rPr>
                <w:rStyle w:val="Hyperlink"/>
                <w:noProof/>
              </w:rPr>
              <w:t>4.1 ABSTRACT</w:t>
            </w:r>
            <w:r>
              <w:rPr>
                <w:noProof/>
                <w:webHidden/>
              </w:rPr>
              <w:tab/>
            </w:r>
            <w:r>
              <w:rPr>
                <w:noProof/>
                <w:webHidden/>
              </w:rPr>
              <w:fldChar w:fldCharType="begin"/>
            </w:r>
            <w:r>
              <w:rPr>
                <w:noProof/>
                <w:webHidden/>
              </w:rPr>
              <w:instrText xml:space="preserve"> PAGEREF _Toc134185980 \h </w:instrText>
            </w:r>
            <w:r>
              <w:rPr>
                <w:noProof/>
                <w:webHidden/>
              </w:rPr>
            </w:r>
            <w:r>
              <w:rPr>
                <w:noProof/>
                <w:webHidden/>
              </w:rPr>
              <w:fldChar w:fldCharType="separate"/>
            </w:r>
            <w:r>
              <w:rPr>
                <w:noProof/>
                <w:webHidden/>
              </w:rPr>
              <w:t>73</w:t>
            </w:r>
            <w:r>
              <w:rPr>
                <w:noProof/>
                <w:webHidden/>
              </w:rPr>
              <w:fldChar w:fldCharType="end"/>
            </w:r>
          </w:hyperlink>
        </w:p>
        <w:p w14:paraId="68151F32" w14:textId="1BA6D174" w:rsidR="005D6CF6" w:rsidRDefault="005D6CF6">
          <w:pPr>
            <w:pStyle w:val="TOC2"/>
            <w:tabs>
              <w:tab w:val="right" w:leader="dot" w:pos="9350"/>
            </w:tabs>
            <w:rPr>
              <w:rFonts w:asciiTheme="minorHAnsi" w:eastAsiaTheme="minorEastAsia" w:hAnsiTheme="minorHAnsi"/>
              <w:noProof/>
              <w:color w:val="auto"/>
              <w:sz w:val="22"/>
            </w:rPr>
          </w:pPr>
          <w:hyperlink w:anchor="_Toc134185981" w:history="1">
            <w:r w:rsidRPr="00B0648B">
              <w:rPr>
                <w:rStyle w:val="Hyperlink"/>
                <w:noProof/>
              </w:rPr>
              <w:t>4.2 INTRODUCTION</w:t>
            </w:r>
            <w:r>
              <w:rPr>
                <w:noProof/>
                <w:webHidden/>
              </w:rPr>
              <w:tab/>
            </w:r>
            <w:r>
              <w:rPr>
                <w:noProof/>
                <w:webHidden/>
              </w:rPr>
              <w:fldChar w:fldCharType="begin"/>
            </w:r>
            <w:r>
              <w:rPr>
                <w:noProof/>
                <w:webHidden/>
              </w:rPr>
              <w:instrText xml:space="preserve"> PAGEREF _Toc134185981 \h </w:instrText>
            </w:r>
            <w:r>
              <w:rPr>
                <w:noProof/>
                <w:webHidden/>
              </w:rPr>
            </w:r>
            <w:r>
              <w:rPr>
                <w:noProof/>
                <w:webHidden/>
              </w:rPr>
              <w:fldChar w:fldCharType="separate"/>
            </w:r>
            <w:r>
              <w:rPr>
                <w:noProof/>
                <w:webHidden/>
              </w:rPr>
              <w:t>74</w:t>
            </w:r>
            <w:r>
              <w:rPr>
                <w:noProof/>
                <w:webHidden/>
              </w:rPr>
              <w:fldChar w:fldCharType="end"/>
            </w:r>
          </w:hyperlink>
        </w:p>
        <w:p w14:paraId="0D5AB24F" w14:textId="5191287B" w:rsidR="005D6CF6" w:rsidRDefault="005D6CF6">
          <w:pPr>
            <w:pStyle w:val="TOC2"/>
            <w:tabs>
              <w:tab w:val="right" w:leader="dot" w:pos="9350"/>
            </w:tabs>
            <w:rPr>
              <w:rFonts w:asciiTheme="minorHAnsi" w:eastAsiaTheme="minorEastAsia" w:hAnsiTheme="minorHAnsi"/>
              <w:noProof/>
              <w:color w:val="auto"/>
              <w:sz w:val="22"/>
            </w:rPr>
          </w:pPr>
          <w:hyperlink w:anchor="_Toc134185982" w:history="1">
            <w:r w:rsidRPr="00B0648B">
              <w:rPr>
                <w:rStyle w:val="Hyperlink"/>
                <w:noProof/>
              </w:rPr>
              <w:t>4.3 MATERIALS AND METHODS</w:t>
            </w:r>
            <w:r>
              <w:rPr>
                <w:noProof/>
                <w:webHidden/>
              </w:rPr>
              <w:tab/>
            </w:r>
            <w:r>
              <w:rPr>
                <w:noProof/>
                <w:webHidden/>
              </w:rPr>
              <w:fldChar w:fldCharType="begin"/>
            </w:r>
            <w:r>
              <w:rPr>
                <w:noProof/>
                <w:webHidden/>
              </w:rPr>
              <w:instrText xml:space="preserve"> PAGEREF _Toc134185982 \h </w:instrText>
            </w:r>
            <w:r>
              <w:rPr>
                <w:noProof/>
                <w:webHidden/>
              </w:rPr>
            </w:r>
            <w:r>
              <w:rPr>
                <w:noProof/>
                <w:webHidden/>
              </w:rPr>
              <w:fldChar w:fldCharType="separate"/>
            </w:r>
            <w:r>
              <w:rPr>
                <w:noProof/>
                <w:webHidden/>
              </w:rPr>
              <w:t>78</w:t>
            </w:r>
            <w:r>
              <w:rPr>
                <w:noProof/>
                <w:webHidden/>
              </w:rPr>
              <w:fldChar w:fldCharType="end"/>
            </w:r>
          </w:hyperlink>
        </w:p>
        <w:p w14:paraId="6B773ED0" w14:textId="78FE5231" w:rsidR="005D6CF6" w:rsidRDefault="005D6CF6">
          <w:pPr>
            <w:pStyle w:val="TOC3"/>
            <w:tabs>
              <w:tab w:val="right" w:leader="dot" w:pos="9350"/>
            </w:tabs>
            <w:rPr>
              <w:rFonts w:asciiTheme="minorHAnsi" w:eastAsiaTheme="minorEastAsia" w:hAnsiTheme="minorHAnsi"/>
              <w:noProof/>
              <w:color w:val="auto"/>
              <w:sz w:val="22"/>
            </w:rPr>
          </w:pPr>
          <w:hyperlink w:anchor="_Toc134185983" w:history="1">
            <w:r w:rsidRPr="00B0648B">
              <w:rPr>
                <w:rStyle w:val="Hyperlink"/>
                <w:noProof/>
              </w:rPr>
              <w:t>Project Design</w:t>
            </w:r>
            <w:r>
              <w:rPr>
                <w:noProof/>
                <w:webHidden/>
              </w:rPr>
              <w:tab/>
            </w:r>
            <w:r>
              <w:rPr>
                <w:noProof/>
                <w:webHidden/>
              </w:rPr>
              <w:fldChar w:fldCharType="begin"/>
            </w:r>
            <w:r>
              <w:rPr>
                <w:noProof/>
                <w:webHidden/>
              </w:rPr>
              <w:instrText xml:space="preserve"> PAGEREF _Toc134185983 \h </w:instrText>
            </w:r>
            <w:r>
              <w:rPr>
                <w:noProof/>
                <w:webHidden/>
              </w:rPr>
            </w:r>
            <w:r>
              <w:rPr>
                <w:noProof/>
                <w:webHidden/>
              </w:rPr>
              <w:fldChar w:fldCharType="separate"/>
            </w:r>
            <w:r>
              <w:rPr>
                <w:noProof/>
                <w:webHidden/>
              </w:rPr>
              <w:t>78</w:t>
            </w:r>
            <w:r>
              <w:rPr>
                <w:noProof/>
                <w:webHidden/>
              </w:rPr>
              <w:fldChar w:fldCharType="end"/>
            </w:r>
          </w:hyperlink>
        </w:p>
        <w:p w14:paraId="58B1A1A7" w14:textId="4C559B9A" w:rsidR="005D6CF6" w:rsidRDefault="005D6CF6">
          <w:pPr>
            <w:pStyle w:val="TOC3"/>
            <w:tabs>
              <w:tab w:val="right" w:leader="dot" w:pos="9350"/>
            </w:tabs>
            <w:rPr>
              <w:rFonts w:asciiTheme="minorHAnsi" w:eastAsiaTheme="minorEastAsia" w:hAnsiTheme="minorHAnsi"/>
              <w:noProof/>
              <w:color w:val="auto"/>
              <w:sz w:val="22"/>
            </w:rPr>
          </w:pPr>
          <w:hyperlink w:anchor="_Toc134185984" w:history="1">
            <w:r w:rsidRPr="00B0648B">
              <w:rPr>
                <w:rStyle w:val="Hyperlink"/>
                <w:noProof/>
              </w:rPr>
              <w:t>Sample Collection</w:t>
            </w:r>
            <w:r>
              <w:rPr>
                <w:noProof/>
                <w:webHidden/>
              </w:rPr>
              <w:tab/>
            </w:r>
            <w:r>
              <w:rPr>
                <w:noProof/>
                <w:webHidden/>
              </w:rPr>
              <w:fldChar w:fldCharType="begin"/>
            </w:r>
            <w:r>
              <w:rPr>
                <w:noProof/>
                <w:webHidden/>
              </w:rPr>
              <w:instrText xml:space="preserve"> PAGEREF _Toc134185984 \h </w:instrText>
            </w:r>
            <w:r>
              <w:rPr>
                <w:noProof/>
                <w:webHidden/>
              </w:rPr>
            </w:r>
            <w:r>
              <w:rPr>
                <w:noProof/>
                <w:webHidden/>
              </w:rPr>
              <w:fldChar w:fldCharType="separate"/>
            </w:r>
            <w:r>
              <w:rPr>
                <w:noProof/>
                <w:webHidden/>
              </w:rPr>
              <w:t>79</w:t>
            </w:r>
            <w:r>
              <w:rPr>
                <w:noProof/>
                <w:webHidden/>
              </w:rPr>
              <w:fldChar w:fldCharType="end"/>
            </w:r>
          </w:hyperlink>
        </w:p>
        <w:p w14:paraId="319379AE" w14:textId="7498C291" w:rsidR="005D6CF6" w:rsidRDefault="005D6CF6">
          <w:pPr>
            <w:pStyle w:val="TOC3"/>
            <w:tabs>
              <w:tab w:val="right" w:leader="dot" w:pos="9350"/>
            </w:tabs>
            <w:rPr>
              <w:rFonts w:asciiTheme="minorHAnsi" w:eastAsiaTheme="minorEastAsia" w:hAnsiTheme="minorHAnsi"/>
              <w:noProof/>
              <w:color w:val="auto"/>
              <w:sz w:val="22"/>
            </w:rPr>
          </w:pPr>
          <w:hyperlink w:anchor="_Toc134185985" w:history="1">
            <w:r w:rsidRPr="00B0648B">
              <w:rPr>
                <w:rStyle w:val="Hyperlink"/>
                <w:noProof/>
              </w:rPr>
              <w:t>Sample Treatment and Extraction</w:t>
            </w:r>
            <w:r>
              <w:rPr>
                <w:noProof/>
                <w:webHidden/>
              </w:rPr>
              <w:tab/>
            </w:r>
            <w:r>
              <w:rPr>
                <w:noProof/>
                <w:webHidden/>
              </w:rPr>
              <w:fldChar w:fldCharType="begin"/>
            </w:r>
            <w:r>
              <w:rPr>
                <w:noProof/>
                <w:webHidden/>
              </w:rPr>
              <w:instrText xml:space="preserve"> PAGEREF _Toc134185985 \h </w:instrText>
            </w:r>
            <w:r>
              <w:rPr>
                <w:noProof/>
                <w:webHidden/>
              </w:rPr>
            </w:r>
            <w:r>
              <w:rPr>
                <w:noProof/>
                <w:webHidden/>
              </w:rPr>
              <w:fldChar w:fldCharType="separate"/>
            </w:r>
            <w:r>
              <w:rPr>
                <w:noProof/>
                <w:webHidden/>
              </w:rPr>
              <w:t>80</w:t>
            </w:r>
            <w:r>
              <w:rPr>
                <w:noProof/>
                <w:webHidden/>
              </w:rPr>
              <w:fldChar w:fldCharType="end"/>
            </w:r>
          </w:hyperlink>
        </w:p>
        <w:p w14:paraId="01AFE547" w14:textId="21AFD7C6" w:rsidR="005D6CF6" w:rsidRDefault="005D6CF6">
          <w:pPr>
            <w:pStyle w:val="TOC3"/>
            <w:tabs>
              <w:tab w:val="right" w:leader="dot" w:pos="9350"/>
            </w:tabs>
            <w:rPr>
              <w:rFonts w:asciiTheme="minorHAnsi" w:eastAsiaTheme="minorEastAsia" w:hAnsiTheme="minorHAnsi"/>
              <w:noProof/>
              <w:color w:val="auto"/>
              <w:sz w:val="22"/>
            </w:rPr>
          </w:pPr>
          <w:hyperlink w:anchor="_Toc134185986" w:history="1">
            <w:r w:rsidRPr="00B0648B">
              <w:rPr>
                <w:rStyle w:val="Hyperlink"/>
                <w:noProof/>
              </w:rPr>
              <w:t>LC-MS/MS Analysis</w:t>
            </w:r>
            <w:r>
              <w:rPr>
                <w:noProof/>
                <w:webHidden/>
              </w:rPr>
              <w:tab/>
            </w:r>
            <w:r>
              <w:rPr>
                <w:noProof/>
                <w:webHidden/>
              </w:rPr>
              <w:fldChar w:fldCharType="begin"/>
            </w:r>
            <w:r>
              <w:rPr>
                <w:noProof/>
                <w:webHidden/>
              </w:rPr>
              <w:instrText xml:space="preserve"> PAGEREF _Toc134185986 \h </w:instrText>
            </w:r>
            <w:r>
              <w:rPr>
                <w:noProof/>
                <w:webHidden/>
              </w:rPr>
            </w:r>
            <w:r>
              <w:rPr>
                <w:noProof/>
                <w:webHidden/>
              </w:rPr>
              <w:fldChar w:fldCharType="separate"/>
            </w:r>
            <w:r>
              <w:rPr>
                <w:noProof/>
                <w:webHidden/>
              </w:rPr>
              <w:t>83</w:t>
            </w:r>
            <w:r>
              <w:rPr>
                <w:noProof/>
                <w:webHidden/>
              </w:rPr>
              <w:fldChar w:fldCharType="end"/>
            </w:r>
          </w:hyperlink>
        </w:p>
        <w:p w14:paraId="53FB78D5" w14:textId="152A446F" w:rsidR="005D6CF6" w:rsidRDefault="005D6CF6">
          <w:pPr>
            <w:pStyle w:val="TOC3"/>
            <w:tabs>
              <w:tab w:val="right" w:leader="dot" w:pos="9350"/>
            </w:tabs>
            <w:rPr>
              <w:rFonts w:asciiTheme="minorHAnsi" w:eastAsiaTheme="minorEastAsia" w:hAnsiTheme="minorHAnsi"/>
              <w:noProof/>
              <w:color w:val="auto"/>
              <w:sz w:val="22"/>
            </w:rPr>
          </w:pPr>
          <w:hyperlink w:anchor="_Toc134185987" w:history="1">
            <w:r w:rsidRPr="00B0648B">
              <w:rPr>
                <w:rStyle w:val="Hyperlink"/>
                <w:noProof/>
              </w:rPr>
              <w:t>Data Analysis and Processing</w:t>
            </w:r>
            <w:r>
              <w:rPr>
                <w:noProof/>
                <w:webHidden/>
              </w:rPr>
              <w:tab/>
            </w:r>
            <w:r>
              <w:rPr>
                <w:noProof/>
                <w:webHidden/>
              </w:rPr>
              <w:fldChar w:fldCharType="begin"/>
            </w:r>
            <w:r>
              <w:rPr>
                <w:noProof/>
                <w:webHidden/>
              </w:rPr>
              <w:instrText xml:space="preserve"> PAGEREF _Toc134185987 \h </w:instrText>
            </w:r>
            <w:r>
              <w:rPr>
                <w:noProof/>
                <w:webHidden/>
              </w:rPr>
            </w:r>
            <w:r>
              <w:rPr>
                <w:noProof/>
                <w:webHidden/>
              </w:rPr>
              <w:fldChar w:fldCharType="separate"/>
            </w:r>
            <w:r>
              <w:rPr>
                <w:noProof/>
                <w:webHidden/>
              </w:rPr>
              <w:t>84</w:t>
            </w:r>
            <w:r>
              <w:rPr>
                <w:noProof/>
                <w:webHidden/>
              </w:rPr>
              <w:fldChar w:fldCharType="end"/>
            </w:r>
          </w:hyperlink>
        </w:p>
        <w:p w14:paraId="71576B61" w14:textId="7FD3C991" w:rsidR="005D6CF6" w:rsidRDefault="005D6CF6">
          <w:pPr>
            <w:pStyle w:val="TOC3"/>
            <w:tabs>
              <w:tab w:val="right" w:leader="dot" w:pos="9350"/>
            </w:tabs>
            <w:rPr>
              <w:rFonts w:asciiTheme="minorHAnsi" w:eastAsiaTheme="minorEastAsia" w:hAnsiTheme="minorHAnsi"/>
              <w:noProof/>
              <w:color w:val="auto"/>
              <w:sz w:val="22"/>
            </w:rPr>
          </w:pPr>
          <w:hyperlink w:anchor="_Toc134185988" w:history="1">
            <w:r w:rsidRPr="00B0648B">
              <w:rPr>
                <w:rStyle w:val="Hyperlink"/>
                <w:noProof/>
              </w:rPr>
              <w:t>Data Availability</w:t>
            </w:r>
            <w:r>
              <w:rPr>
                <w:noProof/>
                <w:webHidden/>
              </w:rPr>
              <w:tab/>
            </w:r>
            <w:r>
              <w:rPr>
                <w:noProof/>
                <w:webHidden/>
              </w:rPr>
              <w:fldChar w:fldCharType="begin"/>
            </w:r>
            <w:r>
              <w:rPr>
                <w:noProof/>
                <w:webHidden/>
              </w:rPr>
              <w:instrText xml:space="preserve"> PAGEREF _Toc134185988 \h </w:instrText>
            </w:r>
            <w:r>
              <w:rPr>
                <w:noProof/>
                <w:webHidden/>
              </w:rPr>
            </w:r>
            <w:r>
              <w:rPr>
                <w:noProof/>
                <w:webHidden/>
              </w:rPr>
              <w:fldChar w:fldCharType="separate"/>
            </w:r>
            <w:r>
              <w:rPr>
                <w:noProof/>
                <w:webHidden/>
              </w:rPr>
              <w:t>85</w:t>
            </w:r>
            <w:r>
              <w:rPr>
                <w:noProof/>
                <w:webHidden/>
              </w:rPr>
              <w:fldChar w:fldCharType="end"/>
            </w:r>
          </w:hyperlink>
        </w:p>
        <w:p w14:paraId="41BF5D94" w14:textId="7358A36B" w:rsidR="005D6CF6" w:rsidRDefault="005D6CF6">
          <w:pPr>
            <w:pStyle w:val="TOC2"/>
            <w:tabs>
              <w:tab w:val="right" w:leader="dot" w:pos="9350"/>
            </w:tabs>
            <w:rPr>
              <w:rFonts w:asciiTheme="minorHAnsi" w:eastAsiaTheme="minorEastAsia" w:hAnsiTheme="minorHAnsi"/>
              <w:noProof/>
              <w:color w:val="auto"/>
              <w:sz w:val="22"/>
            </w:rPr>
          </w:pPr>
          <w:hyperlink w:anchor="_Toc134185989" w:history="1">
            <w:r w:rsidRPr="00B0648B">
              <w:rPr>
                <w:rStyle w:val="Hyperlink"/>
                <w:noProof/>
              </w:rPr>
              <w:t>4.4 RESULTS AND DISCUSSION</w:t>
            </w:r>
            <w:r>
              <w:rPr>
                <w:noProof/>
                <w:webHidden/>
              </w:rPr>
              <w:tab/>
            </w:r>
            <w:r>
              <w:rPr>
                <w:noProof/>
                <w:webHidden/>
              </w:rPr>
              <w:fldChar w:fldCharType="begin"/>
            </w:r>
            <w:r>
              <w:rPr>
                <w:noProof/>
                <w:webHidden/>
              </w:rPr>
              <w:instrText xml:space="preserve"> PAGEREF _Toc134185989 \h </w:instrText>
            </w:r>
            <w:r>
              <w:rPr>
                <w:noProof/>
                <w:webHidden/>
              </w:rPr>
            </w:r>
            <w:r>
              <w:rPr>
                <w:noProof/>
                <w:webHidden/>
              </w:rPr>
              <w:fldChar w:fldCharType="separate"/>
            </w:r>
            <w:r>
              <w:rPr>
                <w:noProof/>
                <w:webHidden/>
              </w:rPr>
              <w:t>85</w:t>
            </w:r>
            <w:r>
              <w:rPr>
                <w:noProof/>
                <w:webHidden/>
              </w:rPr>
              <w:fldChar w:fldCharType="end"/>
            </w:r>
          </w:hyperlink>
        </w:p>
        <w:p w14:paraId="6575BB9F" w14:textId="5221AA9C" w:rsidR="005D6CF6" w:rsidRDefault="005D6CF6">
          <w:pPr>
            <w:pStyle w:val="TOC2"/>
            <w:tabs>
              <w:tab w:val="right" w:leader="dot" w:pos="9350"/>
            </w:tabs>
            <w:rPr>
              <w:rFonts w:asciiTheme="minorHAnsi" w:eastAsiaTheme="minorEastAsia" w:hAnsiTheme="minorHAnsi"/>
              <w:noProof/>
              <w:color w:val="auto"/>
              <w:sz w:val="22"/>
            </w:rPr>
          </w:pPr>
          <w:hyperlink w:anchor="_Toc134185990" w:history="1">
            <w:r w:rsidRPr="00B0648B">
              <w:rPr>
                <w:rStyle w:val="Hyperlink"/>
                <w:noProof/>
              </w:rPr>
              <w:t>4.5 CONCLUSIONS</w:t>
            </w:r>
            <w:r>
              <w:rPr>
                <w:noProof/>
                <w:webHidden/>
              </w:rPr>
              <w:tab/>
            </w:r>
            <w:r>
              <w:rPr>
                <w:noProof/>
                <w:webHidden/>
              </w:rPr>
              <w:fldChar w:fldCharType="begin"/>
            </w:r>
            <w:r>
              <w:rPr>
                <w:noProof/>
                <w:webHidden/>
              </w:rPr>
              <w:instrText xml:space="preserve"> PAGEREF _Toc134185990 \h </w:instrText>
            </w:r>
            <w:r>
              <w:rPr>
                <w:noProof/>
                <w:webHidden/>
              </w:rPr>
            </w:r>
            <w:r>
              <w:rPr>
                <w:noProof/>
                <w:webHidden/>
              </w:rPr>
              <w:fldChar w:fldCharType="separate"/>
            </w:r>
            <w:r>
              <w:rPr>
                <w:noProof/>
                <w:webHidden/>
              </w:rPr>
              <w:t>91</w:t>
            </w:r>
            <w:r>
              <w:rPr>
                <w:noProof/>
                <w:webHidden/>
              </w:rPr>
              <w:fldChar w:fldCharType="end"/>
            </w:r>
          </w:hyperlink>
        </w:p>
        <w:p w14:paraId="70ABC030" w14:textId="5A283B0D" w:rsidR="005D6CF6" w:rsidRDefault="005D6CF6">
          <w:pPr>
            <w:pStyle w:val="TOC1"/>
            <w:tabs>
              <w:tab w:val="right" w:leader="dot" w:pos="9350"/>
            </w:tabs>
            <w:rPr>
              <w:rFonts w:asciiTheme="minorHAnsi" w:eastAsiaTheme="minorEastAsia" w:hAnsiTheme="minorHAnsi"/>
              <w:noProof/>
              <w:color w:val="auto"/>
              <w:sz w:val="22"/>
            </w:rPr>
          </w:pPr>
          <w:hyperlink w:anchor="_Toc134185991" w:history="1">
            <w:r w:rsidRPr="00B0648B">
              <w:rPr>
                <w:rStyle w:val="Hyperlink"/>
                <w:noProof/>
              </w:rPr>
              <w:t>CHAPTER 5 - CONCLUSIONS</w:t>
            </w:r>
            <w:r>
              <w:rPr>
                <w:noProof/>
                <w:webHidden/>
              </w:rPr>
              <w:tab/>
            </w:r>
            <w:r>
              <w:rPr>
                <w:noProof/>
                <w:webHidden/>
              </w:rPr>
              <w:fldChar w:fldCharType="begin"/>
            </w:r>
            <w:r>
              <w:rPr>
                <w:noProof/>
                <w:webHidden/>
              </w:rPr>
              <w:instrText xml:space="preserve"> PAGEREF _Toc134185991 \h </w:instrText>
            </w:r>
            <w:r>
              <w:rPr>
                <w:noProof/>
                <w:webHidden/>
              </w:rPr>
            </w:r>
            <w:r>
              <w:rPr>
                <w:noProof/>
                <w:webHidden/>
              </w:rPr>
              <w:fldChar w:fldCharType="separate"/>
            </w:r>
            <w:r>
              <w:rPr>
                <w:noProof/>
                <w:webHidden/>
              </w:rPr>
              <w:t>93</w:t>
            </w:r>
            <w:r>
              <w:rPr>
                <w:noProof/>
                <w:webHidden/>
              </w:rPr>
              <w:fldChar w:fldCharType="end"/>
            </w:r>
          </w:hyperlink>
        </w:p>
        <w:p w14:paraId="07F8F431" w14:textId="28EAB6A2" w:rsidR="005D6CF6" w:rsidRDefault="005D6CF6">
          <w:pPr>
            <w:pStyle w:val="TOC1"/>
            <w:tabs>
              <w:tab w:val="right" w:leader="dot" w:pos="9350"/>
            </w:tabs>
            <w:rPr>
              <w:rFonts w:asciiTheme="minorHAnsi" w:eastAsiaTheme="minorEastAsia" w:hAnsiTheme="minorHAnsi"/>
              <w:noProof/>
              <w:color w:val="auto"/>
              <w:sz w:val="22"/>
            </w:rPr>
          </w:pPr>
          <w:hyperlink w:anchor="_Toc134185992" w:history="1">
            <w:r w:rsidRPr="00B0648B">
              <w:rPr>
                <w:rStyle w:val="Hyperlink"/>
                <w:noProof/>
              </w:rPr>
              <w:t>Bibliography</w:t>
            </w:r>
            <w:r>
              <w:rPr>
                <w:noProof/>
                <w:webHidden/>
              </w:rPr>
              <w:tab/>
            </w:r>
            <w:r>
              <w:rPr>
                <w:noProof/>
                <w:webHidden/>
              </w:rPr>
              <w:fldChar w:fldCharType="begin"/>
            </w:r>
            <w:r>
              <w:rPr>
                <w:noProof/>
                <w:webHidden/>
              </w:rPr>
              <w:instrText xml:space="preserve"> PAGEREF _Toc134185992 \h </w:instrText>
            </w:r>
            <w:r>
              <w:rPr>
                <w:noProof/>
                <w:webHidden/>
              </w:rPr>
            </w:r>
            <w:r>
              <w:rPr>
                <w:noProof/>
                <w:webHidden/>
              </w:rPr>
              <w:fldChar w:fldCharType="separate"/>
            </w:r>
            <w:r>
              <w:rPr>
                <w:noProof/>
                <w:webHidden/>
              </w:rPr>
              <w:t>96</w:t>
            </w:r>
            <w:r>
              <w:rPr>
                <w:noProof/>
                <w:webHidden/>
              </w:rPr>
              <w:fldChar w:fldCharType="end"/>
            </w:r>
          </w:hyperlink>
        </w:p>
        <w:p w14:paraId="74BCADED" w14:textId="4A5AB677" w:rsidR="005D6CF6" w:rsidRDefault="005D6CF6">
          <w:pPr>
            <w:pStyle w:val="TOC1"/>
            <w:tabs>
              <w:tab w:val="right" w:leader="dot" w:pos="9350"/>
            </w:tabs>
            <w:rPr>
              <w:rFonts w:asciiTheme="minorHAnsi" w:eastAsiaTheme="minorEastAsia" w:hAnsiTheme="minorHAnsi"/>
              <w:noProof/>
              <w:color w:val="auto"/>
              <w:sz w:val="22"/>
            </w:rPr>
          </w:pPr>
          <w:hyperlink w:anchor="_Toc134185993" w:history="1">
            <w:r w:rsidRPr="00B0648B">
              <w:rPr>
                <w:rStyle w:val="Hyperlink"/>
                <w:noProof/>
              </w:rPr>
              <w:t>Supplementary Material A</w:t>
            </w:r>
            <w:r>
              <w:rPr>
                <w:noProof/>
                <w:webHidden/>
              </w:rPr>
              <w:tab/>
            </w:r>
            <w:r>
              <w:rPr>
                <w:noProof/>
                <w:webHidden/>
              </w:rPr>
              <w:fldChar w:fldCharType="begin"/>
            </w:r>
            <w:r>
              <w:rPr>
                <w:noProof/>
                <w:webHidden/>
              </w:rPr>
              <w:instrText xml:space="preserve"> PAGEREF _Toc134185993 \h </w:instrText>
            </w:r>
            <w:r>
              <w:rPr>
                <w:noProof/>
                <w:webHidden/>
              </w:rPr>
            </w:r>
            <w:r>
              <w:rPr>
                <w:noProof/>
                <w:webHidden/>
              </w:rPr>
              <w:fldChar w:fldCharType="separate"/>
            </w:r>
            <w:r>
              <w:rPr>
                <w:noProof/>
                <w:webHidden/>
              </w:rPr>
              <w:t>114</w:t>
            </w:r>
            <w:r>
              <w:rPr>
                <w:noProof/>
                <w:webHidden/>
              </w:rPr>
              <w:fldChar w:fldCharType="end"/>
            </w:r>
          </w:hyperlink>
        </w:p>
        <w:p w14:paraId="05694ACC" w14:textId="04169E6B" w:rsidR="005D6CF6" w:rsidRDefault="005D6CF6">
          <w:pPr>
            <w:pStyle w:val="TOC2"/>
            <w:tabs>
              <w:tab w:val="right" w:leader="dot" w:pos="9350"/>
            </w:tabs>
            <w:rPr>
              <w:rFonts w:asciiTheme="minorHAnsi" w:eastAsiaTheme="minorEastAsia" w:hAnsiTheme="minorHAnsi"/>
              <w:noProof/>
              <w:color w:val="auto"/>
              <w:sz w:val="22"/>
            </w:rPr>
          </w:pPr>
          <w:hyperlink w:anchor="_Toc134185994" w:history="1">
            <w:r w:rsidRPr="00B0648B">
              <w:rPr>
                <w:rStyle w:val="Hyperlink"/>
                <w:noProof/>
              </w:rPr>
              <w:t>Author List and Affiliations</w:t>
            </w:r>
            <w:r>
              <w:rPr>
                <w:noProof/>
                <w:webHidden/>
              </w:rPr>
              <w:tab/>
            </w:r>
            <w:r>
              <w:rPr>
                <w:noProof/>
                <w:webHidden/>
              </w:rPr>
              <w:fldChar w:fldCharType="begin"/>
            </w:r>
            <w:r>
              <w:rPr>
                <w:noProof/>
                <w:webHidden/>
              </w:rPr>
              <w:instrText xml:space="preserve"> PAGEREF _Toc134185994 \h </w:instrText>
            </w:r>
            <w:r>
              <w:rPr>
                <w:noProof/>
                <w:webHidden/>
              </w:rPr>
            </w:r>
            <w:r>
              <w:rPr>
                <w:noProof/>
                <w:webHidden/>
              </w:rPr>
              <w:fldChar w:fldCharType="separate"/>
            </w:r>
            <w:r>
              <w:rPr>
                <w:noProof/>
                <w:webHidden/>
              </w:rPr>
              <w:t>114</w:t>
            </w:r>
            <w:r>
              <w:rPr>
                <w:noProof/>
                <w:webHidden/>
              </w:rPr>
              <w:fldChar w:fldCharType="end"/>
            </w:r>
          </w:hyperlink>
        </w:p>
        <w:p w14:paraId="33672497" w14:textId="2D61D580" w:rsidR="005D6CF6" w:rsidRDefault="005D6CF6">
          <w:pPr>
            <w:pStyle w:val="TOC2"/>
            <w:tabs>
              <w:tab w:val="right" w:leader="dot" w:pos="9350"/>
            </w:tabs>
            <w:rPr>
              <w:rFonts w:asciiTheme="minorHAnsi" w:eastAsiaTheme="minorEastAsia" w:hAnsiTheme="minorHAnsi"/>
              <w:noProof/>
              <w:color w:val="auto"/>
              <w:sz w:val="22"/>
            </w:rPr>
          </w:pPr>
          <w:hyperlink w:anchor="_Toc134185995" w:history="1">
            <w:r w:rsidRPr="00B0648B">
              <w:rPr>
                <w:rStyle w:val="Hyperlink"/>
                <w:noProof/>
              </w:rPr>
              <w:t>Author Contributions</w:t>
            </w:r>
            <w:r>
              <w:rPr>
                <w:noProof/>
                <w:webHidden/>
              </w:rPr>
              <w:tab/>
            </w:r>
            <w:r>
              <w:rPr>
                <w:noProof/>
                <w:webHidden/>
              </w:rPr>
              <w:fldChar w:fldCharType="begin"/>
            </w:r>
            <w:r>
              <w:rPr>
                <w:noProof/>
                <w:webHidden/>
              </w:rPr>
              <w:instrText xml:space="preserve"> PAGEREF _Toc134185995 \h </w:instrText>
            </w:r>
            <w:r>
              <w:rPr>
                <w:noProof/>
                <w:webHidden/>
              </w:rPr>
            </w:r>
            <w:r>
              <w:rPr>
                <w:noProof/>
                <w:webHidden/>
              </w:rPr>
              <w:fldChar w:fldCharType="separate"/>
            </w:r>
            <w:r>
              <w:rPr>
                <w:noProof/>
                <w:webHidden/>
              </w:rPr>
              <w:t>114</w:t>
            </w:r>
            <w:r>
              <w:rPr>
                <w:noProof/>
                <w:webHidden/>
              </w:rPr>
              <w:fldChar w:fldCharType="end"/>
            </w:r>
          </w:hyperlink>
        </w:p>
        <w:p w14:paraId="16F37C57" w14:textId="043FC929" w:rsidR="005D6CF6" w:rsidRDefault="005D6CF6">
          <w:pPr>
            <w:pStyle w:val="TOC2"/>
            <w:tabs>
              <w:tab w:val="right" w:leader="dot" w:pos="9350"/>
            </w:tabs>
            <w:rPr>
              <w:rFonts w:asciiTheme="minorHAnsi" w:eastAsiaTheme="minorEastAsia" w:hAnsiTheme="minorHAnsi"/>
              <w:noProof/>
              <w:color w:val="auto"/>
              <w:sz w:val="22"/>
            </w:rPr>
          </w:pPr>
          <w:hyperlink w:anchor="_Toc134185996" w:history="1">
            <w:r w:rsidRPr="00B0648B">
              <w:rPr>
                <w:rStyle w:val="Hyperlink"/>
                <w:noProof/>
              </w:rPr>
              <w:t>Acknowledgements</w:t>
            </w:r>
            <w:r>
              <w:rPr>
                <w:noProof/>
                <w:webHidden/>
              </w:rPr>
              <w:tab/>
            </w:r>
            <w:r>
              <w:rPr>
                <w:noProof/>
                <w:webHidden/>
              </w:rPr>
              <w:fldChar w:fldCharType="begin"/>
            </w:r>
            <w:r>
              <w:rPr>
                <w:noProof/>
                <w:webHidden/>
              </w:rPr>
              <w:instrText xml:space="preserve"> PAGEREF _Toc134185996 \h </w:instrText>
            </w:r>
            <w:r>
              <w:rPr>
                <w:noProof/>
                <w:webHidden/>
              </w:rPr>
            </w:r>
            <w:r>
              <w:rPr>
                <w:noProof/>
                <w:webHidden/>
              </w:rPr>
              <w:fldChar w:fldCharType="separate"/>
            </w:r>
            <w:r>
              <w:rPr>
                <w:noProof/>
                <w:webHidden/>
              </w:rPr>
              <w:t>115</w:t>
            </w:r>
            <w:r>
              <w:rPr>
                <w:noProof/>
                <w:webHidden/>
              </w:rPr>
              <w:fldChar w:fldCharType="end"/>
            </w:r>
          </w:hyperlink>
        </w:p>
        <w:p w14:paraId="15F5D406" w14:textId="51EB0CAC" w:rsidR="005D6CF6" w:rsidRDefault="005D6CF6">
          <w:pPr>
            <w:pStyle w:val="TOC2"/>
            <w:tabs>
              <w:tab w:val="right" w:leader="dot" w:pos="9350"/>
            </w:tabs>
            <w:rPr>
              <w:rFonts w:asciiTheme="minorHAnsi" w:eastAsiaTheme="minorEastAsia" w:hAnsiTheme="minorHAnsi"/>
              <w:noProof/>
              <w:color w:val="auto"/>
              <w:sz w:val="22"/>
            </w:rPr>
          </w:pPr>
          <w:hyperlink w:anchor="_Toc134185997" w:history="1">
            <w:r w:rsidRPr="00B0648B">
              <w:rPr>
                <w:rStyle w:val="Hyperlink"/>
                <w:noProof/>
              </w:rPr>
              <w:t>Supplementary Figures 2.1-2.4</w:t>
            </w:r>
            <w:r>
              <w:rPr>
                <w:noProof/>
                <w:webHidden/>
              </w:rPr>
              <w:tab/>
            </w:r>
            <w:r>
              <w:rPr>
                <w:noProof/>
                <w:webHidden/>
              </w:rPr>
              <w:fldChar w:fldCharType="begin"/>
            </w:r>
            <w:r>
              <w:rPr>
                <w:noProof/>
                <w:webHidden/>
              </w:rPr>
              <w:instrText xml:space="preserve"> PAGEREF _Toc134185997 \h </w:instrText>
            </w:r>
            <w:r>
              <w:rPr>
                <w:noProof/>
                <w:webHidden/>
              </w:rPr>
            </w:r>
            <w:r>
              <w:rPr>
                <w:noProof/>
                <w:webHidden/>
              </w:rPr>
              <w:fldChar w:fldCharType="separate"/>
            </w:r>
            <w:r>
              <w:rPr>
                <w:noProof/>
                <w:webHidden/>
              </w:rPr>
              <w:t>116</w:t>
            </w:r>
            <w:r>
              <w:rPr>
                <w:noProof/>
                <w:webHidden/>
              </w:rPr>
              <w:fldChar w:fldCharType="end"/>
            </w:r>
          </w:hyperlink>
        </w:p>
        <w:p w14:paraId="12D3A96C" w14:textId="4682EE38" w:rsidR="005D6CF6" w:rsidRDefault="005D6CF6">
          <w:pPr>
            <w:pStyle w:val="TOC2"/>
            <w:tabs>
              <w:tab w:val="right" w:leader="dot" w:pos="9350"/>
            </w:tabs>
            <w:rPr>
              <w:rFonts w:asciiTheme="minorHAnsi" w:eastAsiaTheme="minorEastAsia" w:hAnsiTheme="minorHAnsi"/>
              <w:noProof/>
              <w:color w:val="auto"/>
              <w:sz w:val="22"/>
            </w:rPr>
          </w:pPr>
          <w:hyperlink w:anchor="_Toc134185998" w:history="1">
            <w:r w:rsidRPr="00B0648B">
              <w:rPr>
                <w:rStyle w:val="Hyperlink"/>
                <w:noProof/>
              </w:rPr>
              <w:t>Supplementary Tables 2.1-2.4</w:t>
            </w:r>
            <w:r>
              <w:rPr>
                <w:noProof/>
                <w:webHidden/>
              </w:rPr>
              <w:tab/>
            </w:r>
            <w:r>
              <w:rPr>
                <w:noProof/>
                <w:webHidden/>
              </w:rPr>
              <w:fldChar w:fldCharType="begin"/>
            </w:r>
            <w:r>
              <w:rPr>
                <w:noProof/>
                <w:webHidden/>
              </w:rPr>
              <w:instrText xml:space="preserve"> PAGEREF _Toc134185998 \h </w:instrText>
            </w:r>
            <w:r>
              <w:rPr>
                <w:noProof/>
                <w:webHidden/>
              </w:rPr>
            </w:r>
            <w:r>
              <w:rPr>
                <w:noProof/>
                <w:webHidden/>
              </w:rPr>
              <w:fldChar w:fldCharType="separate"/>
            </w:r>
            <w:r>
              <w:rPr>
                <w:noProof/>
                <w:webHidden/>
              </w:rPr>
              <w:t>174</w:t>
            </w:r>
            <w:r>
              <w:rPr>
                <w:noProof/>
                <w:webHidden/>
              </w:rPr>
              <w:fldChar w:fldCharType="end"/>
            </w:r>
          </w:hyperlink>
        </w:p>
        <w:p w14:paraId="5D175366" w14:textId="7E37B3C7" w:rsidR="005D6CF6" w:rsidRDefault="005D6CF6">
          <w:pPr>
            <w:pStyle w:val="TOC1"/>
            <w:tabs>
              <w:tab w:val="right" w:leader="dot" w:pos="9350"/>
            </w:tabs>
            <w:rPr>
              <w:rFonts w:asciiTheme="minorHAnsi" w:eastAsiaTheme="minorEastAsia" w:hAnsiTheme="minorHAnsi"/>
              <w:noProof/>
              <w:color w:val="auto"/>
              <w:sz w:val="22"/>
            </w:rPr>
          </w:pPr>
          <w:hyperlink w:anchor="_Toc134185999" w:history="1">
            <w:r w:rsidRPr="00B0648B">
              <w:rPr>
                <w:rStyle w:val="Hyperlink"/>
                <w:noProof/>
              </w:rPr>
              <w:t>Supplementary Material B</w:t>
            </w:r>
            <w:r>
              <w:rPr>
                <w:noProof/>
                <w:webHidden/>
              </w:rPr>
              <w:tab/>
            </w:r>
            <w:r>
              <w:rPr>
                <w:noProof/>
                <w:webHidden/>
              </w:rPr>
              <w:fldChar w:fldCharType="begin"/>
            </w:r>
            <w:r>
              <w:rPr>
                <w:noProof/>
                <w:webHidden/>
              </w:rPr>
              <w:instrText xml:space="preserve"> PAGEREF _Toc134185999 \h </w:instrText>
            </w:r>
            <w:r>
              <w:rPr>
                <w:noProof/>
                <w:webHidden/>
              </w:rPr>
            </w:r>
            <w:r>
              <w:rPr>
                <w:noProof/>
                <w:webHidden/>
              </w:rPr>
              <w:fldChar w:fldCharType="separate"/>
            </w:r>
            <w:r>
              <w:rPr>
                <w:noProof/>
                <w:webHidden/>
              </w:rPr>
              <w:t>240</w:t>
            </w:r>
            <w:r>
              <w:rPr>
                <w:noProof/>
                <w:webHidden/>
              </w:rPr>
              <w:fldChar w:fldCharType="end"/>
            </w:r>
          </w:hyperlink>
        </w:p>
        <w:p w14:paraId="62E74E9D" w14:textId="0E1B2EDB" w:rsidR="005D6CF6" w:rsidRDefault="005D6CF6">
          <w:pPr>
            <w:pStyle w:val="TOC2"/>
            <w:tabs>
              <w:tab w:val="right" w:leader="dot" w:pos="9350"/>
            </w:tabs>
            <w:rPr>
              <w:rFonts w:asciiTheme="minorHAnsi" w:eastAsiaTheme="minorEastAsia" w:hAnsiTheme="minorHAnsi"/>
              <w:noProof/>
              <w:color w:val="auto"/>
              <w:sz w:val="22"/>
            </w:rPr>
          </w:pPr>
          <w:hyperlink w:anchor="_Toc134186000" w:history="1">
            <w:r w:rsidRPr="00B0648B">
              <w:rPr>
                <w:rStyle w:val="Hyperlink"/>
                <w:noProof/>
              </w:rPr>
              <w:t>Author List and Affiliations</w:t>
            </w:r>
            <w:r>
              <w:rPr>
                <w:noProof/>
                <w:webHidden/>
              </w:rPr>
              <w:tab/>
            </w:r>
            <w:r>
              <w:rPr>
                <w:noProof/>
                <w:webHidden/>
              </w:rPr>
              <w:fldChar w:fldCharType="begin"/>
            </w:r>
            <w:r>
              <w:rPr>
                <w:noProof/>
                <w:webHidden/>
              </w:rPr>
              <w:instrText xml:space="preserve"> PAGEREF _Toc134186000 \h </w:instrText>
            </w:r>
            <w:r>
              <w:rPr>
                <w:noProof/>
                <w:webHidden/>
              </w:rPr>
            </w:r>
            <w:r>
              <w:rPr>
                <w:noProof/>
                <w:webHidden/>
              </w:rPr>
              <w:fldChar w:fldCharType="separate"/>
            </w:r>
            <w:r>
              <w:rPr>
                <w:noProof/>
                <w:webHidden/>
              </w:rPr>
              <w:t>240</w:t>
            </w:r>
            <w:r>
              <w:rPr>
                <w:noProof/>
                <w:webHidden/>
              </w:rPr>
              <w:fldChar w:fldCharType="end"/>
            </w:r>
          </w:hyperlink>
        </w:p>
        <w:p w14:paraId="5EBFBFB7" w14:textId="73856C93" w:rsidR="005D6CF6" w:rsidRDefault="005D6CF6">
          <w:pPr>
            <w:pStyle w:val="TOC2"/>
            <w:tabs>
              <w:tab w:val="right" w:leader="dot" w:pos="9350"/>
            </w:tabs>
            <w:rPr>
              <w:rFonts w:asciiTheme="minorHAnsi" w:eastAsiaTheme="minorEastAsia" w:hAnsiTheme="minorHAnsi"/>
              <w:noProof/>
              <w:color w:val="auto"/>
              <w:sz w:val="22"/>
            </w:rPr>
          </w:pPr>
          <w:hyperlink w:anchor="_Toc134186001" w:history="1">
            <w:r w:rsidRPr="00B0648B">
              <w:rPr>
                <w:rStyle w:val="Hyperlink"/>
                <w:noProof/>
              </w:rPr>
              <w:t>Author Contributions</w:t>
            </w:r>
            <w:r>
              <w:rPr>
                <w:noProof/>
                <w:webHidden/>
              </w:rPr>
              <w:tab/>
            </w:r>
            <w:r>
              <w:rPr>
                <w:noProof/>
                <w:webHidden/>
              </w:rPr>
              <w:fldChar w:fldCharType="begin"/>
            </w:r>
            <w:r>
              <w:rPr>
                <w:noProof/>
                <w:webHidden/>
              </w:rPr>
              <w:instrText xml:space="preserve"> PAGEREF _Toc134186001 \h </w:instrText>
            </w:r>
            <w:r>
              <w:rPr>
                <w:noProof/>
                <w:webHidden/>
              </w:rPr>
            </w:r>
            <w:r>
              <w:rPr>
                <w:noProof/>
                <w:webHidden/>
              </w:rPr>
              <w:fldChar w:fldCharType="separate"/>
            </w:r>
            <w:r>
              <w:rPr>
                <w:noProof/>
                <w:webHidden/>
              </w:rPr>
              <w:t>240</w:t>
            </w:r>
            <w:r>
              <w:rPr>
                <w:noProof/>
                <w:webHidden/>
              </w:rPr>
              <w:fldChar w:fldCharType="end"/>
            </w:r>
          </w:hyperlink>
        </w:p>
        <w:p w14:paraId="7D2AB1C8" w14:textId="518E059D" w:rsidR="005D6CF6" w:rsidRDefault="005D6CF6">
          <w:pPr>
            <w:pStyle w:val="TOC2"/>
            <w:tabs>
              <w:tab w:val="right" w:leader="dot" w:pos="9350"/>
            </w:tabs>
            <w:rPr>
              <w:rFonts w:asciiTheme="minorHAnsi" w:eastAsiaTheme="minorEastAsia" w:hAnsiTheme="minorHAnsi"/>
              <w:noProof/>
              <w:color w:val="auto"/>
              <w:sz w:val="22"/>
            </w:rPr>
          </w:pPr>
          <w:hyperlink w:anchor="_Toc134186002" w:history="1">
            <w:r w:rsidRPr="00B0648B">
              <w:rPr>
                <w:rStyle w:val="Hyperlink"/>
                <w:noProof/>
              </w:rPr>
              <w:t>Acknowledgements</w:t>
            </w:r>
            <w:r>
              <w:rPr>
                <w:noProof/>
                <w:webHidden/>
              </w:rPr>
              <w:tab/>
            </w:r>
            <w:r>
              <w:rPr>
                <w:noProof/>
                <w:webHidden/>
              </w:rPr>
              <w:fldChar w:fldCharType="begin"/>
            </w:r>
            <w:r>
              <w:rPr>
                <w:noProof/>
                <w:webHidden/>
              </w:rPr>
              <w:instrText xml:space="preserve"> PAGEREF _Toc134186002 \h </w:instrText>
            </w:r>
            <w:r>
              <w:rPr>
                <w:noProof/>
                <w:webHidden/>
              </w:rPr>
            </w:r>
            <w:r>
              <w:rPr>
                <w:noProof/>
                <w:webHidden/>
              </w:rPr>
              <w:fldChar w:fldCharType="separate"/>
            </w:r>
            <w:r>
              <w:rPr>
                <w:noProof/>
                <w:webHidden/>
              </w:rPr>
              <w:t>241</w:t>
            </w:r>
            <w:r>
              <w:rPr>
                <w:noProof/>
                <w:webHidden/>
              </w:rPr>
              <w:fldChar w:fldCharType="end"/>
            </w:r>
          </w:hyperlink>
        </w:p>
        <w:p w14:paraId="69F351D8" w14:textId="29BA3B0B" w:rsidR="005D6CF6" w:rsidRDefault="005D6CF6">
          <w:pPr>
            <w:pStyle w:val="TOC2"/>
            <w:tabs>
              <w:tab w:val="right" w:leader="dot" w:pos="9350"/>
            </w:tabs>
            <w:rPr>
              <w:rFonts w:asciiTheme="minorHAnsi" w:eastAsiaTheme="minorEastAsia" w:hAnsiTheme="minorHAnsi"/>
              <w:noProof/>
              <w:color w:val="auto"/>
              <w:sz w:val="22"/>
            </w:rPr>
          </w:pPr>
          <w:hyperlink w:anchor="_Toc134186003" w:history="1">
            <w:r w:rsidRPr="00B0648B">
              <w:rPr>
                <w:rStyle w:val="Hyperlink"/>
                <w:noProof/>
              </w:rPr>
              <w:t>Supplementary Figures 3.1-3.4</w:t>
            </w:r>
            <w:r>
              <w:rPr>
                <w:noProof/>
                <w:webHidden/>
              </w:rPr>
              <w:tab/>
            </w:r>
            <w:r>
              <w:rPr>
                <w:noProof/>
                <w:webHidden/>
              </w:rPr>
              <w:fldChar w:fldCharType="begin"/>
            </w:r>
            <w:r>
              <w:rPr>
                <w:noProof/>
                <w:webHidden/>
              </w:rPr>
              <w:instrText xml:space="preserve"> PAGEREF _Toc134186003 \h </w:instrText>
            </w:r>
            <w:r>
              <w:rPr>
                <w:noProof/>
                <w:webHidden/>
              </w:rPr>
            </w:r>
            <w:r>
              <w:rPr>
                <w:noProof/>
                <w:webHidden/>
              </w:rPr>
              <w:fldChar w:fldCharType="separate"/>
            </w:r>
            <w:r>
              <w:rPr>
                <w:noProof/>
                <w:webHidden/>
              </w:rPr>
              <w:t>242</w:t>
            </w:r>
            <w:r>
              <w:rPr>
                <w:noProof/>
                <w:webHidden/>
              </w:rPr>
              <w:fldChar w:fldCharType="end"/>
            </w:r>
          </w:hyperlink>
        </w:p>
        <w:p w14:paraId="3697C5FA" w14:textId="4F4E1BC8" w:rsidR="005D6CF6" w:rsidRDefault="005D6CF6">
          <w:pPr>
            <w:pStyle w:val="TOC1"/>
            <w:tabs>
              <w:tab w:val="right" w:leader="dot" w:pos="9350"/>
            </w:tabs>
            <w:rPr>
              <w:rFonts w:asciiTheme="minorHAnsi" w:eastAsiaTheme="minorEastAsia" w:hAnsiTheme="minorHAnsi"/>
              <w:noProof/>
              <w:color w:val="auto"/>
              <w:sz w:val="22"/>
            </w:rPr>
          </w:pPr>
          <w:hyperlink w:anchor="_Toc134186004" w:history="1">
            <w:r w:rsidRPr="00B0648B">
              <w:rPr>
                <w:rStyle w:val="Hyperlink"/>
                <w:noProof/>
              </w:rPr>
              <w:t>Supplementary Material C</w:t>
            </w:r>
            <w:r>
              <w:rPr>
                <w:noProof/>
                <w:webHidden/>
              </w:rPr>
              <w:tab/>
            </w:r>
            <w:r>
              <w:rPr>
                <w:noProof/>
                <w:webHidden/>
              </w:rPr>
              <w:fldChar w:fldCharType="begin"/>
            </w:r>
            <w:r>
              <w:rPr>
                <w:noProof/>
                <w:webHidden/>
              </w:rPr>
              <w:instrText xml:space="preserve"> PAGEREF _Toc134186004 \h </w:instrText>
            </w:r>
            <w:r>
              <w:rPr>
                <w:noProof/>
                <w:webHidden/>
              </w:rPr>
            </w:r>
            <w:r>
              <w:rPr>
                <w:noProof/>
                <w:webHidden/>
              </w:rPr>
              <w:fldChar w:fldCharType="separate"/>
            </w:r>
            <w:r>
              <w:rPr>
                <w:noProof/>
                <w:webHidden/>
              </w:rPr>
              <w:t>248</w:t>
            </w:r>
            <w:r>
              <w:rPr>
                <w:noProof/>
                <w:webHidden/>
              </w:rPr>
              <w:fldChar w:fldCharType="end"/>
            </w:r>
          </w:hyperlink>
        </w:p>
        <w:p w14:paraId="7792E0FB" w14:textId="53569C43" w:rsidR="005D6CF6" w:rsidRDefault="005D6CF6">
          <w:pPr>
            <w:pStyle w:val="TOC2"/>
            <w:tabs>
              <w:tab w:val="right" w:leader="dot" w:pos="9350"/>
            </w:tabs>
            <w:rPr>
              <w:rFonts w:asciiTheme="minorHAnsi" w:eastAsiaTheme="minorEastAsia" w:hAnsiTheme="minorHAnsi"/>
              <w:noProof/>
              <w:color w:val="auto"/>
              <w:sz w:val="22"/>
            </w:rPr>
          </w:pPr>
          <w:hyperlink w:anchor="_Toc134186005" w:history="1">
            <w:r w:rsidRPr="00B0648B">
              <w:rPr>
                <w:rStyle w:val="Hyperlink"/>
                <w:noProof/>
              </w:rPr>
              <w:t>Author List and Affiliations</w:t>
            </w:r>
            <w:r>
              <w:rPr>
                <w:noProof/>
                <w:webHidden/>
              </w:rPr>
              <w:tab/>
            </w:r>
            <w:r>
              <w:rPr>
                <w:noProof/>
                <w:webHidden/>
              </w:rPr>
              <w:fldChar w:fldCharType="begin"/>
            </w:r>
            <w:r>
              <w:rPr>
                <w:noProof/>
                <w:webHidden/>
              </w:rPr>
              <w:instrText xml:space="preserve"> PAGEREF _Toc134186005 \h </w:instrText>
            </w:r>
            <w:r>
              <w:rPr>
                <w:noProof/>
                <w:webHidden/>
              </w:rPr>
            </w:r>
            <w:r>
              <w:rPr>
                <w:noProof/>
                <w:webHidden/>
              </w:rPr>
              <w:fldChar w:fldCharType="separate"/>
            </w:r>
            <w:r>
              <w:rPr>
                <w:noProof/>
                <w:webHidden/>
              </w:rPr>
              <w:t>248</w:t>
            </w:r>
            <w:r>
              <w:rPr>
                <w:noProof/>
                <w:webHidden/>
              </w:rPr>
              <w:fldChar w:fldCharType="end"/>
            </w:r>
          </w:hyperlink>
        </w:p>
        <w:p w14:paraId="58CE033B" w14:textId="58469E6F" w:rsidR="005D6CF6" w:rsidRDefault="005D6CF6">
          <w:pPr>
            <w:pStyle w:val="TOC2"/>
            <w:tabs>
              <w:tab w:val="right" w:leader="dot" w:pos="9350"/>
            </w:tabs>
            <w:rPr>
              <w:rFonts w:asciiTheme="minorHAnsi" w:eastAsiaTheme="minorEastAsia" w:hAnsiTheme="minorHAnsi"/>
              <w:noProof/>
              <w:color w:val="auto"/>
              <w:sz w:val="22"/>
            </w:rPr>
          </w:pPr>
          <w:hyperlink w:anchor="_Toc134186006" w:history="1">
            <w:r w:rsidRPr="00B0648B">
              <w:rPr>
                <w:rStyle w:val="Hyperlink"/>
                <w:noProof/>
              </w:rPr>
              <w:t>Author Contributions</w:t>
            </w:r>
            <w:r>
              <w:rPr>
                <w:noProof/>
                <w:webHidden/>
              </w:rPr>
              <w:tab/>
            </w:r>
            <w:r>
              <w:rPr>
                <w:noProof/>
                <w:webHidden/>
              </w:rPr>
              <w:fldChar w:fldCharType="begin"/>
            </w:r>
            <w:r>
              <w:rPr>
                <w:noProof/>
                <w:webHidden/>
              </w:rPr>
              <w:instrText xml:space="preserve"> PAGEREF _Toc134186006 \h </w:instrText>
            </w:r>
            <w:r>
              <w:rPr>
                <w:noProof/>
                <w:webHidden/>
              </w:rPr>
            </w:r>
            <w:r>
              <w:rPr>
                <w:noProof/>
                <w:webHidden/>
              </w:rPr>
              <w:fldChar w:fldCharType="separate"/>
            </w:r>
            <w:r>
              <w:rPr>
                <w:noProof/>
                <w:webHidden/>
              </w:rPr>
              <w:t>249</w:t>
            </w:r>
            <w:r>
              <w:rPr>
                <w:noProof/>
                <w:webHidden/>
              </w:rPr>
              <w:fldChar w:fldCharType="end"/>
            </w:r>
          </w:hyperlink>
        </w:p>
        <w:p w14:paraId="725EC69F" w14:textId="0E114EE5" w:rsidR="005D6CF6" w:rsidRDefault="005D6CF6">
          <w:pPr>
            <w:pStyle w:val="TOC2"/>
            <w:tabs>
              <w:tab w:val="right" w:leader="dot" w:pos="9350"/>
            </w:tabs>
            <w:rPr>
              <w:rFonts w:asciiTheme="minorHAnsi" w:eastAsiaTheme="minorEastAsia" w:hAnsiTheme="minorHAnsi"/>
              <w:noProof/>
              <w:color w:val="auto"/>
              <w:sz w:val="22"/>
            </w:rPr>
          </w:pPr>
          <w:hyperlink w:anchor="_Toc134186007" w:history="1">
            <w:r w:rsidRPr="00B0648B">
              <w:rPr>
                <w:rStyle w:val="Hyperlink"/>
                <w:noProof/>
              </w:rPr>
              <w:t>Acknowledgements</w:t>
            </w:r>
            <w:r>
              <w:rPr>
                <w:noProof/>
                <w:webHidden/>
              </w:rPr>
              <w:tab/>
            </w:r>
            <w:r>
              <w:rPr>
                <w:noProof/>
                <w:webHidden/>
              </w:rPr>
              <w:fldChar w:fldCharType="begin"/>
            </w:r>
            <w:r>
              <w:rPr>
                <w:noProof/>
                <w:webHidden/>
              </w:rPr>
              <w:instrText xml:space="preserve"> PAGEREF _Toc134186007 \h </w:instrText>
            </w:r>
            <w:r>
              <w:rPr>
                <w:noProof/>
                <w:webHidden/>
              </w:rPr>
            </w:r>
            <w:r>
              <w:rPr>
                <w:noProof/>
                <w:webHidden/>
              </w:rPr>
              <w:fldChar w:fldCharType="separate"/>
            </w:r>
            <w:r>
              <w:rPr>
                <w:noProof/>
                <w:webHidden/>
              </w:rPr>
              <w:t>249</w:t>
            </w:r>
            <w:r>
              <w:rPr>
                <w:noProof/>
                <w:webHidden/>
              </w:rPr>
              <w:fldChar w:fldCharType="end"/>
            </w:r>
          </w:hyperlink>
        </w:p>
        <w:p w14:paraId="38F6B9F3" w14:textId="07387ACB" w:rsidR="005D6CF6" w:rsidRDefault="005D6CF6">
          <w:pPr>
            <w:pStyle w:val="TOC2"/>
            <w:tabs>
              <w:tab w:val="right" w:leader="dot" w:pos="9350"/>
            </w:tabs>
            <w:rPr>
              <w:rFonts w:asciiTheme="minorHAnsi" w:eastAsiaTheme="minorEastAsia" w:hAnsiTheme="minorHAnsi"/>
              <w:noProof/>
              <w:color w:val="auto"/>
              <w:sz w:val="22"/>
            </w:rPr>
          </w:pPr>
          <w:hyperlink w:anchor="_Toc134186008" w:history="1">
            <w:r w:rsidRPr="00B0648B">
              <w:rPr>
                <w:rStyle w:val="Hyperlink"/>
                <w:noProof/>
              </w:rPr>
              <w:t>Supplementary Table 4.1</w:t>
            </w:r>
            <w:r>
              <w:rPr>
                <w:noProof/>
                <w:webHidden/>
              </w:rPr>
              <w:tab/>
            </w:r>
            <w:r>
              <w:rPr>
                <w:noProof/>
                <w:webHidden/>
              </w:rPr>
              <w:fldChar w:fldCharType="begin"/>
            </w:r>
            <w:r>
              <w:rPr>
                <w:noProof/>
                <w:webHidden/>
              </w:rPr>
              <w:instrText xml:space="preserve"> PAGEREF _Toc134186008 \h </w:instrText>
            </w:r>
            <w:r>
              <w:rPr>
                <w:noProof/>
                <w:webHidden/>
              </w:rPr>
            </w:r>
            <w:r>
              <w:rPr>
                <w:noProof/>
                <w:webHidden/>
              </w:rPr>
              <w:fldChar w:fldCharType="separate"/>
            </w:r>
            <w:r>
              <w:rPr>
                <w:noProof/>
                <w:webHidden/>
              </w:rPr>
              <w:t>250</w:t>
            </w:r>
            <w:r>
              <w:rPr>
                <w:noProof/>
                <w:webHidden/>
              </w:rPr>
              <w:fldChar w:fldCharType="end"/>
            </w:r>
          </w:hyperlink>
        </w:p>
        <w:p w14:paraId="622BC10A" w14:textId="6C48603D" w:rsidR="00EF65D9" w:rsidRPr="00901194" w:rsidRDefault="00455803" w:rsidP="00EF65D9">
          <w:pPr>
            <w:rPr>
              <w:rFonts w:cs="Times New Roman"/>
              <w:b/>
              <w:bCs/>
              <w:noProof/>
            </w:rPr>
          </w:pPr>
          <w:r w:rsidRPr="00901194">
            <w:rPr>
              <w:rFonts w:cs="Times New Roman"/>
              <w:b/>
              <w:bCs/>
              <w:noProof/>
            </w:rPr>
            <w:fldChar w:fldCharType="end"/>
          </w:r>
        </w:p>
      </w:sdtContent>
    </w:sdt>
    <w:p w14:paraId="7822DC9F" w14:textId="72E7176D" w:rsidR="006555AC" w:rsidRPr="00901194" w:rsidRDefault="006555AC" w:rsidP="007C6955">
      <w:pPr>
        <w:pStyle w:val="ChapterHeading1"/>
      </w:pPr>
      <w:bookmarkStart w:id="1" w:name="_Toc134185935"/>
      <w:r w:rsidRPr="00901194">
        <w:lastRenderedPageBreak/>
        <w:t>List of Tables</w:t>
      </w:r>
      <w:r w:rsidR="009529C1" w:rsidRPr="00901194">
        <w:t xml:space="preserve"> and Figures</w:t>
      </w:r>
      <w:bookmarkEnd w:id="1"/>
    </w:p>
    <w:p w14:paraId="19C459F1" w14:textId="77777777" w:rsidR="00443DA3" w:rsidRPr="00901194" w:rsidRDefault="007C6955" w:rsidP="00443DA3">
      <w:pPr>
        <w:pStyle w:val="Sub-ChapterHading"/>
      </w:pPr>
      <w:bookmarkStart w:id="2" w:name="_Toc134185936"/>
      <w:r w:rsidRPr="00901194">
        <w:t>Chapter 1</w:t>
      </w:r>
      <w:bookmarkEnd w:id="2"/>
    </w:p>
    <w:p w14:paraId="57407072" w14:textId="2522C383" w:rsidR="007C6955" w:rsidRPr="00901194" w:rsidRDefault="007C6955" w:rsidP="007C6955">
      <w:pPr>
        <w:rPr>
          <w:rFonts w:cs="Times New Roman"/>
          <w:i/>
          <w:iCs/>
        </w:rPr>
      </w:pPr>
      <w:r w:rsidRPr="00901194">
        <w:rPr>
          <w:rFonts w:cs="Times New Roman"/>
          <w:i/>
          <w:iCs/>
        </w:rPr>
        <w:t>No tables</w:t>
      </w:r>
      <w:r w:rsidR="00541CE4" w:rsidRPr="00901194">
        <w:rPr>
          <w:rFonts w:cs="Times New Roman"/>
          <w:i/>
          <w:iCs/>
        </w:rPr>
        <w:t xml:space="preserve"> or figures</w:t>
      </w:r>
    </w:p>
    <w:p w14:paraId="59453FA4" w14:textId="712E8D22" w:rsidR="007C6955" w:rsidRPr="00901194" w:rsidRDefault="0095086B" w:rsidP="00443DA3">
      <w:pPr>
        <w:pStyle w:val="Sub-ChapterHading"/>
      </w:pPr>
      <w:bookmarkStart w:id="3" w:name="_Toc134185937"/>
      <w:r w:rsidRPr="00901194">
        <w:t>Chapter 2</w:t>
      </w:r>
      <w:bookmarkEnd w:id="3"/>
    </w:p>
    <w:p w14:paraId="742B8F5A" w14:textId="78E3240A"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rPr>
        <w:fldChar w:fldCharType="begin"/>
      </w:r>
      <w:r w:rsidRPr="00901194">
        <w:rPr>
          <w:rFonts w:cs="Times New Roman"/>
        </w:rPr>
        <w:instrText xml:space="preserve"> TOC \t "Caption_JH" \c </w:instrText>
      </w:r>
      <w:r w:rsidRPr="00901194">
        <w:rPr>
          <w:rFonts w:cs="Times New Roman"/>
        </w:rPr>
        <w:fldChar w:fldCharType="separate"/>
      </w:r>
      <w:r w:rsidRPr="00901194">
        <w:rPr>
          <w:rFonts w:cs="Times New Roman"/>
          <w:bCs/>
          <w:noProof/>
        </w:rPr>
        <w:t>Table 2.1: Sampled population metadata.</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_Toc131186547 \h </w:instrText>
      </w:r>
      <w:r w:rsidRPr="00901194">
        <w:rPr>
          <w:rFonts w:cs="Times New Roman"/>
          <w:bCs/>
          <w:noProof/>
        </w:rPr>
      </w:r>
      <w:r w:rsidRPr="00901194">
        <w:rPr>
          <w:rFonts w:cs="Times New Roman"/>
          <w:bCs/>
          <w:noProof/>
        </w:rPr>
        <w:fldChar w:fldCharType="separate"/>
      </w:r>
      <w:r w:rsidR="005D6CF6">
        <w:rPr>
          <w:rFonts w:cs="Times New Roman"/>
          <w:bCs/>
          <w:noProof/>
        </w:rPr>
        <w:t>1</w:t>
      </w:r>
      <w:r w:rsidR="005D6CF6">
        <w:rPr>
          <w:rFonts w:cs="Times New Roman"/>
          <w:bCs/>
          <w:noProof/>
        </w:rPr>
        <w:t>4</w:t>
      </w:r>
      <w:r w:rsidRPr="00901194">
        <w:rPr>
          <w:rFonts w:cs="Times New Roman"/>
          <w:bCs/>
          <w:noProof/>
        </w:rPr>
        <w:fldChar w:fldCharType="end"/>
      </w:r>
    </w:p>
    <w:p w14:paraId="462754A0" w14:textId="0B8A2946"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Figure 2.1: Fecal metabolomic profiles follow an industrialization gradient.</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_Toc131186548 \h </w:instrText>
      </w:r>
      <w:r w:rsidRPr="00901194">
        <w:rPr>
          <w:rFonts w:cs="Times New Roman"/>
          <w:bCs/>
          <w:noProof/>
        </w:rPr>
      </w:r>
      <w:r w:rsidRPr="00901194">
        <w:rPr>
          <w:rFonts w:cs="Times New Roman"/>
          <w:bCs/>
          <w:noProof/>
        </w:rPr>
        <w:fldChar w:fldCharType="separate"/>
      </w:r>
      <w:r w:rsidR="005D6CF6">
        <w:rPr>
          <w:rFonts w:cs="Times New Roman"/>
          <w:bCs/>
          <w:noProof/>
        </w:rPr>
        <w:t>28</w:t>
      </w:r>
      <w:r w:rsidRPr="00901194">
        <w:rPr>
          <w:rFonts w:cs="Times New Roman"/>
          <w:bCs/>
          <w:noProof/>
        </w:rPr>
        <w:fldChar w:fldCharType="end"/>
      </w:r>
    </w:p>
    <w:p w14:paraId="6DE64B60" w14:textId="08F7286A"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Table 2.2: Top 30 most differential metabolite features as determined by random forest classifier.</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_Toc131186549 \h </w:instrText>
      </w:r>
      <w:r w:rsidRPr="00901194">
        <w:rPr>
          <w:rFonts w:cs="Times New Roman"/>
          <w:bCs/>
          <w:noProof/>
        </w:rPr>
      </w:r>
      <w:r w:rsidRPr="00901194">
        <w:rPr>
          <w:rFonts w:cs="Times New Roman"/>
          <w:bCs/>
          <w:noProof/>
        </w:rPr>
        <w:fldChar w:fldCharType="separate"/>
      </w:r>
      <w:r w:rsidR="005D6CF6">
        <w:rPr>
          <w:rFonts w:cs="Times New Roman"/>
          <w:bCs/>
          <w:noProof/>
        </w:rPr>
        <w:t>36</w:t>
      </w:r>
      <w:r w:rsidRPr="00901194">
        <w:rPr>
          <w:rFonts w:cs="Times New Roman"/>
          <w:bCs/>
          <w:noProof/>
        </w:rPr>
        <w:fldChar w:fldCharType="end"/>
      </w:r>
    </w:p>
    <w:p w14:paraId="36E68621" w14:textId="101A9DC3"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Figure 2.2: The shared human metabolome.</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_Toc131186550 \h </w:instrText>
      </w:r>
      <w:r w:rsidRPr="00901194">
        <w:rPr>
          <w:rFonts w:cs="Times New Roman"/>
          <w:bCs/>
          <w:noProof/>
        </w:rPr>
      </w:r>
      <w:r w:rsidRPr="00901194">
        <w:rPr>
          <w:rFonts w:cs="Times New Roman"/>
          <w:bCs/>
          <w:noProof/>
        </w:rPr>
        <w:fldChar w:fldCharType="separate"/>
      </w:r>
      <w:r w:rsidR="005D6CF6">
        <w:rPr>
          <w:rFonts w:cs="Times New Roman"/>
          <w:bCs/>
          <w:noProof/>
        </w:rPr>
        <w:t>39</w:t>
      </w:r>
      <w:r w:rsidRPr="00901194">
        <w:rPr>
          <w:rFonts w:cs="Times New Roman"/>
          <w:bCs/>
          <w:noProof/>
        </w:rPr>
        <w:fldChar w:fldCharType="end"/>
      </w:r>
    </w:p>
    <w:p w14:paraId="44B47B53" w14:textId="204F546B" w:rsidR="009529C1" w:rsidRPr="00901194" w:rsidRDefault="009529C1">
      <w:pPr>
        <w:pStyle w:val="TableofFigures"/>
        <w:tabs>
          <w:tab w:val="right" w:leader="dot" w:pos="9350"/>
        </w:tabs>
        <w:rPr>
          <w:rFonts w:cs="Times New Roman"/>
          <w:bCs/>
          <w:noProof/>
        </w:rPr>
      </w:pPr>
      <w:r w:rsidRPr="00901194">
        <w:rPr>
          <w:rFonts w:cs="Times New Roman"/>
          <w:bCs/>
          <w:noProof/>
        </w:rPr>
        <w:t>Figure 2.3: Principal component analyses (PCA) illustrate probable metabolite-microbe co-occurrences.</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_Toc131186551 \h </w:instrText>
      </w:r>
      <w:r w:rsidRPr="00901194">
        <w:rPr>
          <w:rFonts w:cs="Times New Roman"/>
          <w:bCs/>
          <w:noProof/>
        </w:rPr>
      </w:r>
      <w:r w:rsidRPr="00901194">
        <w:rPr>
          <w:rFonts w:cs="Times New Roman"/>
          <w:bCs/>
          <w:noProof/>
        </w:rPr>
        <w:fldChar w:fldCharType="separate"/>
      </w:r>
      <w:r w:rsidR="005D6CF6">
        <w:rPr>
          <w:rFonts w:cs="Times New Roman"/>
          <w:bCs/>
          <w:noProof/>
        </w:rPr>
        <w:t>43</w:t>
      </w:r>
      <w:r w:rsidRPr="00901194">
        <w:rPr>
          <w:rFonts w:cs="Times New Roman"/>
          <w:bCs/>
          <w:noProof/>
        </w:rPr>
        <w:fldChar w:fldCharType="end"/>
      </w:r>
    </w:p>
    <w:p w14:paraId="733811A8" w14:textId="68033808" w:rsidR="009529C1" w:rsidRPr="00901194" w:rsidRDefault="009529C1" w:rsidP="00443DA3">
      <w:pPr>
        <w:pStyle w:val="Sub-ChapterHading"/>
      </w:pPr>
      <w:bookmarkStart w:id="4" w:name="_Toc134185938"/>
      <w:r w:rsidRPr="00901194">
        <w:t>Chapter 3</w:t>
      </w:r>
      <w:bookmarkEnd w:id="4"/>
    </w:p>
    <w:p w14:paraId="5AEC091A" w14:textId="572660D1" w:rsidR="009529C1" w:rsidRPr="00901194" w:rsidRDefault="009529C1">
      <w:pPr>
        <w:pStyle w:val="TableofFigures"/>
        <w:tabs>
          <w:tab w:val="right" w:leader="dot" w:pos="9350"/>
        </w:tabs>
        <w:rPr>
          <w:rFonts w:eastAsiaTheme="minorEastAsia" w:cs="Times New Roman"/>
          <w:noProof/>
          <w:color w:val="auto"/>
          <w:sz w:val="22"/>
        </w:rPr>
      </w:pPr>
      <w:r w:rsidRPr="00901194">
        <w:rPr>
          <w:rFonts w:cs="Times New Roman"/>
          <w:bCs/>
          <w:noProof/>
        </w:rPr>
        <w:t>Figure 3.1: Experiment design.</w:t>
      </w:r>
      <w:r w:rsidRPr="00901194">
        <w:rPr>
          <w:rFonts w:cs="Times New Roman"/>
          <w:noProof/>
        </w:rPr>
        <w:tab/>
      </w:r>
      <w:r w:rsidRPr="00901194">
        <w:rPr>
          <w:rFonts w:cs="Times New Roman"/>
          <w:noProof/>
        </w:rPr>
        <w:fldChar w:fldCharType="begin"/>
      </w:r>
      <w:r w:rsidRPr="00901194">
        <w:rPr>
          <w:rFonts w:cs="Times New Roman"/>
          <w:noProof/>
        </w:rPr>
        <w:instrText xml:space="preserve"> PAGEREF _Toc131186552 \h </w:instrText>
      </w:r>
      <w:r w:rsidRPr="00901194">
        <w:rPr>
          <w:rFonts w:cs="Times New Roman"/>
          <w:noProof/>
        </w:rPr>
      </w:r>
      <w:r w:rsidRPr="00901194">
        <w:rPr>
          <w:rFonts w:cs="Times New Roman"/>
          <w:noProof/>
        </w:rPr>
        <w:fldChar w:fldCharType="separate"/>
      </w:r>
      <w:r w:rsidR="005D6CF6">
        <w:rPr>
          <w:rFonts w:cs="Times New Roman"/>
          <w:noProof/>
        </w:rPr>
        <w:t>51</w:t>
      </w:r>
      <w:r w:rsidRPr="00901194">
        <w:rPr>
          <w:rFonts w:cs="Times New Roman"/>
          <w:noProof/>
        </w:rPr>
        <w:fldChar w:fldCharType="end"/>
      </w:r>
    </w:p>
    <w:p w14:paraId="2C25FE24" w14:textId="6D1FF2C6"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Table 3.1: Composition of Teklad global 18% protein rodent diet.</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_Toc131186553 \h </w:instrText>
      </w:r>
      <w:r w:rsidRPr="00901194">
        <w:rPr>
          <w:rFonts w:cs="Times New Roman"/>
          <w:bCs/>
          <w:noProof/>
        </w:rPr>
      </w:r>
      <w:r w:rsidRPr="00901194">
        <w:rPr>
          <w:rFonts w:cs="Times New Roman"/>
          <w:bCs/>
          <w:noProof/>
        </w:rPr>
        <w:fldChar w:fldCharType="separate"/>
      </w:r>
      <w:r w:rsidR="005D6CF6">
        <w:rPr>
          <w:rFonts w:cs="Times New Roman"/>
          <w:bCs/>
          <w:noProof/>
        </w:rPr>
        <w:t>52</w:t>
      </w:r>
      <w:r w:rsidRPr="00901194">
        <w:rPr>
          <w:rFonts w:cs="Times New Roman"/>
          <w:bCs/>
          <w:noProof/>
        </w:rPr>
        <w:fldChar w:fldCharType="end"/>
      </w:r>
    </w:p>
    <w:p w14:paraId="489380CC" w14:textId="1FD0F400"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Figure 3.2: Gut microbial community and diet modulate cecal metabolites.</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_Toc131186554 \h </w:instrText>
      </w:r>
      <w:r w:rsidRPr="00901194">
        <w:rPr>
          <w:rFonts w:cs="Times New Roman"/>
          <w:bCs/>
          <w:noProof/>
        </w:rPr>
      </w:r>
      <w:r w:rsidRPr="00901194">
        <w:rPr>
          <w:rFonts w:cs="Times New Roman"/>
          <w:bCs/>
          <w:noProof/>
        </w:rPr>
        <w:fldChar w:fldCharType="separate"/>
      </w:r>
      <w:r w:rsidR="005D6CF6">
        <w:rPr>
          <w:rFonts w:cs="Times New Roman"/>
          <w:bCs/>
          <w:noProof/>
        </w:rPr>
        <w:t>60</w:t>
      </w:r>
      <w:r w:rsidRPr="00901194">
        <w:rPr>
          <w:rFonts w:cs="Times New Roman"/>
          <w:bCs/>
          <w:noProof/>
        </w:rPr>
        <w:fldChar w:fldCharType="end"/>
      </w:r>
    </w:p>
    <w:p w14:paraId="5DC0E428" w14:textId="1CD23160"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Figure 3.3: Unique and overlapping metabolite features with differential abundance between donor and diet combinations in cecal contents (UpSet plot).</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_Toc131186555 \h </w:instrText>
      </w:r>
      <w:r w:rsidRPr="00901194">
        <w:rPr>
          <w:rFonts w:cs="Times New Roman"/>
          <w:bCs/>
          <w:noProof/>
        </w:rPr>
      </w:r>
      <w:r w:rsidRPr="00901194">
        <w:rPr>
          <w:rFonts w:cs="Times New Roman"/>
          <w:bCs/>
          <w:noProof/>
        </w:rPr>
        <w:fldChar w:fldCharType="separate"/>
      </w:r>
      <w:r w:rsidR="005D6CF6">
        <w:rPr>
          <w:rFonts w:cs="Times New Roman"/>
          <w:bCs/>
          <w:noProof/>
        </w:rPr>
        <w:t>64</w:t>
      </w:r>
      <w:r w:rsidRPr="00901194">
        <w:rPr>
          <w:rFonts w:cs="Times New Roman"/>
          <w:bCs/>
          <w:noProof/>
        </w:rPr>
        <w:fldChar w:fldCharType="end"/>
      </w:r>
    </w:p>
    <w:p w14:paraId="5D323109" w14:textId="574E06A9"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Figure 3.4: Plant-derived metabolite families differentially impacted by microbiome and diet.</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_Toc131186557 \h </w:instrText>
      </w:r>
      <w:r w:rsidRPr="00901194">
        <w:rPr>
          <w:rFonts w:cs="Times New Roman"/>
          <w:bCs/>
          <w:noProof/>
        </w:rPr>
      </w:r>
      <w:r w:rsidRPr="00901194">
        <w:rPr>
          <w:rFonts w:cs="Times New Roman"/>
          <w:bCs/>
          <w:noProof/>
        </w:rPr>
        <w:fldChar w:fldCharType="separate"/>
      </w:r>
      <w:r w:rsidR="005D6CF6">
        <w:rPr>
          <w:rFonts w:cs="Times New Roman"/>
          <w:bCs/>
          <w:noProof/>
        </w:rPr>
        <w:t>65</w:t>
      </w:r>
      <w:r w:rsidRPr="00901194">
        <w:rPr>
          <w:rFonts w:cs="Times New Roman"/>
          <w:bCs/>
          <w:noProof/>
        </w:rPr>
        <w:fldChar w:fldCharType="end"/>
      </w:r>
    </w:p>
    <w:p w14:paraId="69901A42" w14:textId="43AEDA55"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 xml:space="preserve">Figure 3.5: </w:t>
      </w:r>
      <w:r w:rsidRPr="00901194">
        <w:rPr>
          <w:rFonts w:eastAsia="DengXian" w:cs="Times New Roman"/>
          <w:bCs/>
          <w:noProof/>
        </w:rPr>
        <w:t>Impact of donor and diet on bile acid relative abundance.</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_Toc131186558 \h </w:instrText>
      </w:r>
      <w:r w:rsidRPr="00901194">
        <w:rPr>
          <w:rFonts w:cs="Times New Roman"/>
          <w:bCs/>
          <w:noProof/>
        </w:rPr>
      </w:r>
      <w:r w:rsidRPr="00901194">
        <w:rPr>
          <w:rFonts w:cs="Times New Roman"/>
          <w:bCs/>
          <w:noProof/>
        </w:rPr>
        <w:fldChar w:fldCharType="separate"/>
      </w:r>
      <w:r w:rsidR="005D6CF6">
        <w:rPr>
          <w:rFonts w:cs="Times New Roman"/>
          <w:bCs/>
          <w:noProof/>
        </w:rPr>
        <w:t>67</w:t>
      </w:r>
      <w:r w:rsidRPr="00901194">
        <w:rPr>
          <w:rFonts w:cs="Times New Roman"/>
          <w:bCs/>
          <w:noProof/>
        </w:rPr>
        <w:fldChar w:fldCharType="end"/>
      </w:r>
    </w:p>
    <w:p w14:paraId="584C36B5" w14:textId="1E5DEA43" w:rsidR="009529C1" w:rsidRPr="00901194" w:rsidRDefault="009529C1">
      <w:pPr>
        <w:pStyle w:val="TableofFigures"/>
        <w:tabs>
          <w:tab w:val="right" w:leader="dot" w:pos="9350"/>
        </w:tabs>
        <w:rPr>
          <w:rFonts w:cs="Times New Roman"/>
          <w:bCs/>
          <w:noProof/>
        </w:rPr>
      </w:pPr>
      <w:r w:rsidRPr="00901194">
        <w:rPr>
          <w:rFonts w:cs="Times New Roman"/>
          <w:bCs/>
          <w:noProof/>
        </w:rPr>
        <w:t>Figure 3.6: Impact of donor and diet on commendamide and kynurenic acid.</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_Toc131186559 \h </w:instrText>
      </w:r>
      <w:r w:rsidRPr="00901194">
        <w:rPr>
          <w:rFonts w:cs="Times New Roman"/>
          <w:bCs/>
          <w:noProof/>
        </w:rPr>
      </w:r>
      <w:r w:rsidRPr="00901194">
        <w:rPr>
          <w:rFonts w:cs="Times New Roman"/>
          <w:bCs/>
          <w:noProof/>
        </w:rPr>
        <w:fldChar w:fldCharType="separate"/>
      </w:r>
      <w:r w:rsidR="005D6CF6">
        <w:rPr>
          <w:rFonts w:cs="Times New Roman"/>
          <w:bCs/>
          <w:noProof/>
        </w:rPr>
        <w:t>69</w:t>
      </w:r>
      <w:r w:rsidRPr="00901194">
        <w:rPr>
          <w:rFonts w:cs="Times New Roman"/>
          <w:bCs/>
          <w:noProof/>
        </w:rPr>
        <w:fldChar w:fldCharType="end"/>
      </w:r>
    </w:p>
    <w:p w14:paraId="595D9460" w14:textId="173FBC5A" w:rsidR="009529C1" w:rsidRPr="00901194" w:rsidRDefault="009529C1" w:rsidP="00443DA3">
      <w:pPr>
        <w:pStyle w:val="Sub-ChapterHading"/>
      </w:pPr>
      <w:bookmarkStart w:id="5" w:name="_Toc134185939"/>
      <w:r w:rsidRPr="00901194">
        <w:lastRenderedPageBreak/>
        <w:t>Chapter 4</w:t>
      </w:r>
      <w:bookmarkEnd w:id="5"/>
    </w:p>
    <w:p w14:paraId="7EDBAAB2" w14:textId="19FAD88F"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Figure 4.1: Plant sampling locations.</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_Toc131186560 \h </w:instrText>
      </w:r>
      <w:r w:rsidRPr="00901194">
        <w:rPr>
          <w:rFonts w:cs="Times New Roman"/>
          <w:bCs/>
          <w:noProof/>
        </w:rPr>
      </w:r>
      <w:r w:rsidRPr="00901194">
        <w:rPr>
          <w:rFonts w:cs="Times New Roman"/>
          <w:bCs/>
          <w:noProof/>
        </w:rPr>
        <w:fldChar w:fldCharType="separate"/>
      </w:r>
      <w:r w:rsidR="005D6CF6">
        <w:rPr>
          <w:rFonts w:cs="Times New Roman"/>
          <w:bCs/>
          <w:noProof/>
        </w:rPr>
        <w:t>78</w:t>
      </w:r>
      <w:r w:rsidRPr="00901194">
        <w:rPr>
          <w:rFonts w:cs="Times New Roman"/>
          <w:bCs/>
          <w:noProof/>
        </w:rPr>
        <w:fldChar w:fldCharType="end"/>
      </w:r>
    </w:p>
    <w:p w14:paraId="4C3072E9" w14:textId="4B1ECADE" w:rsidR="009529C1" w:rsidRPr="00901194" w:rsidRDefault="009529C1">
      <w:pPr>
        <w:pStyle w:val="TableofFigures"/>
        <w:tabs>
          <w:tab w:val="right" w:leader="dot" w:pos="9350"/>
        </w:tabs>
        <w:rPr>
          <w:rFonts w:eastAsiaTheme="minorEastAsia" w:cs="Times New Roman"/>
          <w:bCs/>
          <w:noProof/>
          <w:color w:val="auto"/>
          <w:sz w:val="22"/>
        </w:rPr>
      </w:pPr>
      <w:r w:rsidRPr="00901194">
        <w:rPr>
          <w:rFonts w:cs="Times New Roman"/>
          <w:bCs/>
          <w:noProof/>
        </w:rPr>
        <w:t>Figure 4.2: Experiment design.</w:t>
      </w:r>
      <w:r w:rsidRPr="00901194">
        <w:rPr>
          <w:rFonts w:cs="Times New Roman"/>
          <w:bCs/>
          <w:noProof/>
        </w:rPr>
        <w:tab/>
      </w:r>
      <w:r w:rsidRPr="00901194">
        <w:rPr>
          <w:rFonts w:cs="Times New Roman"/>
          <w:bCs/>
          <w:noProof/>
        </w:rPr>
        <w:fldChar w:fldCharType="begin"/>
      </w:r>
      <w:r w:rsidRPr="00901194">
        <w:rPr>
          <w:rFonts w:cs="Times New Roman"/>
          <w:bCs/>
          <w:noProof/>
        </w:rPr>
        <w:instrText xml:space="preserve"> PAGEREF _Toc131186561 \h </w:instrText>
      </w:r>
      <w:r w:rsidRPr="00901194">
        <w:rPr>
          <w:rFonts w:cs="Times New Roman"/>
          <w:bCs/>
          <w:noProof/>
        </w:rPr>
      </w:r>
      <w:r w:rsidRPr="00901194">
        <w:rPr>
          <w:rFonts w:cs="Times New Roman"/>
          <w:bCs/>
          <w:noProof/>
        </w:rPr>
        <w:fldChar w:fldCharType="separate"/>
      </w:r>
      <w:r w:rsidR="005D6CF6">
        <w:rPr>
          <w:rFonts w:cs="Times New Roman"/>
          <w:bCs/>
          <w:noProof/>
        </w:rPr>
        <w:t>82</w:t>
      </w:r>
      <w:r w:rsidRPr="00901194">
        <w:rPr>
          <w:rFonts w:cs="Times New Roman"/>
          <w:bCs/>
          <w:noProof/>
        </w:rPr>
        <w:fldChar w:fldCharType="end"/>
      </w:r>
    </w:p>
    <w:p w14:paraId="2C1549CA" w14:textId="3F5E1030" w:rsidR="00443DA3" w:rsidRPr="00901194" w:rsidRDefault="009529C1" w:rsidP="00443DA3">
      <w:pPr>
        <w:pStyle w:val="TableofFigures"/>
        <w:tabs>
          <w:tab w:val="right" w:leader="dot" w:pos="9350"/>
        </w:tabs>
        <w:rPr>
          <w:rFonts w:cs="Times New Roman"/>
        </w:rPr>
      </w:pPr>
      <w:r w:rsidRPr="00901194">
        <w:rPr>
          <w:rFonts w:cs="Times New Roman"/>
          <w:bCs/>
          <w:noProof/>
        </w:rPr>
        <w:t>Figure 4.3: Molecular networks highlight region-based abundances of plant chemical compounds.</w:t>
      </w:r>
      <w:r w:rsidRPr="00901194">
        <w:rPr>
          <w:rFonts w:cs="Times New Roman"/>
          <w:noProof/>
        </w:rPr>
        <w:tab/>
      </w:r>
      <w:r w:rsidRPr="00901194">
        <w:rPr>
          <w:rFonts w:cs="Times New Roman"/>
          <w:noProof/>
        </w:rPr>
        <w:fldChar w:fldCharType="begin"/>
      </w:r>
      <w:r w:rsidRPr="00901194">
        <w:rPr>
          <w:rFonts w:cs="Times New Roman"/>
          <w:noProof/>
        </w:rPr>
        <w:instrText xml:space="preserve"> PAGEREF _Toc131186562 \h </w:instrText>
      </w:r>
      <w:r w:rsidRPr="00901194">
        <w:rPr>
          <w:rFonts w:cs="Times New Roman"/>
          <w:noProof/>
        </w:rPr>
      </w:r>
      <w:r w:rsidRPr="00901194">
        <w:rPr>
          <w:rFonts w:cs="Times New Roman"/>
          <w:noProof/>
        </w:rPr>
        <w:fldChar w:fldCharType="separate"/>
      </w:r>
      <w:r w:rsidR="005D6CF6">
        <w:rPr>
          <w:rFonts w:cs="Times New Roman"/>
          <w:noProof/>
        </w:rPr>
        <w:t>88</w:t>
      </w:r>
      <w:r w:rsidRPr="00901194">
        <w:rPr>
          <w:rFonts w:cs="Times New Roman"/>
          <w:noProof/>
        </w:rPr>
        <w:fldChar w:fldCharType="end"/>
      </w:r>
      <w:r w:rsidRPr="00901194">
        <w:rPr>
          <w:rFonts w:cs="Times New Roman"/>
        </w:rPr>
        <w:fldChar w:fldCharType="end"/>
      </w:r>
    </w:p>
    <w:p w14:paraId="0E42074F" w14:textId="1CBB36D0" w:rsidR="00443DA3" w:rsidRPr="00901194" w:rsidRDefault="00443DA3" w:rsidP="00443DA3">
      <w:pPr>
        <w:pStyle w:val="Sub-ChapterHading"/>
      </w:pPr>
      <w:bookmarkStart w:id="6" w:name="_Toc134185940"/>
      <w:r w:rsidRPr="00901194">
        <w:t>Chapter 5</w:t>
      </w:r>
      <w:bookmarkEnd w:id="6"/>
    </w:p>
    <w:p w14:paraId="55328F3F" w14:textId="7F471CD2" w:rsidR="00443DA3" w:rsidRPr="00901194" w:rsidRDefault="00443DA3" w:rsidP="00443DA3">
      <w:pPr>
        <w:rPr>
          <w:rFonts w:cs="Times New Roman"/>
        </w:rPr>
      </w:pPr>
      <w:r w:rsidRPr="00901194">
        <w:rPr>
          <w:rFonts w:cs="Times New Roman"/>
        </w:rPr>
        <w:t>No tables</w:t>
      </w:r>
      <w:r w:rsidR="00541CE4" w:rsidRPr="00901194">
        <w:rPr>
          <w:rFonts w:cs="Times New Roman"/>
        </w:rPr>
        <w:t xml:space="preserve"> or figures</w:t>
      </w:r>
    </w:p>
    <w:p w14:paraId="7184C9E3" w14:textId="77777777" w:rsidR="00443DA3" w:rsidRPr="00901194" w:rsidRDefault="00443DA3" w:rsidP="00443DA3">
      <w:pPr>
        <w:rPr>
          <w:rFonts w:cs="Times New Roman"/>
        </w:rPr>
      </w:pPr>
    </w:p>
    <w:p w14:paraId="5BA93EB3" w14:textId="0149F30A" w:rsidR="00C57BEC" w:rsidRPr="00901194" w:rsidRDefault="00443DA3" w:rsidP="00443DA3">
      <w:pPr>
        <w:spacing w:line="259" w:lineRule="auto"/>
        <w:rPr>
          <w:rFonts w:eastAsiaTheme="majorEastAsia" w:cs="Times New Roman"/>
          <w:b/>
          <w:bCs/>
          <w:sz w:val="28"/>
          <w:szCs w:val="28"/>
        </w:rPr>
      </w:pPr>
      <w:r w:rsidRPr="00901194">
        <w:rPr>
          <w:rFonts w:cs="Times New Roman"/>
        </w:rPr>
        <w:br w:type="page"/>
      </w:r>
    </w:p>
    <w:p w14:paraId="15943A0C" w14:textId="2021CAD4" w:rsidR="006555AC" w:rsidRPr="00901194" w:rsidRDefault="006555AC" w:rsidP="00827AB2">
      <w:pPr>
        <w:pStyle w:val="ChapterHeading1"/>
      </w:pPr>
      <w:bookmarkStart w:id="7" w:name="_Toc134185941"/>
      <w:r w:rsidRPr="00901194">
        <w:lastRenderedPageBreak/>
        <w:t>Abstract</w:t>
      </w:r>
      <w:bookmarkEnd w:id="7"/>
    </w:p>
    <w:p w14:paraId="6CF7D446" w14:textId="1108011C" w:rsidR="006555AC" w:rsidRPr="00901194" w:rsidRDefault="00DF76CA" w:rsidP="00DF76CA">
      <w:pPr>
        <w:ind w:firstLine="720"/>
        <w:rPr>
          <w:rFonts w:cs="Times New Roman"/>
        </w:rPr>
      </w:pPr>
      <w:r w:rsidRPr="00901194">
        <w:rPr>
          <w:rFonts w:cs="Times New Roman"/>
        </w:rPr>
        <w:t xml:space="preserve">Human biology is </w:t>
      </w:r>
      <w:r w:rsidR="004102F1" w:rsidRPr="00901194">
        <w:rPr>
          <w:rFonts w:cs="Times New Roman"/>
        </w:rPr>
        <w:t>shaped</w:t>
      </w:r>
      <w:r w:rsidRPr="00901194">
        <w:rPr>
          <w:rFonts w:cs="Times New Roman"/>
        </w:rPr>
        <w:t xml:space="preserve"> by layers of interacting biomolecules, from genes to proteins and small molecules called metabolites. These molecules are crucial participants in biochemical reactions, representing biological information </w:t>
      </w:r>
      <w:r w:rsidR="004102F1" w:rsidRPr="00901194">
        <w:rPr>
          <w:rFonts w:cs="Times New Roman"/>
        </w:rPr>
        <w:t xml:space="preserve">within and </w:t>
      </w:r>
      <w:r w:rsidRPr="00901194">
        <w:rPr>
          <w:rFonts w:cs="Times New Roman"/>
        </w:rPr>
        <w:t xml:space="preserve">above the genome. Investigating </w:t>
      </w:r>
      <w:r w:rsidR="004102F1" w:rsidRPr="00901194">
        <w:rPr>
          <w:rFonts w:cs="Times New Roman"/>
        </w:rPr>
        <w:t>the</w:t>
      </w:r>
      <w:r w:rsidRPr="00901194">
        <w:rPr>
          <w:rFonts w:cs="Times New Roman"/>
        </w:rPr>
        <w:t xml:space="preserve"> system of small molecules (the metabolome) offers deep inquiries into the interplay between human health, biology, behavior, and the environment. Anthropological interest in these </w:t>
      </w:r>
      <w:r w:rsidR="00B717C2" w:rsidRPr="00901194">
        <w:rPr>
          <w:rFonts w:cs="Times New Roman"/>
        </w:rPr>
        <w:t xml:space="preserve">small molecules is growing, but </w:t>
      </w:r>
      <w:r w:rsidR="004102F1" w:rsidRPr="00901194">
        <w:rPr>
          <w:rFonts w:cs="Times New Roman"/>
        </w:rPr>
        <w:t>more</w:t>
      </w:r>
      <w:r w:rsidR="00B717C2" w:rsidRPr="00901194">
        <w:rPr>
          <w:rFonts w:cs="Times New Roman"/>
        </w:rPr>
        <w:t xml:space="preserve"> work is needed to integrate metabolomics within anthropology. In this spirit, </w:t>
      </w:r>
      <w:r w:rsidR="004102F1" w:rsidRPr="00901194">
        <w:rPr>
          <w:rFonts w:cs="Times New Roman"/>
        </w:rPr>
        <w:t>this dissertation applies</w:t>
      </w:r>
      <w:r w:rsidR="00B717C2" w:rsidRPr="00901194">
        <w:rPr>
          <w:rFonts w:cs="Times New Roman"/>
        </w:rPr>
        <w:t xml:space="preserve"> metabolomics approaches with mass spectrometry to address anthropological questions. Chapter one provides a background over mass spectrometry, metabolomics, and anthropological engagement with these approaches. From there, chapter two directly applies mass spectrometry-based metabolomics to study human fecal metabolomes of individuals practicing varying lifeways from Africa and the Americas, revealing key chemical components to the human gut. Next, chapter three investigates mouse metabolites modulated by gut microbes responding to three high-fiber high-fat diets, revealing personalized health and biological responses to dietary shifts. Chapter four then applies mass spectrometry-based metabolomics to preserved residues found in archaeological contexts by analyzing plant and dietary materials relevant to archaeological communities. We discuss new developed methods to analyze these samples, report plant molecules associated with these samples, and detail plans to make these data publicly available for archaeologists and other scholars to integrate into their analyses, improving results generated from these archaeological samples. Together, these three projects explore novel methods of integrating these metabolomic approaches and data into anthropological investigations of past and present human health, behavior, and biology.</w:t>
      </w:r>
    </w:p>
    <w:p w14:paraId="214F35DC" w14:textId="3DC44128" w:rsidR="0079612C" w:rsidRPr="00901194" w:rsidRDefault="006555AC" w:rsidP="006555AC">
      <w:pPr>
        <w:spacing w:before="240" w:after="0"/>
        <w:ind w:left="720" w:hanging="720"/>
        <w:rPr>
          <w:rFonts w:cs="Times New Roman"/>
          <w:szCs w:val="24"/>
        </w:rPr>
      </w:pPr>
      <w:r w:rsidRPr="00901194">
        <w:rPr>
          <w:rFonts w:cs="Times New Roman"/>
          <w:b/>
          <w:bCs/>
          <w:szCs w:val="24"/>
        </w:rPr>
        <w:lastRenderedPageBreak/>
        <w:t>Dissertation Keywords</w:t>
      </w:r>
      <w:r w:rsidRPr="00901194">
        <w:rPr>
          <w:rFonts w:cs="Times New Roman"/>
          <w:szCs w:val="24"/>
        </w:rPr>
        <w:t>:</w:t>
      </w:r>
      <w:r w:rsidRPr="00901194">
        <w:rPr>
          <w:rFonts w:cs="Times New Roman"/>
          <w:b/>
          <w:bCs/>
          <w:szCs w:val="24"/>
        </w:rPr>
        <w:t xml:space="preserve"> </w:t>
      </w:r>
      <w:r w:rsidR="00C50BFF" w:rsidRPr="00901194">
        <w:rPr>
          <w:rFonts w:cs="Times New Roman"/>
          <w:szCs w:val="24"/>
        </w:rPr>
        <w:t>Metabolomics</w:t>
      </w:r>
      <w:r w:rsidR="004B405C" w:rsidRPr="00901194">
        <w:rPr>
          <w:rFonts w:cs="Times New Roman"/>
          <w:szCs w:val="24"/>
        </w:rPr>
        <w:t xml:space="preserve">; </w:t>
      </w:r>
      <w:r w:rsidR="00C50BFF" w:rsidRPr="00901194">
        <w:rPr>
          <w:rFonts w:cs="Times New Roman"/>
          <w:szCs w:val="24"/>
        </w:rPr>
        <w:t>Microbiome</w:t>
      </w:r>
      <w:r w:rsidR="004B405C" w:rsidRPr="00901194">
        <w:rPr>
          <w:rFonts w:cs="Times New Roman"/>
          <w:szCs w:val="24"/>
        </w:rPr>
        <w:t xml:space="preserve">; </w:t>
      </w:r>
      <w:r w:rsidR="00C50BFF" w:rsidRPr="00901194">
        <w:rPr>
          <w:rFonts w:cs="Times New Roman"/>
          <w:szCs w:val="24"/>
        </w:rPr>
        <w:t xml:space="preserve">Mass spectrometry; </w:t>
      </w:r>
      <w:r w:rsidR="004B405C" w:rsidRPr="00901194">
        <w:rPr>
          <w:rFonts w:cs="Times New Roman"/>
          <w:szCs w:val="24"/>
        </w:rPr>
        <w:t>Residue analysis; Molecular anthropology</w:t>
      </w:r>
    </w:p>
    <w:p w14:paraId="3D52D6EC" w14:textId="77777777" w:rsidR="00E20C39" w:rsidRPr="00901194" w:rsidRDefault="00E20C39">
      <w:pPr>
        <w:rPr>
          <w:rFonts w:cs="Times New Roman"/>
          <w:szCs w:val="24"/>
        </w:rPr>
        <w:sectPr w:rsidR="00E20C39" w:rsidRPr="00901194" w:rsidSect="00E20C39">
          <w:footerReference w:type="default" r:id="rId8"/>
          <w:pgSz w:w="12240" w:h="15840"/>
          <w:pgMar w:top="1440" w:right="1440" w:bottom="1440" w:left="1440" w:header="0" w:footer="0" w:gutter="0"/>
          <w:pgNumType w:fmt="lowerRoman"/>
          <w:cols w:space="720"/>
          <w:formProt w:val="0"/>
          <w:docGrid w:linePitch="360" w:charSpace="-2049"/>
        </w:sectPr>
      </w:pPr>
    </w:p>
    <w:p w14:paraId="4221B67B" w14:textId="05BF20A2" w:rsidR="006555AC" w:rsidRPr="00901194" w:rsidRDefault="0079612C" w:rsidP="00827AB2">
      <w:pPr>
        <w:pStyle w:val="ChapterHeading1"/>
      </w:pPr>
      <w:bookmarkStart w:id="8" w:name="_Toc134185942"/>
      <w:r w:rsidRPr="00901194">
        <w:lastRenderedPageBreak/>
        <w:t xml:space="preserve">Chapter 1 </w:t>
      </w:r>
      <w:r w:rsidR="00827AB2" w:rsidRPr="00901194">
        <w:t>–</w:t>
      </w:r>
      <w:r w:rsidRPr="00901194">
        <w:t xml:space="preserve"> </w:t>
      </w:r>
      <w:r w:rsidR="00827AB2" w:rsidRPr="00901194">
        <w:t>Introduction</w:t>
      </w:r>
      <w:bookmarkEnd w:id="8"/>
    </w:p>
    <w:p w14:paraId="055F6257" w14:textId="24AF594A" w:rsidR="00E5572D" w:rsidRPr="00901194" w:rsidRDefault="00681FC3" w:rsidP="00120812">
      <w:pPr>
        <w:pStyle w:val="Sub-ChapterHading"/>
        <w:numPr>
          <w:ilvl w:val="1"/>
          <w:numId w:val="1"/>
        </w:numPr>
      </w:pPr>
      <w:bookmarkStart w:id="9" w:name="_Toc134185943"/>
      <w:r w:rsidRPr="00901194">
        <w:t>MOLECULAR ANTHROPOLOGY BACKGROUND</w:t>
      </w:r>
      <w:bookmarkEnd w:id="9"/>
    </w:p>
    <w:p w14:paraId="6E5EC820" w14:textId="5023F146" w:rsidR="0071440B" w:rsidRPr="00901194" w:rsidRDefault="00CB4522" w:rsidP="00505C98">
      <w:pPr>
        <w:ind w:firstLine="360"/>
        <w:rPr>
          <w:rFonts w:cs="Times New Roman"/>
          <w:szCs w:val="24"/>
        </w:rPr>
      </w:pPr>
      <w:r w:rsidRPr="00901194">
        <w:rPr>
          <w:rFonts w:cs="Times New Roman"/>
          <w:szCs w:val="24"/>
        </w:rPr>
        <w:t xml:space="preserve">Knowledge of the molecular dimensions to human health and biology have grown rapidly over recent years due to analytical and technological advancements enabling deep inquiries into systems biology. </w:t>
      </w:r>
      <w:r w:rsidR="00F31C88" w:rsidRPr="00901194">
        <w:rPr>
          <w:rFonts w:cs="Times New Roman"/>
          <w:szCs w:val="24"/>
        </w:rPr>
        <w:t>These approaches revealed how genetic information flows from genes into transcribed RNA, which are then translated into proteins using small molecules to participate in chemical reactions along molecular pathways</w:t>
      </w:r>
      <w:r w:rsidR="00F31C88" w:rsidRPr="00901194">
        <w:rPr>
          <w:rFonts w:cs="Times New Roman"/>
          <w:szCs w:val="24"/>
        </w:rPr>
        <w:fldChar w:fldCharType="begin" w:fldLock="1"/>
      </w:r>
      <w:r w:rsidR="006D3BD2" w:rsidRPr="00901194">
        <w:rPr>
          <w:rFonts w:cs="Times New Roman"/>
          <w:szCs w:val="24"/>
        </w:rPr>
        <w:instrText>ADDIN CSL_CITATION {"citationItems":[{"id":"ITEM-1","itemData":{"DOI":"10.1038/nrm3314.Metabolomics","abstract":"Metabolites,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Biol","id":"ITEM-1","issue":"4","issued":{"date-parts":[["2012"]]},"page":"263-269","title":"Metabolomics: the apogee of the omic trilogy","type":"article-journal","volume":"13"},"uris":["http://www.mendeley.com/documents/?uuid=b8c2a6ac-64b9-49e7-a9d8-fae0b880a109"]}],"mendeley":{"formattedCitation":"&lt;sup&gt;1&lt;/sup&gt;","plainTextFormattedCitation":"1","previouslyFormattedCitation":"&lt;sup&gt;1&lt;/sup&gt;"},"properties":{"noteIndex":0},"schema":"https://github.com/citation-style-language/schema/raw/master/csl-citation.json"}</w:instrText>
      </w:r>
      <w:r w:rsidR="00F31C88" w:rsidRPr="00901194">
        <w:rPr>
          <w:rFonts w:cs="Times New Roman"/>
          <w:szCs w:val="24"/>
        </w:rPr>
        <w:fldChar w:fldCharType="separate"/>
      </w:r>
      <w:r w:rsidR="00F31C88" w:rsidRPr="00901194">
        <w:rPr>
          <w:rFonts w:cs="Times New Roman"/>
          <w:noProof/>
          <w:szCs w:val="24"/>
          <w:vertAlign w:val="superscript"/>
        </w:rPr>
        <w:t>1</w:t>
      </w:r>
      <w:r w:rsidR="00F31C88" w:rsidRPr="00901194">
        <w:rPr>
          <w:rFonts w:cs="Times New Roman"/>
          <w:szCs w:val="24"/>
        </w:rPr>
        <w:fldChar w:fldCharType="end"/>
      </w:r>
      <w:r w:rsidR="00F31C88" w:rsidRPr="00901194">
        <w:rPr>
          <w:rFonts w:cs="Times New Roman"/>
          <w:szCs w:val="24"/>
        </w:rPr>
        <w:t xml:space="preserve">. </w:t>
      </w:r>
      <w:r w:rsidR="00505C98" w:rsidRPr="00901194">
        <w:rPr>
          <w:rFonts w:cs="Times New Roman"/>
          <w:szCs w:val="24"/>
        </w:rPr>
        <w:t>In anthropology’s investigation of the human experience</w:t>
      </w:r>
      <w:r w:rsidR="00505C98" w:rsidRPr="00901194">
        <w:rPr>
          <w:rFonts w:cs="Times New Roman"/>
          <w:szCs w:val="24"/>
        </w:rPr>
        <w:fldChar w:fldCharType="begin" w:fldLock="1"/>
      </w:r>
      <w:r w:rsidR="0071440B" w:rsidRPr="00901194">
        <w:rPr>
          <w:rFonts w:cs="Times New Roman"/>
          <w:szCs w:val="24"/>
        </w:rPr>
        <w:instrText>ADDIN CSL_CITATION {"citationItems":[{"id":"ITEM-1","itemData":{"author":[{"dropping-particle":"","family":"Kottak","given":"Philip Conrad","non-dropping-particle":"","parse-names":false,"suffix":""}],"id":"ITEM-1","issued":{"date-parts":[["2018"]]},"publisher":"McGraw Hill","title":"Anthropology: Appreciating Human Diversity","type":"book"},"uris":["http://www.mendeley.com/documents/?uuid=2abbc90a-d550-4830-a550-05af319a72f3"]}],"mendeley":{"formattedCitation":"&lt;sup&gt;2&lt;/sup&gt;","plainTextFormattedCitation":"2","previouslyFormattedCitation":"&lt;sup&gt;2&lt;/sup&gt;"},"properties":{"noteIndex":0},"schema":"https://github.com/citation-style-language/schema/raw/master/csl-citation.json"}</w:instrText>
      </w:r>
      <w:r w:rsidR="00505C98" w:rsidRPr="00901194">
        <w:rPr>
          <w:rFonts w:cs="Times New Roman"/>
          <w:szCs w:val="24"/>
        </w:rPr>
        <w:fldChar w:fldCharType="separate"/>
      </w:r>
      <w:r w:rsidR="00505C98" w:rsidRPr="00901194">
        <w:rPr>
          <w:rFonts w:cs="Times New Roman"/>
          <w:noProof/>
          <w:szCs w:val="24"/>
          <w:vertAlign w:val="superscript"/>
        </w:rPr>
        <w:t>2</w:t>
      </w:r>
      <w:r w:rsidR="00505C98" w:rsidRPr="00901194">
        <w:rPr>
          <w:rFonts w:cs="Times New Roman"/>
          <w:szCs w:val="24"/>
        </w:rPr>
        <w:fldChar w:fldCharType="end"/>
      </w:r>
      <w:r w:rsidR="00505C98" w:rsidRPr="00901194">
        <w:rPr>
          <w:rFonts w:cs="Times New Roman"/>
          <w:szCs w:val="24"/>
        </w:rPr>
        <w:t xml:space="preserve">, subdisciplines like biological anthropology adopted these analytical approaches. Coupled with the growth of fields like genomics and systems biology, </w:t>
      </w:r>
      <w:r w:rsidR="0071440B" w:rsidRPr="00901194">
        <w:rPr>
          <w:rFonts w:cs="Times New Roman"/>
          <w:szCs w:val="24"/>
        </w:rPr>
        <w:t xml:space="preserve">biological anthropology </w:t>
      </w:r>
      <w:r w:rsidR="00C12632" w:rsidRPr="00901194">
        <w:rPr>
          <w:rFonts w:cs="Times New Roman"/>
          <w:szCs w:val="24"/>
        </w:rPr>
        <w:t xml:space="preserve">expanded </w:t>
      </w:r>
      <w:r w:rsidR="0071440B" w:rsidRPr="00901194">
        <w:rPr>
          <w:rFonts w:cs="Times New Roman"/>
          <w:szCs w:val="24"/>
        </w:rPr>
        <w:t xml:space="preserve">molecular anthropology </w:t>
      </w:r>
      <w:r w:rsidR="00C12632" w:rsidRPr="00901194">
        <w:rPr>
          <w:rFonts w:cs="Times New Roman"/>
          <w:szCs w:val="24"/>
        </w:rPr>
        <w:t xml:space="preserve">to represent a </w:t>
      </w:r>
      <w:r w:rsidR="0071440B" w:rsidRPr="00901194">
        <w:rPr>
          <w:rFonts w:cs="Times New Roman"/>
          <w:szCs w:val="24"/>
        </w:rPr>
        <w:t>series of applied chemi</w:t>
      </w:r>
      <w:r w:rsidR="00C12632" w:rsidRPr="00901194">
        <w:rPr>
          <w:rFonts w:cs="Times New Roman"/>
          <w:szCs w:val="24"/>
        </w:rPr>
        <w:t>cal</w:t>
      </w:r>
      <w:r w:rsidR="0071440B" w:rsidRPr="00901194">
        <w:rPr>
          <w:rFonts w:cs="Times New Roman"/>
          <w:szCs w:val="24"/>
        </w:rPr>
        <w:t>, biolog</w:t>
      </w:r>
      <w:r w:rsidR="00C12632" w:rsidRPr="00901194">
        <w:rPr>
          <w:rFonts w:cs="Times New Roman"/>
          <w:szCs w:val="24"/>
        </w:rPr>
        <w:t>ical</w:t>
      </w:r>
      <w:r w:rsidR="0071440B" w:rsidRPr="00901194">
        <w:rPr>
          <w:rFonts w:cs="Times New Roman"/>
          <w:szCs w:val="24"/>
        </w:rPr>
        <w:t>, and microbiolo</w:t>
      </w:r>
      <w:r w:rsidR="00C12632" w:rsidRPr="00901194">
        <w:rPr>
          <w:rFonts w:cs="Times New Roman"/>
          <w:szCs w:val="24"/>
        </w:rPr>
        <w:t xml:space="preserve">gical </w:t>
      </w:r>
      <w:r w:rsidR="0071440B" w:rsidRPr="00901194">
        <w:rPr>
          <w:rFonts w:cs="Times New Roman"/>
          <w:szCs w:val="24"/>
        </w:rPr>
        <w:t>approaches to answering anthropology questions</w:t>
      </w:r>
      <w:r w:rsidR="0071440B" w:rsidRPr="00901194">
        <w:rPr>
          <w:rFonts w:cs="Times New Roman"/>
          <w:szCs w:val="24"/>
        </w:rPr>
        <w:fldChar w:fldCharType="begin" w:fldLock="1"/>
      </w:r>
      <w:r w:rsidR="00012230" w:rsidRPr="00901194">
        <w:rPr>
          <w:rFonts w:cs="Times New Roman"/>
          <w:szCs w:val="24"/>
        </w:rPr>
        <w:instrText>ADDIN CSL_CITATION {"citationItems":[{"id":"ITEM-1","itemData":{"DOI":"10.1002/evan.10031","ISSN":"10601538","abstract":"This first part of this essay explores the relationship of molecular studies to the field of anthropology, setting out the history and present status of that relationship and focusing on two issues in contemporary molecular anthropology. In the second part, I set out a program for a molecular anthropology that is both \"molecular\" and \"anthropology,\" centering on the application of genetic data to primate, including human, populations, and its intersection with the issues and approaches of traditional anthropology","author":[{"dropping-particle":"","family":"Marks","given":"Jonathan","non-dropping-particle":"","parse-names":false,"suffix":""}],"container-title":"Evolutionary Anthropology","id":"ITEM-1","issue":"4","issued":{"date-parts":[["2002"]]},"page":"131-135","title":"What Is Molecular Anthropology? What Can It Be?","type":"article-journal","volume":"11"},"uris":["http://www.mendeley.com/documents/?uuid=ac033723-00c8-4ccf-b281-e112e082ba97"]}],"mendeley":{"formattedCitation":"&lt;sup&gt;3&lt;/sup&gt;","plainTextFormattedCitation":"3","previouslyFormattedCitation":"&lt;sup&gt;3&lt;/sup&gt;"},"properties":{"noteIndex":0},"schema":"https://github.com/citation-style-language/schema/raw/master/csl-citation.json"}</w:instrText>
      </w:r>
      <w:r w:rsidR="0071440B" w:rsidRPr="00901194">
        <w:rPr>
          <w:rFonts w:cs="Times New Roman"/>
          <w:szCs w:val="24"/>
        </w:rPr>
        <w:fldChar w:fldCharType="separate"/>
      </w:r>
      <w:r w:rsidR="0071440B" w:rsidRPr="00901194">
        <w:rPr>
          <w:rFonts w:cs="Times New Roman"/>
          <w:noProof/>
          <w:szCs w:val="24"/>
          <w:vertAlign w:val="superscript"/>
        </w:rPr>
        <w:t>3</w:t>
      </w:r>
      <w:r w:rsidR="0071440B" w:rsidRPr="00901194">
        <w:rPr>
          <w:rFonts w:cs="Times New Roman"/>
          <w:szCs w:val="24"/>
        </w:rPr>
        <w:fldChar w:fldCharType="end"/>
      </w:r>
      <w:r w:rsidR="0071440B" w:rsidRPr="00901194">
        <w:rPr>
          <w:rFonts w:cs="Times New Roman"/>
          <w:szCs w:val="24"/>
        </w:rPr>
        <w:t>.</w:t>
      </w:r>
    </w:p>
    <w:p w14:paraId="63C0E0B7" w14:textId="0C540271" w:rsidR="00120812" w:rsidRPr="00901194" w:rsidRDefault="00C12632" w:rsidP="0002370F">
      <w:pPr>
        <w:ind w:firstLine="360"/>
        <w:rPr>
          <w:rFonts w:cs="Times New Roman"/>
          <w:szCs w:val="24"/>
        </w:rPr>
      </w:pPr>
      <w:r w:rsidRPr="00901194">
        <w:rPr>
          <w:rFonts w:cs="Times New Roman"/>
          <w:szCs w:val="24"/>
        </w:rPr>
        <w:t>Recent studies in molecular anthropology have had a wide range of impact, from understanding</w:t>
      </w:r>
      <w:r w:rsidR="00C511BA" w:rsidRPr="00901194">
        <w:rPr>
          <w:rFonts w:cs="Times New Roman"/>
          <w:szCs w:val="24"/>
        </w:rPr>
        <w:t xml:space="preserve"> human</w:t>
      </w:r>
      <w:r w:rsidRPr="00901194">
        <w:rPr>
          <w:rFonts w:cs="Times New Roman"/>
          <w:szCs w:val="24"/>
        </w:rPr>
        <w:t>-</w:t>
      </w:r>
      <w:r w:rsidR="00C511BA" w:rsidRPr="00901194">
        <w:rPr>
          <w:rFonts w:cs="Times New Roman"/>
          <w:szCs w:val="24"/>
        </w:rPr>
        <w:t>ape</w:t>
      </w:r>
      <w:r w:rsidRPr="00901194">
        <w:rPr>
          <w:rFonts w:cs="Times New Roman"/>
          <w:szCs w:val="24"/>
        </w:rPr>
        <w:t xml:space="preserve"> evolutionary relationships through comparing microbial profiles between humans and great apes</w:t>
      </w:r>
      <w:r w:rsidR="00C511BA" w:rsidRPr="00901194">
        <w:rPr>
          <w:rFonts w:cs="Times New Roman"/>
          <w:szCs w:val="24"/>
        </w:rPr>
        <w:fldChar w:fldCharType="begin" w:fldLock="1"/>
      </w:r>
      <w:r w:rsidR="00AB5632" w:rsidRPr="00901194">
        <w:rPr>
          <w:rFonts w:cs="Times New Roman"/>
          <w:szCs w:val="24"/>
        </w:rPr>
        <w:instrText>ADDIN CSL_CITATION {"citationItems":[{"id":"ITEM-1","itemData":{"DOI":"10.1073/pnas.1419136111","ISBN":"1091-6490 (Electronic) 0027-8424 (Linking)","ISSN":"0027-8424","PMID":"25368157","abstract":"Humans are ecosystems containing trillions of microorganisms, but the evolutionary history of this microbiome is obscured by a lack of knowledge about microbiomes of African apes. We sequenced the gut communities of hundreds of chimpanzees, bonobos, and gorillas and developed a phylogenetic approach to reconstruct how present-day human microbiomes have diverged from those of ancestral populations. Compositional change in the microbiome was slow and clock-like during African ape diversification, but human microbiomes have deviated from the ancestral state at an accelerated rate. Relative to the microbiomes of wild apes, human microbiomes have lost ancestral microbial diversity while becom-ing specialized for animal-based diets. Individual wild apes cultivate more phyla, classes, orders, families, genera, and species of bacteria than do individual humans across a range of societies. These results indicate that humanity has experienced a depletion of the gut flora since diverging from Pan. microbiota | gastrointestinal tract | coevolution | Pan | Gorilla","author":[{"dropping-particle":"","family":"Moeller","given":"Andrew H.","non-dropping-particle":"","parse-names":false,"suffix":""},{"dropping-particle":"","family":"Li","given":"Yingying","non-dropping-particle":"","parse-names":false,"suffix":""},{"dropping-particle":"","family":"Mpoudi Ngole","given":"Eitel","non-dropping-particle":"","parse-names":false,"suffix":""},{"dropping-particle":"","family":"Ahuka-Mundeke","given":"Steve","non-dropping-particle":"","parse-names":false,"suffix":""},{"dropping-particle":"V.","family":"Lonsdorf","given":"Elizabeth","non-dropping-particle":"","parse-names":false,"suffix":""},{"dropping-particle":"","family":"Pusey","given":"Anne E.","non-dropping-particle":"","parse-names":false,"suffix":""},{"dropping-particle":"","family":"Peeters","given":"Martine","non-dropping-particle":"","parse-names":false,"suffix":""},{"dropping-particle":"","family":"Hahn","given":"Beatrice H.","non-dropping-particle":"","parse-names":false,"suffix":""},{"dropping-particle":"","family":"Ochman","given":"Howard","non-dropping-particle":"","parse-names":false,"suffix":""}],"container-title":"Proceedings of the National Academy of Sciences","id":"ITEM-1","issue":"46","issued":{"date-parts":[["2014"]]},"note":"Does a good job at explaining importance of 16S to anth","page":"16431-16435","title":"Rapid changes in the gut microbiome during human evolution","type":"article-journal","volume":"111"},"uris":["http://www.mendeley.com/documents/?uuid=c055360b-bb01-4d91-9557-15bd8d1af55d"]}],"mendeley":{"formattedCitation":"&lt;sup&gt;4&lt;/sup&gt;","plainTextFormattedCitation":"4","previouslyFormattedCitation":"&lt;sup&gt;4&lt;/sup&gt;"},"properties":{"noteIndex":0},"schema":"https://github.com/citation-style-language/schema/raw/master/csl-citation.json"}</w:instrText>
      </w:r>
      <w:r w:rsidR="00C511BA" w:rsidRPr="00901194">
        <w:rPr>
          <w:rFonts w:cs="Times New Roman"/>
          <w:szCs w:val="24"/>
        </w:rPr>
        <w:fldChar w:fldCharType="separate"/>
      </w:r>
      <w:r w:rsidR="0002370F" w:rsidRPr="00901194">
        <w:rPr>
          <w:rFonts w:cs="Times New Roman"/>
          <w:noProof/>
          <w:szCs w:val="24"/>
          <w:vertAlign w:val="superscript"/>
        </w:rPr>
        <w:t>4</w:t>
      </w:r>
      <w:r w:rsidR="00C511BA" w:rsidRPr="00901194">
        <w:rPr>
          <w:rFonts w:cs="Times New Roman"/>
          <w:szCs w:val="24"/>
        </w:rPr>
        <w:fldChar w:fldCharType="end"/>
      </w:r>
      <w:r w:rsidR="00C511BA" w:rsidRPr="00901194">
        <w:rPr>
          <w:rFonts w:cs="Times New Roman"/>
          <w:szCs w:val="24"/>
        </w:rPr>
        <w:t>,</w:t>
      </w:r>
      <w:r w:rsidR="0071440B" w:rsidRPr="00901194">
        <w:rPr>
          <w:rFonts w:cs="Times New Roman"/>
          <w:szCs w:val="24"/>
        </w:rPr>
        <w:t xml:space="preserve"> illustrat</w:t>
      </w:r>
      <w:r w:rsidRPr="00901194">
        <w:rPr>
          <w:rFonts w:cs="Times New Roman"/>
          <w:szCs w:val="24"/>
        </w:rPr>
        <w:t>ing</w:t>
      </w:r>
      <w:r w:rsidR="00A72B2C" w:rsidRPr="00901194">
        <w:rPr>
          <w:rFonts w:cs="Times New Roman"/>
          <w:szCs w:val="24"/>
        </w:rPr>
        <w:t xml:space="preserve"> </w:t>
      </w:r>
      <w:r w:rsidR="00012230" w:rsidRPr="00901194">
        <w:rPr>
          <w:rFonts w:cs="Times New Roman"/>
          <w:szCs w:val="24"/>
        </w:rPr>
        <w:t xml:space="preserve">new ways of exploring </w:t>
      </w:r>
      <w:r w:rsidR="00AB5632" w:rsidRPr="00901194">
        <w:rPr>
          <w:rFonts w:cs="Times New Roman"/>
          <w:szCs w:val="24"/>
        </w:rPr>
        <w:t xml:space="preserve">health states </w:t>
      </w:r>
      <w:r w:rsidR="00012230" w:rsidRPr="00901194">
        <w:rPr>
          <w:rFonts w:cs="Times New Roman"/>
          <w:szCs w:val="24"/>
        </w:rPr>
        <w:t xml:space="preserve">and </w:t>
      </w:r>
      <w:r w:rsidR="00AB5632" w:rsidRPr="00901194">
        <w:rPr>
          <w:rFonts w:cs="Times New Roman"/>
          <w:szCs w:val="24"/>
        </w:rPr>
        <w:t xml:space="preserve">disease </w:t>
      </w:r>
      <w:r w:rsidR="00012230" w:rsidRPr="00901194">
        <w:rPr>
          <w:rFonts w:cs="Times New Roman"/>
          <w:szCs w:val="24"/>
        </w:rPr>
        <w:t>susceptibilities</w:t>
      </w:r>
      <w:r w:rsidR="00AB5632" w:rsidRPr="00901194">
        <w:rPr>
          <w:rFonts w:cs="Times New Roman"/>
          <w:szCs w:val="24"/>
        </w:rPr>
        <w:fldChar w:fldCharType="begin" w:fldLock="1"/>
      </w:r>
      <w:r w:rsidR="000A1931" w:rsidRPr="00901194">
        <w:rPr>
          <w:rFonts w:cs="Times New Roman"/>
          <w:szCs w:val="24"/>
        </w:rPr>
        <w:instrText>ADDIN CSL_CITATION {"citationItems":[{"id":"ITEM-1","itemData":{"DOI":"10.1146/annurev-anthro-091908-164350","ISSN":"0084-6570","abstract":"Many biological systems have critical periods that overlap with the age of maternal provisioning via placenta or lactation. As such, they serve as conduits for phenotypic information transfer between generations and link maternal experience with offspring biology and disease outcomes. This review critically evaluates proposals for an adaptive function of these responses in humans. Although most models assume an adult function for the metabolic responses to nutritional stress, these specific traits have more likely been tailored for effects during fetal life and infancy. Other biological functions are under stronger evolutionary selection later in life and thus are better candidates for predictive plasticity. Given the long human life cycle and environmental changes that are unpredictable on decadal timescales, plastic responses that evolved to confer benefits in adolescence or adulthood likely rely on cues that integrate matrilineal experiences prior to gestation. We conclude with strategies for testing the timescale and adaptive significance of developmental responses to early environments.","author":[{"dropping-particle":"","family":"Kuzawa","given":"Christopher W.","non-dropping-particle":"","parse-names":false,"suffix":""},{"dropping-particle":"","family":"Quinn","given":"Elizabeth A.","non-dropping-particle":"","parse-names":false,"suffix":""}],"container-title":"Annual Review of Anthropology","id":"ITEM-1","issue":"1","issued":{"date-parts":[["2009"]]},"page":"131-147","title":"Developmental Origins of Adult Function and Health: Evolutionary Hypotheses","type":"article-journal","volume":"38"},"uris":["http://www.mendeley.com/documents/?uuid=23e6fcaf-c65b-45ec-8c00-8609e3591455"]},{"id":"ITEM-2","itemData":{"DOI":"10.1097/01.EDE.0000016862.96948.6E","author":[{"dropping-particle":"","family":"Millikan","given":"Robert","non-dropping-particle":"","parse-names":false,"suffix":""}],"container-title":"Epidemiology","id":"ITEM-2","issue":"4","issued":{"date-parts":[["2023"]]},"page":"472-480","title":"The Changing Face of Epidemiology in the Genomics Era","type":"article-journal","volume":"13"},"uris":["http://www.mendeley.com/documents/?uuid=e098b3b9-b2b1-4983-a330-42ff7d396c29"]}],"mendeley":{"formattedCitation":"&lt;sup&gt;5,6&lt;/sup&gt;","plainTextFormattedCitation":"5,6","previouslyFormattedCitation":"&lt;sup&gt;5,6&lt;/sup&gt;"},"properties":{"noteIndex":0},"schema":"https://github.com/citation-style-language/schema/raw/master/csl-citation.json"}</w:instrText>
      </w:r>
      <w:r w:rsidR="00AB5632" w:rsidRPr="00901194">
        <w:rPr>
          <w:rFonts w:cs="Times New Roman"/>
          <w:szCs w:val="24"/>
        </w:rPr>
        <w:fldChar w:fldCharType="separate"/>
      </w:r>
      <w:r w:rsidR="00AB5632" w:rsidRPr="00901194">
        <w:rPr>
          <w:rFonts w:cs="Times New Roman"/>
          <w:noProof/>
          <w:szCs w:val="24"/>
          <w:vertAlign w:val="superscript"/>
        </w:rPr>
        <w:t>5,6</w:t>
      </w:r>
      <w:r w:rsidR="00AB5632" w:rsidRPr="00901194">
        <w:rPr>
          <w:rFonts w:cs="Times New Roman"/>
          <w:szCs w:val="24"/>
        </w:rPr>
        <w:fldChar w:fldCharType="end"/>
      </w:r>
      <w:r w:rsidR="00012230" w:rsidRPr="00901194">
        <w:rPr>
          <w:rFonts w:cs="Times New Roman"/>
          <w:szCs w:val="24"/>
        </w:rPr>
        <w:t xml:space="preserve">, </w:t>
      </w:r>
      <w:r w:rsidR="001B2202" w:rsidRPr="00901194">
        <w:rPr>
          <w:rFonts w:cs="Times New Roman"/>
          <w:szCs w:val="24"/>
        </w:rPr>
        <w:t>stud</w:t>
      </w:r>
      <w:r w:rsidRPr="00901194">
        <w:rPr>
          <w:rFonts w:cs="Times New Roman"/>
          <w:szCs w:val="24"/>
        </w:rPr>
        <w:t xml:space="preserve">ying </w:t>
      </w:r>
      <w:r w:rsidR="00B5324C" w:rsidRPr="00901194">
        <w:rPr>
          <w:rFonts w:cs="Times New Roman"/>
          <w:szCs w:val="24"/>
        </w:rPr>
        <w:t>Neanderthal DNA</w:t>
      </w:r>
      <w:r w:rsidR="00B5324C" w:rsidRPr="00901194">
        <w:rPr>
          <w:rFonts w:cs="Times New Roman"/>
          <w:szCs w:val="24"/>
        </w:rPr>
        <w:fldChar w:fldCharType="begin" w:fldLock="1"/>
      </w:r>
      <w:r w:rsidR="000A1931" w:rsidRPr="00901194">
        <w:rPr>
          <w:rFonts w:cs="Times New Roman"/>
          <w:szCs w:val="24"/>
        </w:rPr>
        <w:instrText>ADDIN CSL_CITATION {"citationItems":[{"id":"ITEM-1","itemData":{"DOI":"doi:10.1038/nature0533","abstract":"Neanderthals are the extinct hominid group most closely related to contemporary humans, so their genome offers a unique opportunity to identify genetic changes specific to anatomically fully modern humans. We have identified a 38,000-year-old Neanderthal fossil that is exceptionally free of contamination from modern human DNA. Direct high-throughput sequencing of a DNA extract from this fossil has thus far yielded over one million base pairs of hominoid nuclear DNA sequences. Comparison with the human and chimpanzee genomes reveals that modern human and Neanderthal DNA sequences diverged on average about 500,000 years ago. Existing technology and fossil resources are now sufficient to initiate a Neanderthal genome-sequencing effor","author":[{"dropping-particle":"","family":"Green","given":"Richard E","non-dropping-particle":"","parse-names":false,"suffix":""},{"dropping-particle":"","family":"Krause","given":"Johannes","non-dropping-particle":"","parse-names":false,"suffix":""},{"dropping-particle":"","family":"Ptak","given":"Susan E","non-dropping-particle":"","parse-names":false,"suffix":""},{"dropping-particle":"","family":"Briggs","given":"Adrian W","non-dropping-particle":"","parse-names":false,"suffix":""},{"dropping-particle":"","family":"Ronan","given":"Michael T","non-dropping-particle":"","parse-names":false,"suffix":""},{"dropping-particle":"","family":"Simons","given":"Jan F","non-dropping-particle":"","parse-names":false,"suffix":""},{"dropping-particle":"","family":"Du","given":"Lei","non-dropping-particle":"","parse-names":false,"suffix":""},{"dropping-particle":"","family":"Egholm","given":"Michael","non-dropping-particle":"","parse-names":false,"suffix":""},{"dropping-particle":"","family":"Rothberg","given":"Jonathan M","non-dropping-particle":"","parse-names":false,"suffix":""},{"dropping-particle":"","family":"Pauvnovic","given":"Maja","non-dropping-particle":"","parse-names":false,"suffix":""},{"dropping-particle":"","family":"Pääbo","given":"Svante","non-dropping-particle":"","parse-names":false,"suffix":""}],"container-title":"Nature","id":"ITEM-1","issue":"7117","issued":{"date-parts":[["2006"]]},"page":"330-336","title":"Analysis of one million base pairs of Neanderthal DNA","type":"article-journal","volume":"444"},"uris":["http://www.mendeley.com/documents/?uuid=ab2fc8f8-d97b-4212-ab8f-00eb8abc953a"]},{"id":"ITEM-2","itemData":{"DOI":"10.1038/35006625","ISSN":"00280836","abstract":"The expansion of premodern humans into western and eastern Europe approximately 40,000 years before the present led to the eventual replacement of the Neanderthals by modern humans approximately 28,000 years ago. Here we report the second mitochondrial DNA (mtDNA) analysis of a Neanderthal, and the first such analysis on clearly dated Neanderthal remains. The specimen is from one of the eastern-most Neanderthal populations, recovered from Mezmaiskaya Cave in the northern Caucasus. Radiocarbon dating estimated the specimen to be approximately 29,000 years old and therefore from one of the latest living Neanderthals. The sequence shows 3.48% divergence from the Feldhofer Neanderthal. Phylogenetic analysis places the two Neanderthals from the Caucasus and western Germany together in a clade that is distinct from modern humans, suggesting that their mtDNA types have not contributed to the modern human mtDNA pool. Comparison with modern populations provides no evidence for the multiregional hypothesis of modern human evolution.","author":[{"dropping-particle":"V.","family":"Ovchinnikov","given":"Igor","non-dropping-particle":"","parse-names":false,"suffix":""},{"dropping-particle":"","family":"Götherström","given":"Anders","non-dropping-particle":"","parse-names":false,"suffix":""},{"dropping-particle":"","family":"Romanova","given":"Galina P.","non-dropping-particle":"","parse-names":false,"suffix":""},{"dropping-particle":"","family":"Kharitonov","given":"Vitally M.","non-dropping-particle":"","parse-names":false,"suffix":""},{"dropping-particle":"","family":"Lidén","given":"Kerstin","non-dropping-particle":"","parse-names":false,"suffix":""},{"dropping-particle":"","family":"Goodwin","given":"William","non-dropping-particle":"","parse-names":false,"suffix":""}],"container-title":"Nature","id":"ITEM-2","issue":"6777","issued":{"date-parts":[["2000"]]},"page":"490-493","title":"Molecular analysis of Neanderthal DNA from the northern Caucasus","type":"article-journal","volume":"404"},"uris":["http://www.mendeley.com/documents/?uuid=16d4a07e-5c9c-4513-8b28-c16a736a0fea"]}],"mendeley":{"formattedCitation":"&lt;sup&gt;7,8&lt;/sup&gt;","plainTextFormattedCitation":"7,8","previouslyFormattedCitation":"&lt;sup&gt;7,8&lt;/sup&gt;"},"properties":{"noteIndex":0},"schema":"https://github.com/citation-style-language/schema/raw/master/csl-citation.json"}</w:instrText>
      </w:r>
      <w:r w:rsidR="00B5324C" w:rsidRPr="00901194">
        <w:rPr>
          <w:rFonts w:cs="Times New Roman"/>
          <w:szCs w:val="24"/>
        </w:rPr>
        <w:fldChar w:fldCharType="separate"/>
      </w:r>
      <w:r w:rsidR="00AB5632" w:rsidRPr="00901194">
        <w:rPr>
          <w:rFonts w:cs="Times New Roman"/>
          <w:noProof/>
          <w:szCs w:val="24"/>
          <w:vertAlign w:val="superscript"/>
        </w:rPr>
        <w:t>7,8</w:t>
      </w:r>
      <w:r w:rsidR="00B5324C" w:rsidRPr="00901194">
        <w:rPr>
          <w:rFonts w:cs="Times New Roman"/>
          <w:szCs w:val="24"/>
        </w:rPr>
        <w:fldChar w:fldCharType="end"/>
      </w:r>
      <w:r w:rsidR="00B5324C" w:rsidRPr="00901194">
        <w:rPr>
          <w:rFonts w:cs="Times New Roman"/>
          <w:szCs w:val="24"/>
        </w:rPr>
        <w:t xml:space="preserve">, </w:t>
      </w:r>
      <w:r w:rsidRPr="00901194">
        <w:rPr>
          <w:rFonts w:cs="Times New Roman"/>
          <w:szCs w:val="24"/>
        </w:rPr>
        <w:t xml:space="preserve">analyzing </w:t>
      </w:r>
      <w:r w:rsidR="0002370F" w:rsidRPr="00901194">
        <w:rPr>
          <w:rFonts w:cs="Times New Roman"/>
          <w:szCs w:val="24"/>
        </w:rPr>
        <w:t>ancient proteins reflecting past human diets</w:t>
      </w:r>
      <w:r w:rsidR="0002370F" w:rsidRPr="00901194">
        <w:rPr>
          <w:rFonts w:cs="Times New Roman"/>
          <w:szCs w:val="24"/>
        </w:rPr>
        <w:fldChar w:fldCharType="begin" w:fldLock="1"/>
      </w:r>
      <w:r w:rsidR="000A1931" w:rsidRPr="00901194">
        <w:rPr>
          <w:rFonts w:cs="Times New Roman"/>
          <w:szCs w:val="24"/>
        </w:rPr>
        <w:instrText>ADDIN CSL_CITATION {"citationItems":[{"id":"ITEM-1","itemData":{"DOI":"10.1038/s41467-018-06335-6","ISSN":"20411723","PMID":"30283003","abstract":"The analysis of lipids (fats, oils and waxes) absorbed within archaeological pottery has revolutionized the study of past diets and culinary practices. However, this technique can lack taxonomic and tissue specificity and is often unable to disentangle signatures resulting from the mixing of different food products. Here, we extract ancient proteins from ceramic vessels from the West Mound of the key early farming site of Çatalhöyük in Anatolia, revealing that this community processed mixes of cereals, pulses, dairy and meat products, and that particular vessels may have been reserved for specialized foods (e.g., cow milk and milk whey). Moreover, we demonstrate that dietary proteins can persist on archaeological artefacts for at least 8000 years, and that this approach can reveal past culinary practices with more taxonomic and tissue-specific clarity than has been possible with previous biomolecular techniques.","author":[{"dropping-particle":"","family":"Hendy","given":"Jessica","non-dropping-particle":"","parse-names":false,"suffix":""},{"dropping-particle":"","family":"Colonese","given":"Andre C.","non-dropping-particle":"","parse-names":false,"suffix":""},{"dropping-particle":"","family":"Franz","given":"Ingmar","non-dropping-particle":"","parse-names":false,"suffix":""},{"dropping-particle":"","family":"Fernandes","given":"Ricardo","non-dropping-particle":"","parse-names":false,"suffix":""},{"dropping-particle":"","family":"Fischer","given":"Roman","non-dropping-particle":"","parse-names":false,"suffix":""},{"dropping-particle":"","family":"Orton","given":"David","non-dropping-particle":"","parse-names":false,"suffix":""},{"dropping-particle":"","family":"Lucquin","given":"Alexandre","non-dropping-particle":"","parse-names":false,"suffix":""},{"dropping-particle":"","family":"Spindler","given":"Luke","non-dropping-particle":"","parse-names":false,"suffix":""},{"dropping-particle":"","family":"Anvari","given":"Jana","non-dropping-particle":"","parse-names":false,"suffix":""},{"dropping-particle":"","family":"Stroud","given":"Elizabeth","non-dropping-particle":"","parse-names":false,"suffix":""},{"dropping-particle":"","family":"Biehl","given":"Peter F.","non-dropping-particle":"","parse-names":false,"suffix":""},{"dropping-particle":"","family":"Speller","given":"Camilla","non-dropping-particle":"","parse-names":false,"suffix":""},{"dropping-particle":"","family":"Boivin","given":"Nicole","non-dropping-particle":"","parse-names":false,"suffix":""},{"dropping-particle":"","family":"Mackie","given":"Meaghan","non-dropping-particle":"","parse-names":false,"suffix":""},{"dropping-particle":"","family":"Jersie-Christensen","given":"Rosa R.","non-dropping-particle":"","parse-names":false,"suffix":""},{"dropping-particle":"V.","family":"Olsen","given":"Jesper","non-dropping-particle":"","parse-names":false,"suffix":""},{"dropping-particle":"","family":"Collins","given":"Matthew J.","non-dropping-particle":"","parse-names":false,"suffix":""},{"dropping-particle":"","family":"Craig","given":"Oliver E.","non-dropping-particle":"","parse-names":false,"suffix":""},{"dropping-particle":"","family":"Rosenstock","given":"Eva","non-dropping-particle":"","parse-names":false,"suffix":""}],"container-title":"Nature Communications","id":"ITEM-1","issue":"1","issued":{"date-parts":[["2018"]]},"note":"LC-MS/MS\n\nGoal is to identify foodstuffs prepared in ceramics. Few plant lipids are found in prehistory pottery, which might skew interpretations of prehistoric diets\n\nShotgun proteomic LC-MS/MS?!","title":"Ancient proteins from ceramic vessels at Çatalhöyük West reveal the hidden cuisine of early farmers","type":"article-journal","volume":"9"},"uris":["http://www.mendeley.com/documents/?uuid=c42d00e6-f7c5-45ff-aaa5-78d906b198f7"]}],"mendeley":{"formattedCitation":"&lt;sup&gt;9&lt;/sup&gt;","plainTextFormattedCitation":"9","previouslyFormattedCitation":"&lt;sup&gt;9&lt;/sup&gt;"},"properties":{"noteIndex":0},"schema":"https://github.com/citation-style-language/schema/raw/master/csl-citation.json"}</w:instrText>
      </w:r>
      <w:r w:rsidR="0002370F" w:rsidRPr="00901194">
        <w:rPr>
          <w:rFonts w:cs="Times New Roman"/>
          <w:szCs w:val="24"/>
        </w:rPr>
        <w:fldChar w:fldCharType="separate"/>
      </w:r>
      <w:r w:rsidR="00AB5632" w:rsidRPr="00901194">
        <w:rPr>
          <w:rFonts w:cs="Times New Roman"/>
          <w:noProof/>
          <w:szCs w:val="24"/>
          <w:vertAlign w:val="superscript"/>
        </w:rPr>
        <w:t>9</w:t>
      </w:r>
      <w:r w:rsidR="0002370F" w:rsidRPr="00901194">
        <w:rPr>
          <w:rFonts w:cs="Times New Roman"/>
          <w:szCs w:val="24"/>
        </w:rPr>
        <w:fldChar w:fldCharType="end"/>
      </w:r>
      <w:r w:rsidR="0002370F" w:rsidRPr="00901194">
        <w:rPr>
          <w:rFonts w:cs="Times New Roman"/>
          <w:szCs w:val="24"/>
        </w:rPr>
        <w:t xml:space="preserve">, </w:t>
      </w:r>
      <w:r w:rsidRPr="00901194">
        <w:rPr>
          <w:rFonts w:cs="Times New Roman"/>
          <w:szCs w:val="24"/>
        </w:rPr>
        <w:t>to name a few</w:t>
      </w:r>
      <w:r w:rsidR="0002370F" w:rsidRPr="00901194">
        <w:rPr>
          <w:rFonts w:cs="Times New Roman"/>
          <w:szCs w:val="24"/>
        </w:rPr>
        <w:t xml:space="preserve">. </w:t>
      </w:r>
      <w:r w:rsidRPr="00901194">
        <w:rPr>
          <w:rFonts w:cs="Times New Roman"/>
          <w:szCs w:val="24"/>
        </w:rPr>
        <w:t>Using cutting-edge genomics</w:t>
      </w:r>
      <w:r w:rsidR="00825F9D" w:rsidRPr="00901194">
        <w:rPr>
          <w:rFonts w:cs="Times New Roman"/>
          <w:szCs w:val="24"/>
        </w:rPr>
        <w:t xml:space="preserve">, molecular </w:t>
      </w:r>
      <w:r w:rsidR="00F31C88" w:rsidRPr="00901194">
        <w:rPr>
          <w:rFonts w:cs="Times New Roman"/>
          <w:szCs w:val="24"/>
        </w:rPr>
        <w:t>anthropolog</w:t>
      </w:r>
      <w:r w:rsidR="00825F9D" w:rsidRPr="00901194">
        <w:rPr>
          <w:rFonts w:cs="Times New Roman"/>
          <w:szCs w:val="24"/>
        </w:rPr>
        <w:t>y</w:t>
      </w:r>
      <w:r w:rsidR="00F31C88" w:rsidRPr="00901194">
        <w:rPr>
          <w:rFonts w:cs="Times New Roman"/>
          <w:szCs w:val="24"/>
        </w:rPr>
        <w:t xml:space="preserve"> research has extensively characterized the genes, transcripts, and proteins involved in human biology</w:t>
      </w:r>
      <w:r w:rsidRPr="00901194">
        <w:rPr>
          <w:rFonts w:cs="Times New Roman"/>
          <w:szCs w:val="24"/>
        </w:rPr>
        <w:t>, the classic “central dogma” of biology applied to humans</w:t>
      </w:r>
      <w:r w:rsidR="00505C98" w:rsidRPr="00901194">
        <w:rPr>
          <w:rFonts w:cs="Times New Roman"/>
          <w:szCs w:val="24"/>
        </w:rPr>
        <w:t xml:space="preserve">. However, </w:t>
      </w:r>
      <w:r w:rsidRPr="00901194">
        <w:rPr>
          <w:rFonts w:cs="Times New Roman"/>
          <w:szCs w:val="24"/>
        </w:rPr>
        <w:t xml:space="preserve">above these “omic” systems is metabolomics. Far </w:t>
      </w:r>
      <w:r w:rsidR="00D626B8" w:rsidRPr="00901194">
        <w:rPr>
          <w:rFonts w:cs="Times New Roman"/>
          <w:szCs w:val="24"/>
        </w:rPr>
        <w:t xml:space="preserve">less </w:t>
      </w:r>
      <w:r w:rsidRPr="00901194">
        <w:rPr>
          <w:rFonts w:cs="Times New Roman"/>
          <w:szCs w:val="24"/>
        </w:rPr>
        <w:t xml:space="preserve">anthropological </w:t>
      </w:r>
      <w:r w:rsidR="00D626B8" w:rsidRPr="00901194">
        <w:rPr>
          <w:rFonts w:cs="Times New Roman"/>
          <w:szCs w:val="24"/>
        </w:rPr>
        <w:t xml:space="preserve">research has </w:t>
      </w:r>
      <w:r w:rsidR="00505C98" w:rsidRPr="00901194">
        <w:rPr>
          <w:rFonts w:cs="Times New Roman"/>
          <w:szCs w:val="24"/>
        </w:rPr>
        <w:t xml:space="preserve">comparatively </w:t>
      </w:r>
      <w:r w:rsidR="00D626B8" w:rsidRPr="00901194">
        <w:rPr>
          <w:rFonts w:cs="Times New Roman"/>
          <w:szCs w:val="24"/>
        </w:rPr>
        <w:t xml:space="preserve">focused on the small molecules responsible for </w:t>
      </w:r>
      <w:r w:rsidR="00681FC3" w:rsidRPr="00901194">
        <w:rPr>
          <w:rFonts w:cs="Times New Roman"/>
          <w:szCs w:val="24"/>
        </w:rPr>
        <w:t>biological processes</w:t>
      </w:r>
      <w:r w:rsidR="00D626B8" w:rsidRPr="00901194">
        <w:rPr>
          <w:rFonts w:cs="Times New Roman"/>
          <w:szCs w:val="24"/>
        </w:rPr>
        <w:t xml:space="preserve">. </w:t>
      </w:r>
      <w:r w:rsidR="00F31C88" w:rsidRPr="00901194">
        <w:rPr>
          <w:rFonts w:cs="Times New Roman"/>
          <w:szCs w:val="24"/>
        </w:rPr>
        <w:t xml:space="preserve">These small molecules, called metabolites, represent biological information </w:t>
      </w:r>
      <w:r w:rsidR="00681FC3" w:rsidRPr="00901194">
        <w:rPr>
          <w:rFonts w:cs="Times New Roman"/>
          <w:szCs w:val="24"/>
        </w:rPr>
        <w:t xml:space="preserve">beyond </w:t>
      </w:r>
      <w:r w:rsidR="00F31C88" w:rsidRPr="00901194">
        <w:rPr>
          <w:rFonts w:cs="Times New Roman"/>
          <w:szCs w:val="24"/>
        </w:rPr>
        <w:t>the genome</w:t>
      </w:r>
      <w:r w:rsidR="00681FC3" w:rsidRPr="00901194">
        <w:rPr>
          <w:rFonts w:cs="Times New Roman"/>
          <w:szCs w:val="24"/>
        </w:rPr>
        <w:t xml:space="preserve"> as they shape </w:t>
      </w:r>
      <w:r w:rsidR="00F31C88" w:rsidRPr="00901194">
        <w:rPr>
          <w:rFonts w:cs="Times New Roman"/>
          <w:szCs w:val="24"/>
        </w:rPr>
        <w:t>the biological phenotype</w:t>
      </w:r>
      <w:r w:rsidR="006D3BD2" w:rsidRPr="00901194">
        <w:rPr>
          <w:rFonts w:cs="Times New Roman"/>
          <w:szCs w:val="24"/>
        </w:rPr>
        <w:fldChar w:fldCharType="begin" w:fldLock="1"/>
      </w:r>
      <w:r w:rsidR="000A1931" w:rsidRPr="00901194">
        <w:rPr>
          <w:rFonts w:cs="Times New Roman"/>
          <w:szCs w:val="24"/>
        </w:rPr>
        <w:instrText>ADDIN CSL_CITATION {"citationItems":[{"id":"ITEM-1","itemData":{"DOI":"10.1038/nrm3314.Metabolomics","abstract":"Metabolites,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Biol","id":"ITEM-1","issue":"4","issued":{"date-parts":[["2012"]]},"page":"263-269","title":"Metabolomics: the apogee of the omic trilogy","type":"article-journal","volume":"13"},"uris":["http://www.mendeley.com/documents/?uuid=b8c2a6ac-64b9-49e7-a9d8-fae0b880a109"]},{"id":"ITEM-2","itemData":{"DOI":"082/11","ISBN":"0167-4412 (Print)","ISSN":"0167-4412","PMID":"11860207","abstract":"Metabolites are the end products of cellular regulatory processes, and their levels can be regarded as the ultimate response of biological systems to genetic or environmental changes. In parallel to the terms 'transcriptome' and proteome', the set of metabolites synthesized by a biological system constitute its 'metabolome'. Yet, unlike other functional genomics approaches, the unbiased simultaneous identification and quantification of plant metabolomes has been largely neglected. Until recently, most analyses were restricted to profiling selected classes of compounds, or to fingerprinting metabolic changes without sufficient analytical resolution to determine metabolite levels and identities individually. As a prerequisite for metabolomic analysis, careful consideration of the methods employed for tissue extraction, sample preparation, data acquisition, and data mining must be taken. In this review, the differences among metabolite target analysis, metabolite profiling, and metabolic fingerprinting are clarified, and terms are defined. Current approaches are examined, and potential applications are summarized with a special emphasis on data mining and mathematical modelling of metabolism.","author":[{"dropping-particle":"","family":"Fiehn","given":"Oliver","non-dropping-particle":"","parse-names":false,"suffix":""}],"container-title":"Plant molecular biology","id":"ITEM-2","issue":"1-2","issued":{"date-parts":[["2002"]]},"note":"Good source for quotes about importance of metabolomics","page":"155-71","title":"Metabolomics--the link between genotypes and phenotypes.","type":"article-journal","volume":"48"},"uris":["http://www.mendeley.com/documents/?uuid=5d515d14-3e43-4b90-8b77-34073d1462f7"]},{"id":"ITEM-3","itemData":{"DOI":"10.1002/mas","ISBN":"1098-2787","ISSN":"09943919","PMID":"17407130","abstract":"This review presents an overview of the dynamically developing field of mass spectrometry-based metabolomics. Metabolomics aims at the comprehensive and quantitative analysis of wide arrays of metabolites in biological samples. These numerous analytes have very diverse physico-chemical properties and occur at different abundance levels. Consequently, comprehen- sive metabolomics investigations are primarily a challenge for analytical chemistry and specifically mass spectrometry has vast potential as a tool for this type of investigation. Metabolomics require special approaches for sample prepara- tion, separation, and mass spectrometric analysis. Current examples of those approaches are described in this review. It primarily focuses on metabolic fingerprinting, a technique that analyzes all detectable analytes in a given sample with subsequent classification of samples and identification of differentially expressed metabolites, which define the sample classes. To perform this complex task, data analysis tools, metabolite libraries, and databases are required. Therefore, recent advances in metabolomics bioinformatics are also discussed.","author":[{"dropping-particle":"","family":"Dettmer","given":"Katja","non-dropping-particle":"","parse-names":false,"suffix":""},{"dropping-particle":"","family":"Aronov","given":"Pavel A.","non-dropping-particle":"","parse-names":false,"suffix":""},{"dropping-particle":"","family":"Hammock","given":"Bruce D.","non-dropping-particle":"","parse-names":false,"suffix":""}],"container-title":"Mass Spectrometry Reviews","id":"ITEM-3","issued":{"date-parts":[["2007"]]},"note":"Has a good figure for helping make experimental design figure -- page 54\n\nMetabolic profiling -- targeted?; Metabolic fingerprinting -- untargeted\n\nReview article providing overview for mass spectrometry-based metabolomics. Covers broad concepts like metabolic profiling vs fingerprinting, MS instrument variations/consierations, data processing, etc. Useful for citing when discussing what metabolomics is, what a metabolite is, and why it's important with the other omics fields","page":"51-78","title":"Mass Spectrometry-Based Metabolomics","type":"article-journal","volume":"26"},"uris":["http://www.mendeley.com/documents/?uuid=e91e9973-512a-4797-a502-50feba889888"]}],"mendeley":{"formattedCitation":"&lt;sup&gt;1,10,11&lt;/sup&gt;","plainTextFormattedCitation":"1,10,11","previouslyFormattedCitation":"&lt;sup&gt;1,10,11&lt;/sup&gt;"},"properties":{"noteIndex":0},"schema":"https://github.com/citation-style-language/schema/raw/master/csl-citation.json"}</w:instrText>
      </w:r>
      <w:r w:rsidR="006D3BD2" w:rsidRPr="00901194">
        <w:rPr>
          <w:rFonts w:cs="Times New Roman"/>
          <w:szCs w:val="24"/>
        </w:rPr>
        <w:fldChar w:fldCharType="separate"/>
      </w:r>
      <w:r w:rsidR="00AB5632" w:rsidRPr="00901194">
        <w:rPr>
          <w:rFonts w:cs="Times New Roman"/>
          <w:noProof/>
          <w:szCs w:val="24"/>
          <w:vertAlign w:val="superscript"/>
        </w:rPr>
        <w:t>1,10,11</w:t>
      </w:r>
      <w:r w:rsidR="006D3BD2" w:rsidRPr="00901194">
        <w:rPr>
          <w:rFonts w:cs="Times New Roman"/>
          <w:szCs w:val="24"/>
        </w:rPr>
        <w:fldChar w:fldCharType="end"/>
      </w:r>
      <w:r w:rsidR="00F31C88" w:rsidRPr="00901194">
        <w:rPr>
          <w:rFonts w:cs="Times New Roman"/>
          <w:szCs w:val="24"/>
        </w:rPr>
        <w:t xml:space="preserve">. </w:t>
      </w:r>
      <w:r w:rsidR="00681FC3" w:rsidRPr="00901194">
        <w:rPr>
          <w:rFonts w:cs="Times New Roman"/>
          <w:szCs w:val="24"/>
        </w:rPr>
        <w:lastRenderedPageBreak/>
        <w:t>Thus, anthropological understandings of human biology and health, especially as they relate to unique lifestyles and environments, require knowledge of these metabolite-oriented components.</w:t>
      </w:r>
    </w:p>
    <w:p w14:paraId="4FDF172E" w14:textId="3E3591AE" w:rsidR="00827AB2" w:rsidRPr="00901194" w:rsidRDefault="00120812" w:rsidP="00850EB1">
      <w:pPr>
        <w:pStyle w:val="Sub-ChapterHading"/>
        <w:numPr>
          <w:ilvl w:val="1"/>
          <w:numId w:val="1"/>
        </w:numPr>
      </w:pPr>
      <w:bookmarkStart w:id="10" w:name="_Toc134185944"/>
      <w:r w:rsidRPr="00901194">
        <w:t>MASS SPECTROMETRY-BASED METABOLOMICS</w:t>
      </w:r>
      <w:bookmarkEnd w:id="10"/>
    </w:p>
    <w:p w14:paraId="0352F055" w14:textId="5D4A6A02" w:rsidR="00CC1870" w:rsidRPr="00901194" w:rsidRDefault="00DA3FA6" w:rsidP="0016571A">
      <w:pPr>
        <w:ind w:firstLine="360"/>
        <w:rPr>
          <w:rFonts w:cs="Times New Roman"/>
          <w:szCs w:val="24"/>
        </w:rPr>
      </w:pPr>
      <w:r w:rsidRPr="00901194">
        <w:rPr>
          <w:rFonts w:cs="Times New Roman"/>
          <w:szCs w:val="24"/>
        </w:rPr>
        <w:t>While many definitions exist within the field, small molecules (metabolites) refer to any molecule involved in some biochemical reaction &lt;1500 Daltons (Da) in size</w:t>
      </w:r>
      <w:r w:rsidR="00B66858" w:rsidRPr="00901194">
        <w:rPr>
          <w:rFonts w:cs="Times New Roman"/>
          <w:szCs w:val="24"/>
        </w:rPr>
        <w:fldChar w:fldCharType="begin" w:fldLock="1"/>
      </w:r>
      <w:r w:rsidR="000A1931" w:rsidRPr="00901194">
        <w:rPr>
          <w:rFonts w:cs="Times New Roman"/>
          <w:szCs w:val="24"/>
        </w:rPr>
        <w:instrText>ADDIN CSL_CITATION {"citationItems":[{"id":"ITEM-1","itemData":{"DOI":"10.1038/nrm3314.Metabolomics","abstract":"Metabolites,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Biol","id":"ITEM-1","issue":"4","issued":{"date-parts":[["2012"]]},"page":"263-269","title":"Metabolomics: the apogee of the omic trilogy","type":"article-journal","volume":"13"},"uris":["http://www.mendeley.com/documents/?uuid=b8c2a6ac-64b9-49e7-a9d8-fae0b880a109"]},{"id":"ITEM-2","itemData":{"DOI":"10.1016/j.cbpa.2017.01.001","ISBN":"1367-5931","ISSN":"18790402","PMID":"28113135","abstract":"The metabolome describes the full complement of the tens to hundreds of thousands of low molecular weight metabolites present within a biological system. Identification of the metabolome is critical for discovering the maximum amount of biochemical knowledge from metabolomics datasets. Yet no exhaustive experimental characterisation of any organismal metabolome has been reported to date, dramatically contrasting with the genome sequencing of thousands of plants, animals and microbes. Here, we review the status of metabolome annotation and describe advances in the analytical methodologies being applied. In part through new international coordination, we conclude that we are now entering a new era of metabolome annotation.","author":[{"dropping-particle":"","family":"Viant","given":"Mark R.","non-dropping-particle":"","parse-names":false,"suffix":""},{"dropping-particle":"","family":"Kurland","given":"Irwin J.","non-dropping-particle":"","parse-names":false,"suffix":""},{"dropping-particle":"","family":"Jones","given":"Martin R.","non-dropping-particle":"","parse-names":false,"suffix":""},{"dropping-particle":"","family":"Dunn","given":"Warwick B.","non-dropping-particle":"","parse-names":false,"suffix":""}],"container-title":"Current Opinion in Chemical Biology","id":"ITEM-2","issued":{"date-parts":[["2017"]]},"note":"Examining the state of the field\n\nWant people to do an entire metabolome for organisms -- no one has done this yet\n\nPhylometabolomics is emphasized strongly here -- studying organism metabolic pathways in context of evolution","page":"64-69","publisher":"The Author(s)","title":"How close are we to complete annotation of metabolomes?","type":"article-journal","volume":"36"},"uris":["http://www.mendeley.com/documents/?uuid=9f814598-ca51-438a-a70d-c09d33b6e3ca"]}],"mendeley":{"formattedCitation":"&lt;sup&gt;1,12&lt;/sup&gt;","plainTextFormattedCitation":"1,12","previouslyFormattedCitation":"&lt;sup&gt;1,12&lt;/sup&gt;"},"properties":{"noteIndex":0},"schema":"https://github.com/citation-style-language/schema/raw/master/csl-citation.json"}</w:instrText>
      </w:r>
      <w:r w:rsidR="00B66858" w:rsidRPr="00901194">
        <w:rPr>
          <w:rFonts w:cs="Times New Roman"/>
          <w:szCs w:val="24"/>
        </w:rPr>
        <w:fldChar w:fldCharType="separate"/>
      </w:r>
      <w:r w:rsidR="00AB5632" w:rsidRPr="00901194">
        <w:rPr>
          <w:rFonts w:cs="Times New Roman"/>
          <w:noProof/>
          <w:szCs w:val="24"/>
          <w:vertAlign w:val="superscript"/>
        </w:rPr>
        <w:t>1,12</w:t>
      </w:r>
      <w:r w:rsidR="00B66858" w:rsidRPr="00901194">
        <w:rPr>
          <w:rFonts w:cs="Times New Roman"/>
          <w:szCs w:val="24"/>
        </w:rPr>
        <w:fldChar w:fldCharType="end"/>
      </w:r>
      <w:r w:rsidR="00B66858" w:rsidRPr="00901194">
        <w:rPr>
          <w:rFonts w:cs="Times New Roman"/>
          <w:szCs w:val="24"/>
        </w:rPr>
        <w:t xml:space="preserve">. Together, the sum of </w:t>
      </w:r>
      <w:r w:rsidR="00473BF7" w:rsidRPr="00901194">
        <w:rPr>
          <w:rFonts w:cs="Times New Roman"/>
          <w:szCs w:val="24"/>
        </w:rPr>
        <w:t xml:space="preserve">metabolites </w:t>
      </w:r>
      <w:r w:rsidR="006D3BD2" w:rsidRPr="00901194">
        <w:rPr>
          <w:rFonts w:cs="Times New Roman"/>
          <w:szCs w:val="24"/>
        </w:rPr>
        <w:t>present in a biological system</w:t>
      </w:r>
      <w:r w:rsidR="00B66858" w:rsidRPr="00901194">
        <w:rPr>
          <w:rFonts w:cs="Times New Roman"/>
          <w:szCs w:val="24"/>
        </w:rPr>
        <w:t xml:space="preserve"> is called the metabolome</w:t>
      </w:r>
      <w:r w:rsidRPr="00901194">
        <w:rPr>
          <w:rFonts w:cs="Times New Roman"/>
          <w:szCs w:val="24"/>
        </w:rPr>
        <w:fldChar w:fldCharType="begin" w:fldLock="1"/>
      </w:r>
      <w:r w:rsidR="000A1931" w:rsidRPr="00901194">
        <w:rPr>
          <w:rFonts w:cs="Times New Roman"/>
          <w:szCs w:val="24"/>
        </w:rPr>
        <w:instrText>ADDIN CSL_CITATION {"citationItems":[{"id":"ITEM-1","itemData":{"DOI":"10.1016/j.tplants.2004.07.004","ISBN":"1360-1385","ISSN":"13601385","PMID":"15337491","abstract":"Metabolomics is developing as an important functional genomics tool; however, there is still room for technical improvements in both the large-scale determination of metabolites from complex plant tissues and the dissemination of metabolomics research data. For the continued maturation of metabolomics, the following three objectives need to be achieved: (i) improvement in the comprehensive coverage of the plant metabolome, (ii) facilitation of comparison of results between laboratories and experiments, and (iii) enhancement of the integration of metabolomic data with other functional genomic information. Because these challenges are widely recognized and endorsed, we propose community-based efforts to define common criteria and to initiate concerted actions directed towards the release of standard reference materials, construction of consolidated metabolite libraries, and development of metabolite-specific data-management systems. © 2004 Elsevier Ltd.","author":[{"dropping-particle":"","family":"Bino","given":"Raoul J.","non-dropping-particle":"","parse-names":false,"suffix":""},{"dropping-particle":"","family":"Hall","given":"Robert D.","non-dropping-particle":"","parse-names":false,"suffix":""},{"dropping-particle":"","family":"Fiehn","given":"Oliver","non-dropping-particle":"","parse-names":false,"suffix":""},{"dropping-particle":"","family":"Kopka","given":"Joachim","non-dropping-particle":"","parse-names":false,"suffix":""},{"dropping-particle":"","family":"Saito","given":"Kazuki","non-dropping-particle":"","parse-names":false,"suffix":""},{"dropping-particle":"","family":"Draper","given":"John","non-dropping-particle":"","parse-names":false,"suffix":""},{"dropping-particle":"","family":"Nikolau","given":"Basil J.","non-dropping-particle":"","parse-names":false,"suffix":""},{"dropping-particle":"","family":"Mendes","given":"Pedro","non-dropping-particle":"","parse-names":false,"suffix":""},{"dropping-particle":"","family":"Roessner-Tunali","given":"Ute","non-dropping-particle":"","parse-names":false,"suffix":""},{"dropping-particle":"","family":"Beale","given":"Michael H.","non-dropping-particle":"","parse-names":false,"suffix":""},{"dropping-particle":"","family":"Trethewey","given":"Richard N.","non-dropping-particle":"","parse-names":false,"suffix":""},{"dropping-particle":"","family":"Lange","given":"B. Markus","non-dropping-particle":"","parse-names":false,"suffix":""},{"dropping-particle":"","family":"Wurtele","given":"Eve Syrkin","non-dropping-particle":"","parse-names":false,"suffix":""},{"dropping-particle":"","family":"Sumner","given":"Lloyd W.","non-dropping-particle":"","parse-names":false,"suffix":""}],"container-title":"Trends in Plant Science","id":"ITEM-1","issue":"9","issued":{"date-parts":[["2004"]]},"page":"418-425","title":"Potential of metabolomics as a functional genomics tool","type":"article-journal","volume":"9"},"uris":["http://www.mendeley.com/documents/?uuid=1ed8bd26-fa30-4f08-bbae-770d30731e3b"]},{"id":"ITEM-2","itemData":{"DOI":"10.1038/nrm3314.Metabolomics","abstract":"Metabolites,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Biol","id":"ITEM-2","issue":"4","issued":{"date-parts":[["2012"]]},"page":"263-269","title":"Metabolomics: the apogee of the omic trilogy","type":"article-journal","volume":"13"},"uris":["http://www.mendeley.com/documents/?uuid=b8c2a6ac-64b9-49e7-a9d8-fae0b880a109"]}],"mendeley":{"formattedCitation":"&lt;sup&gt;1,13&lt;/sup&gt;","plainTextFormattedCitation":"1,13","previouslyFormattedCitation":"&lt;sup&gt;1,13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1,13</w:t>
      </w:r>
      <w:r w:rsidRPr="00901194">
        <w:rPr>
          <w:rFonts w:cs="Times New Roman"/>
          <w:szCs w:val="24"/>
        </w:rPr>
        <w:fldChar w:fldCharType="end"/>
      </w:r>
      <w:r w:rsidRPr="00901194">
        <w:rPr>
          <w:rFonts w:cs="Times New Roman"/>
          <w:szCs w:val="24"/>
        </w:rPr>
        <w:t>. Importantly, the metabolome not only includes endogenous molecules produced by the host (and their associated microbes), but also exogenous molecules accrued from the environment</w:t>
      </w:r>
      <w:r w:rsidRPr="00901194">
        <w:rPr>
          <w:rFonts w:cs="Times New Roman"/>
          <w:szCs w:val="24"/>
        </w:rPr>
        <w:fldChar w:fldCharType="begin" w:fldLock="1"/>
      </w:r>
      <w:r w:rsidR="000A1931" w:rsidRPr="00901194">
        <w:rPr>
          <w:rFonts w:cs="Times New Roman"/>
          <w:szCs w:val="24"/>
        </w:rPr>
        <w:instrText>ADDIN CSL_CITATION {"citationItems":[{"id":"ITEM-1","itemData":{"DOI":"10.1016/j.chroma.2014.10.091","ISSN":"0021-9673","author":[{"dropping-particle":"","family":"Wolfender","given":"Jean-luc","non-dropping-particle":"","parse-names":false,"suffix":""},{"dropping-particle":"","family":"Marti","given":"Guillaume","non-dropping-particle":"","parse-names":false,"suffix":""},{"dropping-particle":"","family":"Thomas","given":"Aurélien","non-dropping-particle":"","parse-names":false,"suffix":""},{"dropping-particle":"","family":"Bertrand","given":"Samuel","non-dropping-particle":"","parse-names":false,"suffix":""}],"container-title":"Journal of Chromatography A","id":"ITEM-1","issued":{"date-parts":[["2015"]]},"note":"Summary: Review article covering approaches and methods for metabolite analysis of natural products, which has a lot of principles and techniques involved in organic residue analysis. Authors discuss pros and cons of different tactics (targeted vs untargeted), different instrumention (GC vs LC, MS vs NMR, DDA, etc.), how data should be reported (MSI identification levels), etc. \nAssessment: Great review -- useful for citations about different metabolite analysis methods, how the work should be done/reported, etc. Provides more up-to-date info, despite focusing entirely on natural products.\n\nOverview of metabolomic analyses, more or less\n\nA little limited in its application b/c it focuses solely on natural products and discusses methods based on their utility to natural product discovery, but still provides good breakdown of different MS approaches and tools","page":"136-164","publisher":"Elsevier B.V.","title":"Current approaches and challenges for the metabolite profiling of complex natural extracts","type":"article-journal","volume":"1382"},"uris":["http://www.mendeley.com/documents/?uuid=8cff755f-0491-49a4-8b92-665719c74d87"]},{"id":"ITEM-2","itemData":{"DOI":"10.1016/j.cbpa.2017.01.001","ISBN":"1367-5931","ISSN":"18790402","PMID":"28113135","abstract":"The metabolome describes the full complement of the tens to hundreds of thousands of low molecular weight metabolites present within a biological system. Identification of the metabolome is critical for discovering the maximum amount of biochemical knowledge from metabolomics datasets. Yet no exhaustive experimental characterisation of any organismal metabolome has been reported to date, dramatically contrasting with the genome sequencing of thousands of plants, animals and microbes. Here, we review the status of metabolome annotation and describe advances in the analytical methodologies being applied. In part through new international coordination, we conclude that we are now entering a new era of metabolome annotation.","author":[{"dropping-particle":"","family":"Viant","given":"Mark R.","non-dropping-particle":"","parse-names":false,"suffix":""},{"dropping-particle":"","family":"Kurland","given":"Irwin J.","non-dropping-particle":"","parse-names":false,"suffix":""},{"dropping-particle":"","family":"Jones","given":"Martin R.","non-dropping-particle":"","parse-names":false,"suffix":""},{"dropping-particle":"","family":"Dunn","given":"Warwick B.","non-dropping-particle":"","parse-names":false,"suffix":""}],"container-title":"Current Opinion in Chemical Biology","id":"ITEM-2","issued":{"date-parts":[["2017"]]},"note":"Examining the state of the field\n\nWant people to do an entire metabolome for organisms -- no one has done this yet\n\nPhylometabolomics is emphasized strongly here -- studying organism metabolic pathways in context of evolution","page":"64-69","publisher":"The Author(s)","title":"How close are we to complete annotation of metabolomes?","type":"article-journal","volume":"36"},"uris":["http://www.mendeley.com/documents/?uuid=9f814598-ca51-438a-a70d-c09d33b6e3ca"]}],"mendeley":{"formattedCitation":"&lt;sup&gt;12,14&lt;/sup&gt;","plainTextFormattedCitation":"12,14","previouslyFormattedCitation":"&lt;sup&gt;12,14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12,14</w:t>
      </w:r>
      <w:r w:rsidRPr="00901194">
        <w:rPr>
          <w:rFonts w:cs="Times New Roman"/>
          <w:szCs w:val="24"/>
        </w:rPr>
        <w:fldChar w:fldCharType="end"/>
      </w:r>
      <w:r w:rsidRPr="00901194">
        <w:rPr>
          <w:rFonts w:cs="Times New Roman"/>
          <w:szCs w:val="24"/>
        </w:rPr>
        <w:t>.</w:t>
      </w:r>
      <w:r w:rsidR="00431697" w:rsidRPr="00901194">
        <w:rPr>
          <w:rFonts w:cs="Times New Roman"/>
          <w:szCs w:val="24"/>
        </w:rPr>
        <w:t xml:space="preserve"> </w:t>
      </w:r>
      <w:r w:rsidR="006D3BD2" w:rsidRPr="00901194">
        <w:rPr>
          <w:rFonts w:cs="Times New Roman"/>
          <w:szCs w:val="24"/>
        </w:rPr>
        <w:t>These molecules represent the intermediate and end products of any given biochemical reaction</w:t>
      </w:r>
      <w:r w:rsidR="006D3BD2" w:rsidRPr="00901194">
        <w:rPr>
          <w:rFonts w:cs="Times New Roman"/>
          <w:szCs w:val="24"/>
        </w:rPr>
        <w:fldChar w:fldCharType="begin" w:fldLock="1"/>
      </w:r>
      <w:r w:rsidR="000A1931" w:rsidRPr="00901194">
        <w:rPr>
          <w:rFonts w:cs="Times New Roman"/>
          <w:szCs w:val="24"/>
        </w:rPr>
        <w:instrText>ADDIN CSL_CITATION {"citationItems":[{"id":"ITEM-1","itemData":{"DOI":"10.1002/mas","ISBN":"1098-2787","ISSN":"09943919","PMID":"17407130","abstract":"This review presents an overview of the dynamically developing field of mass spectrometry-based metabolomics. Metabolomics aims at the comprehensive and quantitative analysis of wide arrays of metabolites in biological samples. These numerous analytes have very diverse physico-chemical properties and occur at different abundance levels. Consequently, comprehen- sive metabolomics investigations are primarily a challenge for analytical chemistry and specifically mass spectrometry has vast potential as a tool for this type of investigation. Metabolomics require special approaches for sample prepara- tion, separation, and mass spectrometric analysis. Current examples of those approaches are described in this review. It primarily focuses on metabolic fingerprinting, a technique that analyzes all detectable analytes in a given sample with subsequent classification of samples and identification of differentially expressed metabolites, which define the sample classes. To perform this complex task, data analysis tools, metabolite libraries, and databases are required. Therefore, recent advances in metabolomics bioinformatics are also discussed.","author":[{"dropping-particle":"","family":"Dettmer","given":"Katja","non-dropping-particle":"","parse-names":false,"suffix":""},{"dropping-particle":"","family":"Aronov","given":"Pavel A.","non-dropping-particle":"","parse-names":false,"suffix":""},{"dropping-particle":"","family":"Hammock","given":"Bruce D.","non-dropping-particle":"","parse-names":false,"suffix":""}],"container-title":"Mass Spectrometry Reviews","id":"ITEM-1","issued":{"date-parts":[["2007"]]},"note":"Has a good figure for helping make experimental design figure -- page 54\n\nMetabolic profiling -- targeted?; Metabolic fingerprinting -- untargeted\n\nReview article providing overview for mass spectrometry-based metabolomics. Covers broad concepts like metabolic profiling vs fingerprinting, MS instrument variations/consierations, data processing, etc. Useful for citing when discussing what metabolomics is, what a metabolite is, and why it's important with the other omics fields","page":"51-78","title":"Mass Spectrometry-Based Metabolomics","type":"article-journal","volume":"26"},"uris":["http://www.mendeley.com/documents/?uuid=e91e9973-512a-4797-a502-50feba889888"]},{"id":"ITEM-2","itemData":{"DOI":"10.1038/nrm3314.Metabolomics","abstract":"Metabolites,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Biol","id":"ITEM-2","issue":"4","issued":{"date-parts":[["2012"]]},"page":"263-269","title":"Metabolomics: the apogee of the omic trilogy","type":"article-journal","volume":"13"},"uris":["http://www.mendeley.com/documents/?uuid=b8c2a6ac-64b9-49e7-a9d8-fae0b880a109"]}],"mendeley":{"formattedCitation":"&lt;sup&gt;1,11&lt;/sup&gt;","plainTextFormattedCitation":"1,11","previouslyFormattedCitation":"&lt;sup&gt;1,11&lt;/sup&gt;"},"properties":{"noteIndex":0},"schema":"https://github.com/citation-style-language/schema/raw/master/csl-citation.json"}</w:instrText>
      </w:r>
      <w:r w:rsidR="006D3BD2" w:rsidRPr="00901194">
        <w:rPr>
          <w:rFonts w:cs="Times New Roman"/>
          <w:szCs w:val="24"/>
        </w:rPr>
        <w:fldChar w:fldCharType="separate"/>
      </w:r>
      <w:r w:rsidR="00AB5632" w:rsidRPr="00901194">
        <w:rPr>
          <w:rFonts w:cs="Times New Roman"/>
          <w:noProof/>
          <w:szCs w:val="24"/>
          <w:vertAlign w:val="superscript"/>
        </w:rPr>
        <w:t>1,11</w:t>
      </w:r>
      <w:r w:rsidR="006D3BD2" w:rsidRPr="00901194">
        <w:rPr>
          <w:rFonts w:cs="Times New Roman"/>
          <w:szCs w:val="24"/>
        </w:rPr>
        <w:fldChar w:fldCharType="end"/>
      </w:r>
      <w:r w:rsidR="00852D48" w:rsidRPr="00901194">
        <w:rPr>
          <w:rFonts w:cs="Times New Roman"/>
          <w:szCs w:val="24"/>
        </w:rPr>
        <w:t xml:space="preserve">. Metabolomics </w:t>
      </w:r>
      <w:r w:rsidR="00852D48" w:rsidRPr="00901194">
        <w:rPr>
          <w:rFonts w:cs="Times New Roman"/>
        </w:rPr>
        <w:t>provides a snapshot of the biological state of an organism/sample, which combined with gene, transcript, and protein abundances, constitute the molecular phenotype</w:t>
      </w:r>
      <w:r w:rsidR="00852D48" w:rsidRPr="00901194">
        <w:rPr>
          <w:rFonts w:cs="Times New Roman"/>
          <w:szCs w:val="24"/>
        </w:rPr>
        <w:t xml:space="preserve"> of an organism. </w:t>
      </w:r>
      <w:r w:rsidR="006D3BD2" w:rsidRPr="00901194">
        <w:rPr>
          <w:rFonts w:cs="Times New Roman"/>
          <w:szCs w:val="24"/>
        </w:rPr>
        <w:t>For humans, the metabolome represents the direct interaction between host genetics and the environment, cultural practices, lifestyles, etc.</w:t>
      </w:r>
      <w:r w:rsidR="00852D48" w:rsidRPr="00901194">
        <w:rPr>
          <w:rFonts w:cs="Times New Roman"/>
          <w:szCs w:val="24"/>
        </w:rPr>
        <w:t xml:space="preserve"> down to a molecular level</w:t>
      </w:r>
      <w:r w:rsidR="00C12632" w:rsidRPr="00901194">
        <w:rPr>
          <w:rFonts w:cs="Times New Roman"/>
          <w:szCs w:val="24"/>
        </w:rPr>
        <w:t>.</w:t>
      </w:r>
      <w:r w:rsidR="006D3BD2" w:rsidRPr="00901194">
        <w:rPr>
          <w:rFonts w:cs="Times New Roman"/>
          <w:szCs w:val="24"/>
        </w:rPr>
        <w:t xml:space="preserve"> </w:t>
      </w:r>
    </w:p>
    <w:p w14:paraId="0BC5B64D" w14:textId="3AB44057" w:rsidR="00BC62EA" w:rsidRPr="00901194" w:rsidRDefault="00431697" w:rsidP="00B87F35">
      <w:pPr>
        <w:ind w:firstLine="360"/>
        <w:rPr>
          <w:rFonts w:cs="Times New Roman"/>
          <w:szCs w:val="24"/>
        </w:rPr>
      </w:pPr>
      <w:r w:rsidRPr="00901194">
        <w:rPr>
          <w:rFonts w:cs="Times New Roman"/>
          <w:szCs w:val="24"/>
        </w:rPr>
        <w:t xml:space="preserve">One common approach to characterize metabolomes is through mass spectrometry (MS). </w:t>
      </w:r>
      <w:r w:rsidR="00B87F35" w:rsidRPr="00901194">
        <w:rPr>
          <w:rFonts w:cs="Times New Roman"/>
          <w:szCs w:val="24"/>
        </w:rPr>
        <w:t xml:space="preserve"> Due to the </w:t>
      </w:r>
      <w:r w:rsidR="009B52A3" w:rsidRPr="00901194">
        <w:rPr>
          <w:rFonts w:cs="Times New Roman"/>
          <w:szCs w:val="24"/>
        </w:rPr>
        <w:t xml:space="preserve">extensive </w:t>
      </w:r>
      <w:r w:rsidR="00B87F35" w:rsidRPr="00901194">
        <w:rPr>
          <w:rFonts w:cs="Times New Roman"/>
          <w:szCs w:val="24"/>
        </w:rPr>
        <w:t>variability of metabolites, it is impossible to completely characterize the metabolome</w:t>
      </w:r>
      <w:r w:rsidR="00B87F35" w:rsidRPr="00901194">
        <w:rPr>
          <w:rFonts w:cs="Times New Roman"/>
          <w:szCs w:val="24"/>
        </w:rPr>
        <w:fldChar w:fldCharType="begin" w:fldLock="1"/>
      </w:r>
      <w:r w:rsidR="000A1931" w:rsidRPr="00901194">
        <w:rPr>
          <w:rFonts w:cs="Times New Roman"/>
          <w:szCs w:val="24"/>
        </w:rPr>
        <w:instrText>ADDIN CSL_CITATION {"citationItems":[{"id":"ITEM-1","itemData":{"DOI":"10.1016/j.cbpa.2017.01.001","ISBN":"1367-5931","ISSN":"18790402","PMID":"28113135","abstract":"The metabolome describes the full complement of the tens to hundreds of thousands of low molecular weight metabolites present within a biological system. Identification of the metabolome is critical for discovering the maximum amount of biochemical knowledge from metabolomics datasets. Yet no exhaustive experimental characterisation of any organismal metabolome has been reported to date, dramatically contrasting with the genome sequencing of thousands of plants, animals and microbes. Here, we review the status of metabolome annotation and describe advances in the analytical methodologies being applied. In part through new international coordination, we conclude that we are now entering a new era of metabolome annotation.","author":[{"dropping-particle":"","family":"Viant","given":"Mark R.","non-dropping-particle":"","parse-names":false,"suffix":""},{"dropping-particle":"","family":"Kurland","given":"Irwin J.","non-dropping-particle":"","parse-names":false,"suffix":""},{"dropping-particle":"","family":"Jones","given":"Martin R.","non-dropping-particle":"","parse-names":false,"suffix":""},{"dropping-particle":"","family":"Dunn","given":"Warwick B.","non-dropping-particle":"","parse-names":false,"suffix":""}],"container-title":"Current Opinion in Chemical Biology","id":"ITEM-1","issued":{"date-parts":[["2017"]]},"note":"Examining the state of the field\n\nWant people to do an entire metabolome for organisms -- no one has done this yet\n\nPhylometabolomics is emphasized strongly here -- studying organism metabolic pathways in context of evolution","page":"64-69","publisher":"The Author(s)","title":"How close are we to complete annotation of metabolomes?","type":"article-journal","volume":"36"},"uris":["http://www.mendeley.com/documents/?uuid=9f814598-ca51-438a-a70d-c09d33b6e3ca"]}],"mendeley":{"formattedCitation":"&lt;sup&gt;12&lt;/sup&gt;","plainTextFormattedCitation":"12","previouslyFormattedCitation":"&lt;sup&gt;12&lt;/sup&gt;"},"properties":{"noteIndex":0},"schema":"https://github.com/citation-style-language/schema/raw/master/csl-citation.json"}</w:instrText>
      </w:r>
      <w:r w:rsidR="00B87F35" w:rsidRPr="00901194">
        <w:rPr>
          <w:rFonts w:cs="Times New Roman"/>
          <w:szCs w:val="24"/>
        </w:rPr>
        <w:fldChar w:fldCharType="separate"/>
      </w:r>
      <w:r w:rsidR="00AB5632" w:rsidRPr="00901194">
        <w:rPr>
          <w:rFonts w:cs="Times New Roman"/>
          <w:noProof/>
          <w:szCs w:val="24"/>
          <w:vertAlign w:val="superscript"/>
        </w:rPr>
        <w:t>12</w:t>
      </w:r>
      <w:r w:rsidR="00B87F35" w:rsidRPr="00901194">
        <w:rPr>
          <w:rFonts w:cs="Times New Roman"/>
          <w:szCs w:val="24"/>
        </w:rPr>
        <w:fldChar w:fldCharType="end"/>
      </w:r>
      <w:r w:rsidR="00D450D7" w:rsidRPr="00901194">
        <w:rPr>
          <w:rFonts w:cs="Times New Roman"/>
          <w:szCs w:val="24"/>
        </w:rPr>
        <w:t>. Thus, r</w:t>
      </w:r>
      <w:r w:rsidR="00B87F35" w:rsidRPr="00901194">
        <w:rPr>
          <w:rFonts w:cs="Times New Roman"/>
          <w:szCs w:val="24"/>
        </w:rPr>
        <w:t xml:space="preserve">esearchers choose MS instruments, parts, and any laboratory protocols based on their specific research questions. While these details vary between projects, </w:t>
      </w:r>
      <w:r w:rsidR="000A0C4F" w:rsidRPr="00901194">
        <w:rPr>
          <w:rFonts w:cs="Times New Roman"/>
          <w:szCs w:val="24"/>
        </w:rPr>
        <w:t xml:space="preserve">MS </w:t>
      </w:r>
      <w:r w:rsidR="00B87F35" w:rsidRPr="00901194">
        <w:rPr>
          <w:rFonts w:cs="Times New Roman"/>
          <w:szCs w:val="24"/>
        </w:rPr>
        <w:t>detect</w:t>
      </w:r>
      <w:r w:rsidR="000A0C4F" w:rsidRPr="00901194">
        <w:rPr>
          <w:rFonts w:cs="Times New Roman"/>
          <w:szCs w:val="24"/>
        </w:rPr>
        <w:t>s</w:t>
      </w:r>
      <w:r w:rsidR="00B87F35" w:rsidRPr="00901194">
        <w:rPr>
          <w:rFonts w:cs="Times New Roman"/>
          <w:szCs w:val="24"/>
        </w:rPr>
        <w:t>, quantif</w:t>
      </w:r>
      <w:r w:rsidR="000A0C4F" w:rsidRPr="00901194">
        <w:rPr>
          <w:rFonts w:cs="Times New Roman"/>
          <w:szCs w:val="24"/>
        </w:rPr>
        <w:t>ies</w:t>
      </w:r>
      <w:r w:rsidR="00B87F35" w:rsidRPr="00901194">
        <w:rPr>
          <w:rFonts w:cs="Times New Roman"/>
          <w:szCs w:val="24"/>
        </w:rPr>
        <w:t>, and analyze</w:t>
      </w:r>
      <w:r w:rsidR="000A0C4F" w:rsidRPr="00901194">
        <w:rPr>
          <w:rFonts w:cs="Times New Roman"/>
          <w:szCs w:val="24"/>
        </w:rPr>
        <w:t>s</w:t>
      </w:r>
      <w:r w:rsidR="00B87F35" w:rsidRPr="00901194">
        <w:rPr>
          <w:rFonts w:cs="Times New Roman"/>
          <w:szCs w:val="24"/>
        </w:rPr>
        <w:t xml:space="preserve"> the molecules present in biological samples by sorting the detected molecules according to their masses</w:t>
      </w:r>
      <w:r w:rsidR="00EA04F7" w:rsidRPr="00901194">
        <w:rPr>
          <w:rFonts w:cs="Times New Roman"/>
          <w:szCs w:val="24"/>
        </w:rPr>
        <w:fldChar w:fldCharType="begin" w:fldLock="1"/>
      </w:r>
      <w:r w:rsidR="000A1931" w:rsidRPr="00901194">
        <w:rPr>
          <w:rFonts w:cs="Times New Roman"/>
          <w:szCs w:val="24"/>
        </w:rPr>
        <w:instrText>ADDIN CSL_CITATION {"citationItems":[{"id":"ITEM-1","itemData":{"author":[{"dropping-particle":"","family":"Greaves","given":"John","non-dropping-particle":"","parse-names":false,"suffix":""},{"dropping-particle":"","family":"Roboz","given":"John","non-dropping-particle":"","parse-names":false,"suffix":""}],"id":"ITEM-1","issued":{"date-parts":[["2014"]]},"publisher":"CRC Press","publisher-place":"Boca Raton, FL","title":"Mass Spectrometry for the Novice","type":"book"},"uris":["http://www.mendeley.com/documents/?uuid=619eca22-da33-4008-a7cd-52340a8694c3"]},{"id":"ITEM-2","itemData":{"DOI":"10.1016/j.molcel.2015.04.021","ISSN":"10974164","abstract":"Renewed interest in metabolic research over the last two decades has inspired an explosion of technological developments for studying metabolism. At the forefront of methodological innovation is an approach referred to as \"untargeted\" or \"discovery\" metabolomics. The experimental objective of this technique is to comprehensively measure the entire metabolome, which constitutes a largely undefined set of molecules. Given its potential comprehensive coverage, untargeted metabolomics is often the first choice of experiments for investigators pursuing a metabolic research question. It is important to recognize, however, that untargeted metabolomics may not always be the optimal experimental approach. Conventionally, untargeted metabolomics only provides information about relative differences in metabolite pool sizes. Therefore, depending on the specific scientific question at hand, a complementary approach involving stable isotopes (such as metabolic flux analysis) may be better suited to provide biological insights. Unlike untargeted metabolomics, stable-isotope methods can provide information about differences in reaction rates.","author":[{"dropping-particle":"","family":"Zamboni","given":"Nicola","non-dropping-particle":"","parse-names":false,"suffix":""},{"dropping-particle":"","family":"Saghatelian","given":"Alan","non-dropping-particle":"","parse-names":false,"suffix":""},{"dropping-particle":"","family":"Patti","given":"Gary J.","non-dropping-particle":"","parse-names":false,"suffix":""}],"container-title":"Molecular Cell","id":"ITEM-2","issue":"4","issued":{"date-parts":[["2015"]]},"page":"699-706","title":"Defining the Metabolome: Size, Flux, and Regulation","type":"article-journal","volume":"58"},"uris":["http://www.mendeley.com/documents/?uuid=8ab21ae7-5a5c-459c-bb7d-505727dbba76"]}],"mendeley":{"formattedCitation":"&lt;sup&gt;15,16&lt;/sup&gt;","plainTextFormattedCitation":"15,16","previouslyFormattedCitation":"&lt;sup&gt;15,16&lt;/sup&gt;"},"properties":{"noteIndex":0},"schema":"https://github.com/citation-style-language/schema/raw/master/csl-citation.json"}</w:instrText>
      </w:r>
      <w:r w:rsidR="00EA04F7" w:rsidRPr="00901194">
        <w:rPr>
          <w:rFonts w:cs="Times New Roman"/>
          <w:szCs w:val="24"/>
        </w:rPr>
        <w:fldChar w:fldCharType="separate"/>
      </w:r>
      <w:r w:rsidR="00AB5632" w:rsidRPr="00901194">
        <w:rPr>
          <w:rFonts w:cs="Times New Roman"/>
          <w:noProof/>
          <w:szCs w:val="24"/>
          <w:vertAlign w:val="superscript"/>
        </w:rPr>
        <w:t>15,16</w:t>
      </w:r>
      <w:r w:rsidR="00EA04F7" w:rsidRPr="00901194">
        <w:rPr>
          <w:rFonts w:cs="Times New Roman"/>
          <w:szCs w:val="24"/>
        </w:rPr>
        <w:fldChar w:fldCharType="end"/>
      </w:r>
      <w:r w:rsidR="00B87F35" w:rsidRPr="00901194">
        <w:rPr>
          <w:rFonts w:cs="Times New Roman"/>
          <w:szCs w:val="24"/>
        </w:rPr>
        <w:t xml:space="preserve">. </w:t>
      </w:r>
      <w:r w:rsidR="000A0C4F" w:rsidRPr="00901194">
        <w:rPr>
          <w:rFonts w:cs="Times New Roman"/>
          <w:szCs w:val="24"/>
        </w:rPr>
        <w:t xml:space="preserve">Four critical steps are involved in MS analysis: 1. sample </w:t>
      </w:r>
      <w:r w:rsidR="00B87F35" w:rsidRPr="00901194">
        <w:rPr>
          <w:rFonts w:cs="Times New Roman"/>
          <w:szCs w:val="24"/>
        </w:rPr>
        <w:t>molecules are introduced to the MS instrument</w:t>
      </w:r>
      <w:r w:rsidR="000A0C4F" w:rsidRPr="00901194">
        <w:rPr>
          <w:rFonts w:cs="Times New Roman"/>
          <w:szCs w:val="24"/>
        </w:rPr>
        <w:t>;</w:t>
      </w:r>
      <w:r w:rsidR="00B87F35" w:rsidRPr="00901194">
        <w:rPr>
          <w:rFonts w:cs="Times New Roman"/>
          <w:szCs w:val="24"/>
        </w:rPr>
        <w:t xml:space="preserve"> </w:t>
      </w:r>
      <w:r w:rsidR="000A0C4F" w:rsidRPr="00901194">
        <w:rPr>
          <w:rFonts w:cs="Times New Roman"/>
          <w:szCs w:val="24"/>
        </w:rPr>
        <w:t xml:space="preserve">2. sample molecules become </w:t>
      </w:r>
      <w:r w:rsidR="00B87F35" w:rsidRPr="00901194">
        <w:rPr>
          <w:rFonts w:cs="Times New Roman"/>
          <w:szCs w:val="24"/>
        </w:rPr>
        <w:t>ionized to create charged particles</w:t>
      </w:r>
      <w:r w:rsidR="000A0C4F" w:rsidRPr="00901194">
        <w:rPr>
          <w:rFonts w:cs="Times New Roman"/>
          <w:szCs w:val="24"/>
        </w:rPr>
        <w:t xml:space="preserve">; 3. charged ions are separated based on their properties as they </w:t>
      </w:r>
      <w:r w:rsidR="00B87F35" w:rsidRPr="00901194">
        <w:rPr>
          <w:rFonts w:cs="Times New Roman"/>
          <w:szCs w:val="24"/>
        </w:rPr>
        <w:t xml:space="preserve">pass through the instrument (with optional steps </w:t>
      </w:r>
      <w:r w:rsidR="000A0C4F" w:rsidRPr="00901194">
        <w:rPr>
          <w:rFonts w:cs="Times New Roman"/>
          <w:szCs w:val="24"/>
        </w:rPr>
        <w:t xml:space="preserve">to filter out certain </w:t>
      </w:r>
      <w:r w:rsidR="00B87F35" w:rsidRPr="00901194">
        <w:rPr>
          <w:rFonts w:cs="Times New Roman"/>
          <w:szCs w:val="24"/>
        </w:rPr>
        <w:t>molecules)</w:t>
      </w:r>
      <w:r w:rsidR="000A0C4F" w:rsidRPr="00901194">
        <w:rPr>
          <w:rFonts w:cs="Times New Roman"/>
          <w:szCs w:val="24"/>
        </w:rPr>
        <w:t>;</w:t>
      </w:r>
      <w:r w:rsidR="00B87F35" w:rsidRPr="00901194">
        <w:rPr>
          <w:rFonts w:cs="Times New Roman"/>
          <w:szCs w:val="24"/>
        </w:rPr>
        <w:t xml:space="preserve"> </w:t>
      </w:r>
      <w:r w:rsidR="000A0C4F" w:rsidRPr="00901194">
        <w:rPr>
          <w:rFonts w:cs="Times New Roman"/>
          <w:szCs w:val="24"/>
        </w:rPr>
        <w:t xml:space="preserve">4. molecules of interest are quantified </w:t>
      </w:r>
      <w:r w:rsidR="00B87F35" w:rsidRPr="00901194">
        <w:rPr>
          <w:rFonts w:cs="Times New Roman"/>
          <w:szCs w:val="24"/>
        </w:rPr>
        <w:t>by a detector</w:t>
      </w:r>
      <w:r w:rsidR="00B87F35" w:rsidRPr="00901194">
        <w:rPr>
          <w:rFonts w:cs="Times New Roman"/>
          <w:szCs w:val="24"/>
        </w:rPr>
        <w:fldChar w:fldCharType="begin" w:fldLock="1"/>
      </w:r>
      <w:r w:rsidR="000A1931" w:rsidRPr="00901194">
        <w:rPr>
          <w:rFonts w:cs="Times New Roman"/>
          <w:szCs w:val="24"/>
        </w:rPr>
        <w:instrText>ADDIN CSL_CITATION {"citationItems":[{"id":"ITEM-1","itemData":{"DOI":"10.1002/mas","ISBN":"1098-2787","ISSN":"09943919","PMID":"17407130","abstract":"This review presents an overview of the dynamically developing field of mass spectrometry-based metabolomics. Metabolomics aims at the comprehensive and quantitative analysis of wide arrays of metabolites in biological samples. These numerous analytes have very diverse physico-chemical properties and occur at different abundance levels. Consequently, comprehen- sive metabolomics investigations are primarily a challenge for analytical chemistry and specifically mass spectrometry has vast potential as a tool for this type of investigation. Metabolomics require special approaches for sample prepara- tion, separation, and mass spectrometric analysis. Current examples of those approaches are described in this review. It primarily focuses on metabolic fingerprinting, a technique that analyzes all detectable analytes in a given sample with subsequent classification of samples and identification of differentially expressed metabolites, which define the sample classes. To perform this complex task, data analysis tools, metabolite libraries, and databases are required. Therefore, recent advances in metabolomics bioinformatics are also discussed.","author":[{"dropping-particle":"","family":"Dettmer","given":"Katja","non-dropping-particle":"","parse-names":false,"suffix":""},{"dropping-particle":"","family":"Aronov","given":"Pavel A.","non-dropping-particle":"","parse-names":false,"suffix":""},{"dropping-particle":"","family":"Hammock","given":"Bruce D.","non-dropping-particle":"","parse-names":false,"suffix":""}],"container-title":"Mass Spectrometry Reviews","id":"ITEM-1","issued":{"date-parts":[["2007"]]},"note":"Has a good figure for helping make experimental design figure -- page 54\n\nMetabolic profiling -- targeted?; Metabolic fingerprinting -- untargeted\n\nReview article providing overview for mass spectrometry-based metabolomics. Covers broad concepts like metabolic profiling vs fingerprinting, MS instrument variations/consierations, data processing, etc. Useful for citing when discussing what metabolomics is, what a metabolite is, and why it's important with the other omics fields","page":"51-78","title":"Mass Spectrometry-Based Metabolomics","type":"article-journal","volume":"26"},"uris":["http://www.mendeley.com/documents/?uuid=e91e9973-512a-4797-a502-50feba889888"]},{"id":"ITEM-2","itemData":{"author":[{"dropping-particle":"","family":"Greaves","given":"John","non-dropping-particle":"","parse-names":false,"suffix":""},{"dropping-particle":"","family":"Roboz","given":"John","non-dropping-particle":"","parse-names":false,"suffix":""}],"id":"ITEM-2","issued":{"date-parts":[["2014"]]},"publisher":"CRC Press","publisher-place":"Boca Raton, FL","title":"Mass Spectrometry for the Novice","type":"book"},"uris":["http://www.mendeley.com/documents/?uuid=619eca22-da33-4008-a7cd-52340a8694c3"]}],"mendeley":{"formattedCitation":"&lt;sup&gt;11,15&lt;/sup&gt;","plainTextFormattedCitation":"11,15","previouslyFormattedCitation":"&lt;sup&gt;11,15&lt;/sup&gt;"},"properties":{"noteIndex":0},"schema":"https://github.com/citation-style-language/schema/raw/master/csl-citation.json"}</w:instrText>
      </w:r>
      <w:r w:rsidR="00B87F35" w:rsidRPr="00901194">
        <w:rPr>
          <w:rFonts w:cs="Times New Roman"/>
          <w:szCs w:val="24"/>
        </w:rPr>
        <w:fldChar w:fldCharType="separate"/>
      </w:r>
      <w:r w:rsidR="00AB5632" w:rsidRPr="00901194">
        <w:rPr>
          <w:rFonts w:cs="Times New Roman"/>
          <w:noProof/>
          <w:szCs w:val="24"/>
          <w:vertAlign w:val="superscript"/>
        </w:rPr>
        <w:t>11,15</w:t>
      </w:r>
      <w:r w:rsidR="00B87F35" w:rsidRPr="00901194">
        <w:rPr>
          <w:rFonts w:cs="Times New Roman"/>
          <w:szCs w:val="24"/>
        </w:rPr>
        <w:fldChar w:fldCharType="end"/>
      </w:r>
      <w:r w:rsidR="00B87F35" w:rsidRPr="00901194">
        <w:rPr>
          <w:rFonts w:cs="Times New Roman"/>
          <w:szCs w:val="24"/>
        </w:rPr>
        <w:t xml:space="preserve">. </w:t>
      </w:r>
      <w:r w:rsidR="005946A1" w:rsidRPr="00901194">
        <w:rPr>
          <w:rFonts w:cs="Times New Roman"/>
          <w:szCs w:val="24"/>
        </w:rPr>
        <w:t>S</w:t>
      </w:r>
      <w:r w:rsidR="00BC62EA" w:rsidRPr="00901194">
        <w:rPr>
          <w:rFonts w:cs="Times New Roman"/>
          <w:szCs w:val="24"/>
        </w:rPr>
        <w:t xml:space="preserve">ome MS techniques </w:t>
      </w:r>
      <w:r w:rsidR="005946A1" w:rsidRPr="00901194">
        <w:rPr>
          <w:rFonts w:cs="Times New Roman"/>
          <w:szCs w:val="24"/>
        </w:rPr>
        <w:t xml:space="preserve">include </w:t>
      </w:r>
      <w:r w:rsidR="00BC62EA" w:rsidRPr="00901194">
        <w:rPr>
          <w:rFonts w:cs="Times New Roman"/>
          <w:szCs w:val="24"/>
        </w:rPr>
        <w:t xml:space="preserve">an </w:t>
      </w:r>
      <w:r w:rsidR="00836B13" w:rsidRPr="00901194">
        <w:rPr>
          <w:rFonts w:cs="Times New Roman"/>
          <w:szCs w:val="24"/>
        </w:rPr>
        <w:t>additional</w:t>
      </w:r>
      <w:r w:rsidR="00BC62EA" w:rsidRPr="00901194">
        <w:rPr>
          <w:rFonts w:cs="Times New Roman"/>
          <w:szCs w:val="24"/>
        </w:rPr>
        <w:t xml:space="preserve"> </w:t>
      </w:r>
      <w:r w:rsidR="005946A1" w:rsidRPr="00901194">
        <w:rPr>
          <w:rFonts w:cs="Times New Roman"/>
          <w:szCs w:val="24"/>
        </w:rPr>
        <w:t xml:space="preserve">step </w:t>
      </w:r>
      <w:r w:rsidR="00BC62EA" w:rsidRPr="00901194">
        <w:rPr>
          <w:rFonts w:cs="Times New Roman"/>
          <w:szCs w:val="24"/>
        </w:rPr>
        <w:t xml:space="preserve">called </w:t>
      </w:r>
      <w:r w:rsidR="00BC62EA" w:rsidRPr="00901194">
        <w:rPr>
          <w:rFonts w:cs="Times New Roman"/>
          <w:szCs w:val="24"/>
        </w:rPr>
        <w:lastRenderedPageBreak/>
        <w:t>tandem mass spectrometry (MS/MS</w:t>
      </w:r>
      <w:r w:rsidR="00836B13" w:rsidRPr="00901194">
        <w:rPr>
          <w:rFonts w:cs="Times New Roman"/>
          <w:szCs w:val="24"/>
        </w:rPr>
        <w:t>, or MS2</w:t>
      </w:r>
      <w:r w:rsidR="00BC62EA" w:rsidRPr="00901194">
        <w:rPr>
          <w:rFonts w:cs="Times New Roman"/>
          <w:szCs w:val="24"/>
        </w:rPr>
        <w:t>), which fragments charged ions after detection and runs these charged fragments through the detector again</w:t>
      </w:r>
      <w:r w:rsidR="005946A1" w:rsidRPr="00901194">
        <w:rPr>
          <w:rFonts w:cs="Times New Roman"/>
          <w:szCs w:val="24"/>
        </w:rPr>
        <w:fldChar w:fldCharType="begin" w:fldLock="1"/>
      </w:r>
      <w:r w:rsidR="000A1931" w:rsidRPr="00901194">
        <w:rPr>
          <w:rFonts w:cs="Times New Roman"/>
          <w:szCs w:val="24"/>
        </w:rPr>
        <w:instrText>ADDIN CSL_CITATION {"citationItems":[{"id":"ITEM-1","itemData":{"author":[{"dropping-particle":"","family":"Greaves","given":"John","non-dropping-particle":"","parse-names":false,"suffix":""},{"dropping-particle":"","family":"Roboz","given":"John","non-dropping-particle":"","parse-names":false,"suffix":""}],"id":"ITEM-1","issued":{"date-parts":[["2014"]]},"publisher":"CRC Press","publisher-place":"Boca Raton, FL","title":"Mass Spectrometry for the Novice","type":"book"},"uris":["http://www.mendeley.com/documents/?uuid=619eca22-da33-4008-a7cd-52340a8694c3"]}],"mendeley":{"formattedCitation":"&lt;sup&gt;15&lt;/sup&gt;","plainTextFormattedCitation":"15","previouslyFormattedCitation":"&lt;sup&gt;15&lt;/sup&gt;"},"properties":{"noteIndex":0},"schema":"https://github.com/citation-style-language/schema/raw/master/csl-citation.json"}</w:instrText>
      </w:r>
      <w:r w:rsidR="005946A1" w:rsidRPr="00901194">
        <w:rPr>
          <w:rFonts w:cs="Times New Roman"/>
          <w:szCs w:val="24"/>
        </w:rPr>
        <w:fldChar w:fldCharType="separate"/>
      </w:r>
      <w:r w:rsidR="00AB5632" w:rsidRPr="00901194">
        <w:rPr>
          <w:rFonts w:cs="Times New Roman"/>
          <w:noProof/>
          <w:szCs w:val="24"/>
          <w:vertAlign w:val="superscript"/>
        </w:rPr>
        <w:t>15</w:t>
      </w:r>
      <w:r w:rsidR="005946A1" w:rsidRPr="00901194">
        <w:rPr>
          <w:rFonts w:cs="Times New Roman"/>
          <w:szCs w:val="24"/>
        </w:rPr>
        <w:fldChar w:fldCharType="end"/>
      </w:r>
      <w:r w:rsidR="00BC62EA" w:rsidRPr="00901194">
        <w:rPr>
          <w:rFonts w:cs="Times New Roman"/>
          <w:szCs w:val="24"/>
        </w:rPr>
        <w:t xml:space="preserve">. </w:t>
      </w:r>
      <w:r w:rsidR="005946A1" w:rsidRPr="00901194">
        <w:rPr>
          <w:rFonts w:cs="Times New Roman"/>
          <w:szCs w:val="24"/>
        </w:rPr>
        <w:t>This second fragmentation step improves molecule annotation by providing more detailed structural information about the sample molecules. All MS instruments and components complete the four major steps of introduction, ionization, separation, and detection in different ways and each variation introduces different biases</w:t>
      </w:r>
      <w:r w:rsidR="005946A1" w:rsidRPr="00901194">
        <w:rPr>
          <w:rFonts w:cs="Times New Roman"/>
          <w:szCs w:val="24"/>
        </w:rPr>
        <w:fldChar w:fldCharType="begin" w:fldLock="1"/>
      </w:r>
      <w:r w:rsidR="000A1931" w:rsidRPr="00901194">
        <w:rPr>
          <w:rFonts w:cs="Times New Roman"/>
          <w:szCs w:val="24"/>
        </w:rPr>
        <w:instrText>ADDIN CSL_CITATION {"citationItems":[{"id":"ITEM-1","itemData":{"author":[{"dropping-particle":"","family":"Greaves","given":"John","non-dropping-particle":"","parse-names":false,"suffix":""},{"dropping-particle":"","family":"Roboz","given":"John","non-dropping-particle":"","parse-names":false,"suffix":""}],"id":"ITEM-1","issued":{"date-parts":[["2014"]]},"publisher":"CRC Press","publisher-place":"Boca Raton, FL","title":"Mass Spectrometry for the Novice","type":"book"},"uris":["http://www.mendeley.com/documents/?uuid=619eca22-da33-4008-a7cd-52340a8694c3"]}],"mendeley":{"formattedCitation":"&lt;sup&gt;15&lt;/sup&gt;","plainTextFormattedCitation":"15","previouslyFormattedCitation":"&lt;sup&gt;15&lt;/sup&gt;"},"properties":{"noteIndex":0},"schema":"https://github.com/citation-style-language/schema/raw/master/csl-citation.json"}</w:instrText>
      </w:r>
      <w:r w:rsidR="005946A1" w:rsidRPr="00901194">
        <w:rPr>
          <w:rFonts w:cs="Times New Roman"/>
          <w:szCs w:val="24"/>
        </w:rPr>
        <w:fldChar w:fldCharType="separate"/>
      </w:r>
      <w:r w:rsidR="00AB5632" w:rsidRPr="00901194">
        <w:rPr>
          <w:rFonts w:cs="Times New Roman"/>
          <w:noProof/>
          <w:szCs w:val="24"/>
          <w:vertAlign w:val="superscript"/>
        </w:rPr>
        <w:t>15</w:t>
      </w:r>
      <w:r w:rsidR="005946A1" w:rsidRPr="00901194">
        <w:rPr>
          <w:rFonts w:cs="Times New Roman"/>
          <w:szCs w:val="24"/>
        </w:rPr>
        <w:fldChar w:fldCharType="end"/>
      </w:r>
      <w:r w:rsidR="005946A1" w:rsidRPr="00901194">
        <w:rPr>
          <w:rFonts w:cs="Times New Roman"/>
          <w:szCs w:val="24"/>
        </w:rPr>
        <w:t>.</w:t>
      </w:r>
      <w:r w:rsidR="00C12632" w:rsidRPr="00901194">
        <w:rPr>
          <w:rFonts w:cs="Times New Roman"/>
          <w:szCs w:val="24"/>
        </w:rPr>
        <w:t xml:space="preserve"> In the end, these steps provide detailed data about the molecular composition of biological organisms/samples.</w:t>
      </w:r>
    </w:p>
    <w:p w14:paraId="2CA79C8B" w14:textId="77777777" w:rsidR="00C12632" w:rsidRPr="00901194" w:rsidRDefault="0016571A" w:rsidP="00CD2A53">
      <w:pPr>
        <w:ind w:firstLine="360"/>
        <w:rPr>
          <w:rFonts w:cs="Times New Roman"/>
          <w:szCs w:val="24"/>
        </w:rPr>
      </w:pPr>
      <w:r w:rsidRPr="00901194">
        <w:rPr>
          <w:rFonts w:cs="Times New Roman"/>
          <w:szCs w:val="24"/>
        </w:rPr>
        <w:t>MS-based metabolomic research generally falls into one of two categories: targeted or untargeted. Targeted analyses focus on quantifying known or suspected molecules in a sample or biological system</w:t>
      </w:r>
      <w:r w:rsidRPr="00901194">
        <w:rPr>
          <w:rFonts w:cs="Times New Roman"/>
          <w:szCs w:val="24"/>
        </w:rPr>
        <w:fldChar w:fldCharType="begin" w:fldLock="1"/>
      </w:r>
      <w:r w:rsidR="000A1931" w:rsidRPr="00901194">
        <w:rPr>
          <w:rFonts w:cs="Times New Roman"/>
          <w:szCs w:val="24"/>
        </w:rPr>
        <w:instrText>ADDIN CSL_CITATION {"citationItems":[{"id":"ITEM-1","itemData":{"DOI":"10.1016/j.chroma.2014.10.091","ISSN":"0021-9673","author":[{"dropping-particle":"","family":"Wolfender","given":"Jean-luc","non-dropping-particle":"","parse-names":false,"suffix":""},{"dropping-particle":"","family":"Marti","given":"Guillaume","non-dropping-particle":"","parse-names":false,"suffix":""},{"dropping-particle":"","family":"Thomas","given":"Aurélien","non-dropping-particle":"","parse-names":false,"suffix":""},{"dropping-particle":"","family":"Bertrand","given":"Samuel","non-dropping-particle":"","parse-names":false,"suffix":""}],"container-title":"Journal of Chromatography A","id":"ITEM-1","issued":{"date-parts":[["2015"]]},"note":"Summary: Review article covering approaches and methods for metabolite analysis of natural products, which has a lot of principles and techniques involved in organic residue analysis. Authors discuss pros and cons of different tactics (targeted vs untargeted), different instrumention (GC vs LC, MS vs NMR, DDA, etc.), how data should be reported (MSI identification levels), etc. \nAssessment: Great review -- useful for citations about different metabolite analysis methods, how the work should be done/reported, etc. Provides more up-to-date info, despite focusing entirely on natural products.\n\nOverview of metabolomic analyses, more or less\n\nA little limited in its application b/c it focuses solely on natural products and discusses methods based on their utility to natural product discovery, but still provides good breakdown of different MS approaches and tools","page":"136-164","publisher":"Elsevier B.V.","title":"Current approaches and challenges for the metabolite profiling of complex natural extracts","type":"article-journal","volume":"1382"},"uris":["http://www.mendeley.com/documents/?uuid=8cff755f-0491-49a4-8b92-665719c74d87"]},{"id":"ITEM-2","itemData":{"DOI":"10.1002/0471142727.mb3002s98.Targeted","ISBN":"0471142727","author":[{"dropping-particle":"","family":"Roberts","given":"Lee D.","non-dropping-particle":"","parse-names":false,"suffix":""},{"dropping-particle":"","family":"Souza","given":"Amanda L.","non-dropping-particle":"","parse-names":false,"suffix":""},{"dropping-particle":"","family":"Gerszten","given":"Robert E.","non-dropping-particle":"","parse-names":false,"suffix":""},{"dropping-particle":"","family":"Clish","given":"Clary B.","non-dropping-particle":"","parse-names":false,"suffix":""}],"container-title":"Current Protocols in Molecular Biology","id":"ITEM-2","issue":"1","issued":{"date-parts":[["2012"]]},"note":"Summary: Review/methods article discussing targeted metabolomics principles, general approaches, methods, considerations/places where error is introduced, and propose some protocols. General considerations include: ion suppression, normalization using spiked internal standards, variations introduced during MS analysis and/or during sample prep, low relative abundance, etc. ","page":"1-34","title":"Targeted metabolomics","type":"article-journal","volume":"98"},"uris":["http://www.mendeley.com/documents/?uuid=25e5108d-02b1-4f57-adf1-8f9699f1ff15"]}],"mendeley":{"formattedCitation":"&lt;sup&gt;14,17&lt;/sup&gt;","plainTextFormattedCitation":"14,17","previouslyFormattedCitation":"&lt;sup&gt;14,17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14,17</w:t>
      </w:r>
      <w:r w:rsidRPr="00901194">
        <w:rPr>
          <w:rFonts w:cs="Times New Roman"/>
          <w:szCs w:val="24"/>
        </w:rPr>
        <w:fldChar w:fldCharType="end"/>
      </w:r>
      <w:r w:rsidR="00836B13" w:rsidRPr="00901194">
        <w:rPr>
          <w:rFonts w:cs="Times New Roman"/>
          <w:szCs w:val="24"/>
        </w:rPr>
        <w:t xml:space="preserve">, while untargeted </w:t>
      </w:r>
      <w:r w:rsidR="003C161A" w:rsidRPr="00901194">
        <w:rPr>
          <w:rFonts w:cs="Times New Roman"/>
          <w:szCs w:val="24"/>
        </w:rPr>
        <w:t>analyses characterize the global range of detectable metabolites in a sample or system</w:t>
      </w:r>
      <w:r w:rsidR="000A1931" w:rsidRPr="00901194">
        <w:rPr>
          <w:rFonts w:cs="Times New Roman"/>
          <w:szCs w:val="24"/>
        </w:rPr>
        <w:fldChar w:fldCharType="begin" w:fldLock="1"/>
      </w:r>
      <w:r w:rsidR="005869E0" w:rsidRPr="00901194">
        <w:rPr>
          <w:rFonts w:cs="Times New Roman"/>
          <w:szCs w:val="24"/>
        </w:rPr>
        <w:instrText>ADDIN CSL_CITATION {"citationItems":[{"id":"ITEM-1","itemData":{"author":[{"dropping-particle":"","family":"Greaves","given":"John","non-dropping-particle":"","parse-names":false,"suffix":""},{"dropping-particle":"","family":"Roboz","given":"John","non-dropping-particle":"","parse-names":false,"suffix":""}],"id":"ITEM-1","issued":{"date-parts":[["2014"]]},"publisher":"CRC Press","publisher-place":"Boca Raton, FL","title":"Mass Spectrometry for the Novice","type":"book"},"uris":["http://www.mendeley.com/documents/?uuid=619eca22-da33-4008-a7cd-52340a8694c3"]},{"id":"ITEM-2","itemData":{"DOI":"10.1016/j.molcel.2015.04.021","ISSN":"10974164","abstract":"Renewed interest in metabolic research over the last two decades has inspired an explosion of technological developments for studying metabolism. At the forefront of methodological innovation is an approach referred to as \"untargeted\" or \"discovery\" metabolomics. The experimental objective of this technique is to comprehensively measure the entire metabolome, which constitutes a largely undefined set of molecules. Given its potential comprehensive coverage, untargeted metabolomics is often the first choice of experiments for investigators pursuing a metabolic research question. It is important to recognize, however, that untargeted metabolomics may not always be the optimal experimental approach. Conventionally, untargeted metabolomics only provides information about relative differences in metabolite pool sizes. Therefore, depending on the specific scientific question at hand, a complementary approach involving stable isotopes (such as metabolic flux analysis) may be better suited to provide biological insights. Unlike untargeted metabolomics, stable-isotope methods can provide information about differences in reaction rates.","author":[{"dropping-particle":"","family":"Zamboni","given":"Nicola","non-dropping-particle":"","parse-names":false,"suffix":""},{"dropping-particle":"","family":"Saghatelian","given":"Alan","non-dropping-particle":"","parse-names":false,"suffix":""},{"dropping-particle":"","family":"Patti","given":"Gary J.","non-dropping-particle":"","parse-names":false,"suffix":""}],"container-title":"Molecular Cell","id":"ITEM-2","issue":"4","issued":{"date-parts":[["2015"]]},"page":"699-706","title":"Defining the Metabolome: Size, Flux, and Regulation","type":"article-journal","volume":"58"},"uris":["http://www.mendeley.com/documents/?uuid=8ab21ae7-5a5c-459c-bb7d-505727dbba76"]}],"mendeley":{"formattedCitation":"&lt;sup&gt;15,16&lt;/sup&gt;","plainTextFormattedCitation":"15,16","previouslyFormattedCitation":"&lt;sup&gt;15,16&lt;/sup&gt;"},"properties":{"noteIndex":0},"schema":"https://github.com/citation-style-language/schema/raw/master/csl-citation.json"}</w:instrText>
      </w:r>
      <w:r w:rsidR="000A1931" w:rsidRPr="00901194">
        <w:rPr>
          <w:rFonts w:cs="Times New Roman"/>
          <w:szCs w:val="24"/>
        </w:rPr>
        <w:fldChar w:fldCharType="separate"/>
      </w:r>
      <w:r w:rsidR="000A1931" w:rsidRPr="00901194">
        <w:rPr>
          <w:rFonts w:cs="Times New Roman"/>
          <w:noProof/>
          <w:szCs w:val="24"/>
          <w:vertAlign w:val="superscript"/>
        </w:rPr>
        <w:t>15,16</w:t>
      </w:r>
      <w:r w:rsidR="000A1931" w:rsidRPr="00901194">
        <w:rPr>
          <w:rFonts w:cs="Times New Roman"/>
          <w:szCs w:val="24"/>
        </w:rPr>
        <w:fldChar w:fldCharType="end"/>
      </w:r>
      <w:r w:rsidRPr="00901194">
        <w:rPr>
          <w:rFonts w:cs="Times New Roman"/>
          <w:szCs w:val="24"/>
        </w:rPr>
        <w:t xml:space="preserve">. </w:t>
      </w:r>
      <w:r w:rsidR="002D4F9C" w:rsidRPr="00901194">
        <w:rPr>
          <w:rFonts w:cs="Times New Roman"/>
          <w:szCs w:val="24"/>
        </w:rPr>
        <w:t xml:space="preserve">Since no approach completely captures </w:t>
      </w:r>
      <w:r w:rsidR="00C12632" w:rsidRPr="00901194">
        <w:rPr>
          <w:rFonts w:cs="Times New Roman"/>
          <w:szCs w:val="24"/>
        </w:rPr>
        <w:t xml:space="preserve">all aspects of a </w:t>
      </w:r>
      <w:r w:rsidR="002D4F9C" w:rsidRPr="00901194">
        <w:rPr>
          <w:rFonts w:cs="Times New Roman"/>
          <w:szCs w:val="24"/>
        </w:rPr>
        <w:t>metabolome,</w:t>
      </w:r>
      <w:r w:rsidRPr="00901194">
        <w:rPr>
          <w:rFonts w:cs="Times New Roman"/>
          <w:szCs w:val="24"/>
        </w:rPr>
        <w:t xml:space="preserve"> researchers will select the </w:t>
      </w:r>
      <w:r w:rsidR="002D4F9C" w:rsidRPr="00901194">
        <w:rPr>
          <w:rFonts w:cs="Times New Roman"/>
          <w:szCs w:val="24"/>
        </w:rPr>
        <w:t xml:space="preserve">targeted or untargeted approach, </w:t>
      </w:r>
      <w:r w:rsidRPr="00901194">
        <w:rPr>
          <w:rFonts w:cs="Times New Roman"/>
          <w:szCs w:val="24"/>
        </w:rPr>
        <w:t xml:space="preserve">metabolites of interest, experimental conditions, MS instrument, and analysis techniques based on </w:t>
      </w:r>
      <w:r w:rsidR="002D4F9C" w:rsidRPr="00901194">
        <w:rPr>
          <w:rFonts w:cs="Times New Roman"/>
          <w:szCs w:val="24"/>
        </w:rPr>
        <w:t>what best addresses their</w:t>
      </w:r>
      <w:r w:rsidRPr="00901194">
        <w:rPr>
          <w:rFonts w:cs="Times New Roman"/>
          <w:szCs w:val="24"/>
        </w:rPr>
        <w:t xml:space="preserve"> specific research question. </w:t>
      </w:r>
      <w:r w:rsidR="00F45D1B" w:rsidRPr="00901194">
        <w:rPr>
          <w:rFonts w:cs="Times New Roman"/>
          <w:szCs w:val="24"/>
        </w:rPr>
        <w:t>Moreover, it is important to note analytical challenges are especially prevalent when analyzing untargeted data as it focuses on molecules that often have minimal information beyond mass</w:t>
      </w:r>
      <w:r w:rsidR="00CD2A53" w:rsidRPr="00901194">
        <w:rPr>
          <w:rFonts w:cs="Times New Roman"/>
          <w:szCs w:val="24"/>
        </w:rPr>
        <w:fldChar w:fldCharType="begin" w:fldLock="1"/>
      </w:r>
      <w:r w:rsidR="000A1931" w:rsidRPr="00901194">
        <w:rPr>
          <w:rFonts w:cs="Times New Roman"/>
          <w:szCs w:val="24"/>
        </w:rPr>
        <w:instrText>ADDIN CSL_CITATION {"citationItems":[{"id":"ITEM-1","itemData":{"DOI":"10.5702/massspectrometry.s0052","ISSN":"2187-137X","abstract":"Metabolomics is a strategy for analysis, and quantification of the complete collection of metabolites present in biological samples. Metabolomics is an emerging area of scientific research because there are many application areas including clinical, agricultural, and medical researches for the biomarker discovery and the metabolic system analysis by employing widely targeted analysis of a few hundred preselected metabolites from 10-100 biological samples. Further improvement in technologies of mass spectrometry in terms of experimental design for larger scale analysis, computational methods for tandem mass spectrometry-based elucidation of metabolites, and specific instrumentation for advanced bioanalysis will enable more comprehensive metabolome analysis for exploring the hidden secrets of metabolism.","author":[{"dropping-particle":"","family":"Matsuda","given":"Fumio","non-dropping-particle":"","parse-names":false,"suffix":""}],"container-title":"Mass Spectrometry","id":"ITEM-1","issue":"2","issued":{"date-parts":[["2016"]]},"page":"S0052-S0052","title":"Technical Challenges in Mass Spectrometry-Based Metabolomics","type":"article-journal","volume":"5"},"uris":["http://www.mendeley.com/documents/?uuid=9520328a-52a5-4dee-b9b9-4de7d413be5c"]}],"mendeley":{"formattedCitation":"&lt;sup&gt;18&lt;/sup&gt;","plainTextFormattedCitation":"18","previouslyFormattedCitation":"&lt;sup&gt;18&lt;/sup&gt;"},"properties":{"noteIndex":0},"schema":"https://github.com/citation-style-language/schema/raw/master/csl-citation.json"}</w:instrText>
      </w:r>
      <w:r w:rsidR="00CD2A53" w:rsidRPr="00901194">
        <w:rPr>
          <w:rFonts w:cs="Times New Roman"/>
          <w:szCs w:val="24"/>
        </w:rPr>
        <w:fldChar w:fldCharType="separate"/>
      </w:r>
      <w:r w:rsidR="00AB5632" w:rsidRPr="00901194">
        <w:rPr>
          <w:rFonts w:cs="Times New Roman"/>
          <w:noProof/>
          <w:szCs w:val="24"/>
          <w:vertAlign w:val="superscript"/>
        </w:rPr>
        <w:t>18</w:t>
      </w:r>
      <w:r w:rsidR="00CD2A53" w:rsidRPr="00901194">
        <w:rPr>
          <w:rFonts w:cs="Times New Roman"/>
          <w:szCs w:val="24"/>
        </w:rPr>
        <w:fldChar w:fldCharType="end"/>
      </w:r>
      <w:r w:rsidR="00CD2A53" w:rsidRPr="00901194">
        <w:rPr>
          <w:rFonts w:cs="Times New Roman"/>
          <w:szCs w:val="24"/>
        </w:rPr>
        <w:t xml:space="preserve">. </w:t>
      </w:r>
      <w:r w:rsidR="00C12632" w:rsidRPr="00901194">
        <w:rPr>
          <w:rFonts w:cs="Times New Roman"/>
          <w:szCs w:val="24"/>
        </w:rPr>
        <w:t xml:space="preserve">In other words, while an untargeted analysis can identify an informative trait of the molecule like mass, there is much about its nature that is not fully understood. </w:t>
      </w:r>
      <w:r w:rsidR="00CD2A53" w:rsidRPr="00901194">
        <w:rPr>
          <w:rFonts w:cs="Times New Roman"/>
          <w:szCs w:val="24"/>
        </w:rPr>
        <w:t xml:space="preserve">Identifying and analyzing patterns of unknown metabolites present unique challenges for untargeted metabolomics, but these analytical tools are rapidly improving over time. </w:t>
      </w:r>
    </w:p>
    <w:p w14:paraId="47C8C37C" w14:textId="0514A505" w:rsidR="0016571A" w:rsidRPr="00901194" w:rsidRDefault="00CD2A53" w:rsidP="00CD2A53">
      <w:pPr>
        <w:ind w:firstLine="360"/>
        <w:rPr>
          <w:rFonts w:cs="Times New Roman"/>
          <w:szCs w:val="24"/>
        </w:rPr>
      </w:pPr>
      <w:r w:rsidRPr="00901194">
        <w:rPr>
          <w:rFonts w:cs="Times New Roman"/>
          <w:szCs w:val="24"/>
        </w:rPr>
        <w:t>T</w:t>
      </w:r>
      <w:r w:rsidR="0016571A" w:rsidRPr="00901194">
        <w:rPr>
          <w:rFonts w:cs="Times New Roman"/>
          <w:szCs w:val="24"/>
        </w:rPr>
        <w:t>argeted analyses are more commonly practiced than untargeted, partly because targeted data results in fewer data points (metabolites of interest) than untargeted analyses</w:t>
      </w:r>
      <w:r w:rsidR="0016571A" w:rsidRPr="00901194">
        <w:rPr>
          <w:rFonts w:cs="Times New Roman"/>
          <w:szCs w:val="24"/>
        </w:rPr>
        <w:fldChar w:fldCharType="begin" w:fldLock="1"/>
      </w:r>
      <w:r w:rsidR="000A1931" w:rsidRPr="00901194">
        <w:rPr>
          <w:rFonts w:cs="Times New Roman"/>
          <w:szCs w:val="24"/>
        </w:rPr>
        <w:instrText>ADDIN CSL_CITATION {"citationItems":[{"id":"ITEM-1","itemData":{"DOI":"10.5702/massspectrometry.s0052","ISSN":"2187-137X","abstract":"Metabolomics is a strategy for analysis, and quantification of the complete collection of metabolites present in biological samples. Metabolomics is an emerging area of scientific research because there are many application areas including clinical, agricultural, and medical researches for the biomarker discovery and the metabolic system analysis by employing widely targeted analysis of a few hundred preselected metabolites from 10-100 biological samples. Further improvement in technologies of mass spectrometry in terms of experimental design for larger scale analysis, computational methods for tandem mass spectrometry-based elucidation of metabolites, and specific instrumentation for advanced bioanalysis will enable more comprehensive metabolome analysis for exploring the hidden secrets of metabolism.","author":[{"dropping-particle":"","family":"Matsuda","given":"Fumio","non-dropping-particle":"","parse-names":false,"suffix":""}],"container-title":"Mass Spectrometry","id":"ITEM-1","issue":"2","issued":{"date-parts":[["2016"]]},"page":"S0052-S0052","title":"Technical Challenges in Mass Spectrometry-Based Metabolomics","type":"article-journal","volume":"5"},"uris":["http://www.mendeley.com/documents/?uuid=9520328a-52a5-4dee-b9b9-4de7d413be5c"]}],"mendeley":{"formattedCitation":"&lt;sup&gt;18&lt;/sup&gt;","plainTextFormattedCitation":"18","previouslyFormattedCitation":"&lt;sup&gt;18&lt;/sup&gt;"},"properties":{"noteIndex":0},"schema":"https://github.com/citation-style-language/schema/raw/master/csl-citation.json"}</w:instrText>
      </w:r>
      <w:r w:rsidR="0016571A" w:rsidRPr="00901194">
        <w:rPr>
          <w:rFonts w:cs="Times New Roman"/>
          <w:szCs w:val="24"/>
        </w:rPr>
        <w:fldChar w:fldCharType="separate"/>
      </w:r>
      <w:r w:rsidR="00AB5632" w:rsidRPr="00901194">
        <w:rPr>
          <w:rFonts w:cs="Times New Roman"/>
          <w:noProof/>
          <w:szCs w:val="24"/>
          <w:vertAlign w:val="superscript"/>
        </w:rPr>
        <w:t>18</w:t>
      </w:r>
      <w:r w:rsidR="0016571A" w:rsidRPr="00901194">
        <w:rPr>
          <w:rFonts w:cs="Times New Roman"/>
          <w:szCs w:val="24"/>
        </w:rPr>
        <w:fldChar w:fldCharType="end"/>
      </w:r>
      <w:r w:rsidR="0016571A" w:rsidRPr="00901194">
        <w:rPr>
          <w:rFonts w:cs="Times New Roman"/>
          <w:szCs w:val="24"/>
        </w:rPr>
        <w:t xml:space="preserve">. </w:t>
      </w:r>
      <w:r w:rsidR="002D4F9C" w:rsidRPr="00901194">
        <w:rPr>
          <w:rFonts w:cs="Times New Roman"/>
          <w:szCs w:val="24"/>
        </w:rPr>
        <w:t xml:space="preserve">Indeed, targeted approaches are especially frequent in anthropology studies compared to untargeted, partly due to </w:t>
      </w:r>
      <w:r w:rsidR="002D4F9C" w:rsidRPr="00901194">
        <w:rPr>
          <w:rFonts w:cs="Times New Roman"/>
          <w:szCs w:val="24"/>
        </w:rPr>
        <w:lastRenderedPageBreak/>
        <w:t xml:space="preserve">the anthropological questions being addressed </w:t>
      </w:r>
      <w:r w:rsidR="00C12632" w:rsidRPr="00901194">
        <w:rPr>
          <w:rFonts w:cs="Times New Roman"/>
          <w:szCs w:val="24"/>
        </w:rPr>
        <w:t>are simpler</w:t>
      </w:r>
      <w:r w:rsidR="0030717B" w:rsidRPr="00901194">
        <w:rPr>
          <w:rFonts w:cs="Times New Roman"/>
          <w:szCs w:val="24"/>
        </w:rPr>
        <w:t xml:space="preserve"> and</w:t>
      </w:r>
      <w:r w:rsidR="00C12632" w:rsidRPr="00901194">
        <w:rPr>
          <w:rFonts w:cs="Times New Roman"/>
          <w:szCs w:val="24"/>
        </w:rPr>
        <w:t xml:space="preserve"> more focused on a specific molecule of interest, like molecules associated with tobacco or chocolate. However, as discussed later, these targeted approaches also have limitations and create assumptions and biases</w:t>
      </w:r>
      <w:r w:rsidR="002D4F9C" w:rsidRPr="00901194">
        <w:rPr>
          <w:rFonts w:cs="Times New Roman"/>
          <w:szCs w:val="24"/>
        </w:rPr>
        <w:t>.</w:t>
      </w:r>
      <w:r w:rsidR="00F45D1B" w:rsidRPr="00901194">
        <w:rPr>
          <w:rFonts w:cs="Times New Roman"/>
          <w:szCs w:val="24"/>
        </w:rPr>
        <w:t xml:space="preserve"> </w:t>
      </w:r>
      <w:r w:rsidR="00C12632" w:rsidRPr="00901194">
        <w:rPr>
          <w:rFonts w:cs="Times New Roman"/>
          <w:szCs w:val="24"/>
        </w:rPr>
        <w:t xml:space="preserve">An ideal future for most anthropology questions is one in which an untargeted approach could be used effectively. </w:t>
      </w:r>
      <w:r w:rsidR="00F45D1B" w:rsidRPr="00901194">
        <w:rPr>
          <w:rFonts w:cs="Times New Roman"/>
          <w:szCs w:val="24"/>
        </w:rPr>
        <w:t>For this dissertation, untargeted metabolomics will be the primary approach due to its capacity to reveal metabolites</w:t>
      </w:r>
      <w:r w:rsidR="00C12632" w:rsidRPr="00901194">
        <w:rPr>
          <w:rFonts w:cs="Times New Roman"/>
          <w:szCs w:val="24"/>
        </w:rPr>
        <w:t xml:space="preserve"> with fewer researcher assumptions</w:t>
      </w:r>
      <w:r w:rsidR="00F45D1B" w:rsidRPr="00901194">
        <w:rPr>
          <w:rFonts w:cs="Times New Roman"/>
          <w:szCs w:val="24"/>
        </w:rPr>
        <w:t>.</w:t>
      </w:r>
    </w:p>
    <w:p w14:paraId="31CC06F8" w14:textId="7220890D" w:rsidR="006D3BD2" w:rsidRPr="00901194" w:rsidRDefault="00E4172C" w:rsidP="00150ACD">
      <w:pPr>
        <w:ind w:firstLine="360"/>
        <w:rPr>
          <w:rFonts w:cs="Times New Roman"/>
          <w:szCs w:val="24"/>
        </w:rPr>
      </w:pPr>
      <w:r w:rsidRPr="00901194">
        <w:rPr>
          <w:rFonts w:cs="Times New Roman"/>
          <w:szCs w:val="24"/>
        </w:rPr>
        <w:t>A</w:t>
      </w:r>
      <w:r w:rsidR="002D4F9C" w:rsidRPr="00901194">
        <w:rPr>
          <w:rFonts w:cs="Times New Roman"/>
          <w:szCs w:val="24"/>
        </w:rPr>
        <w:t>nother</w:t>
      </w:r>
      <w:r w:rsidR="00D52866" w:rsidRPr="00901194">
        <w:rPr>
          <w:rFonts w:cs="Times New Roman"/>
          <w:szCs w:val="24"/>
        </w:rPr>
        <w:t xml:space="preserve"> major divergence among MS techniques involves </w:t>
      </w:r>
      <w:r w:rsidR="00A716E1" w:rsidRPr="00901194">
        <w:rPr>
          <w:rFonts w:cs="Times New Roman"/>
          <w:szCs w:val="24"/>
        </w:rPr>
        <w:t>sample introduction through different types of chromatographic separation</w:t>
      </w:r>
      <w:r w:rsidR="00282B01" w:rsidRPr="00901194">
        <w:rPr>
          <w:rFonts w:cs="Times New Roman"/>
          <w:szCs w:val="24"/>
        </w:rPr>
        <w:t>, namely gas chromatography (GC) and liquid chromatography (LC)</w:t>
      </w:r>
      <w:r w:rsidR="00AD1947" w:rsidRPr="00901194">
        <w:rPr>
          <w:rFonts w:cs="Times New Roman"/>
          <w:szCs w:val="24"/>
        </w:rPr>
        <w:fldChar w:fldCharType="begin" w:fldLock="1"/>
      </w:r>
      <w:r w:rsidR="000A1931" w:rsidRPr="00901194">
        <w:rPr>
          <w:rFonts w:cs="Times New Roman"/>
          <w:szCs w:val="24"/>
        </w:rPr>
        <w:instrText>ADDIN CSL_CITATION {"citationItems":[{"id":"ITEM-1","itemData":{"author":[{"dropping-particle":"","family":"Greaves","given":"John","non-dropping-particle":"","parse-names":false,"suffix":""},{"dropping-particle":"","family":"Roboz","given":"John","non-dropping-particle":"","parse-names":false,"suffix":""}],"id":"ITEM-1","issued":{"date-parts":[["2014"]]},"publisher":"CRC Press","publisher-place":"Boca Raton, FL","title":"Mass Spectrometry for the Novice","type":"book"},"uris":["http://www.mendeley.com/documents/?uuid=619eca22-da33-4008-a7cd-52340a8694c3"]},{"id":"ITEM-2","itemData":{"DOI":"10.14744/nci.2016.32757","ISBN":"2536-4553","ISSN":"21484902","PMID":"28058406","abstract":"Chromatography is an important biophysical technique that enables the separation, identification, and purification of the components of a mixture for qualitative and quantitative analysis. Proteins can be purified based on characteristics such as size and shape, total charge, hydrophobic groups present on the surface, and binding capacity with the stationary phase. Four separation techniques based on molecular characteristics and interaction type use mechanisms of ion exchange, surface adsorption, partition, and size exclusion. Other chromatography techniques are based on the stationary bed, including column, thin layer, and paper chromatography. Column chromatography is one of the most common methods of protein purification.","author":[{"dropping-particle":"","family":"Coskun","given":"Ozlem","non-dropping-particle":"","parse-names":false,"suffix":""}],"container-title":"Northern Clinics of Istanbul","id":"ITEM-2","issue":"2","issued":{"date-parts":[["2016"]]},"note":"Summary: Review article explaining principles of chromatographic separation and how popular chromatography separation techniques work, namely GC and LC. \nAssessment: Good review explaining how certain methods work -- can be cited to compare GC vs. LC because this article explains how they work and basics with their methods (e.g., GC requires a heated vaporization to work, so GC is better for volatile, thermally stable compounds compared to LC)","page":"156-160","title":"Separation Techniques: Chromatography","type":"article-journal","volume":"3"},"uris":["http://www.mendeley.com/documents/?uuid=66dce347-77d1-4189-a516-31b3b16f50ac"]}],"mendeley":{"formattedCitation":"&lt;sup&gt;15,19&lt;/sup&gt;","plainTextFormattedCitation":"15,19","previouslyFormattedCitation":"&lt;sup&gt;15,19&lt;/sup&gt;"},"properties":{"noteIndex":0},"schema":"https://github.com/citation-style-language/schema/raw/master/csl-citation.json"}</w:instrText>
      </w:r>
      <w:r w:rsidR="00AD1947" w:rsidRPr="00901194">
        <w:rPr>
          <w:rFonts w:cs="Times New Roman"/>
          <w:szCs w:val="24"/>
        </w:rPr>
        <w:fldChar w:fldCharType="separate"/>
      </w:r>
      <w:r w:rsidR="00AB5632" w:rsidRPr="00901194">
        <w:rPr>
          <w:rFonts w:cs="Times New Roman"/>
          <w:noProof/>
          <w:szCs w:val="24"/>
          <w:vertAlign w:val="superscript"/>
        </w:rPr>
        <w:t>15,19</w:t>
      </w:r>
      <w:r w:rsidR="00AD1947" w:rsidRPr="00901194">
        <w:rPr>
          <w:rFonts w:cs="Times New Roman"/>
          <w:szCs w:val="24"/>
        </w:rPr>
        <w:fldChar w:fldCharType="end"/>
      </w:r>
      <w:r w:rsidR="00A716E1" w:rsidRPr="00901194">
        <w:rPr>
          <w:rFonts w:cs="Times New Roman"/>
          <w:szCs w:val="24"/>
        </w:rPr>
        <w:t>.</w:t>
      </w:r>
      <w:r w:rsidR="009A500E" w:rsidRPr="00901194">
        <w:rPr>
          <w:rFonts w:cs="Times New Roman"/>
          <w:szCs w:val="24"/>
        </w:rPr>
        <w:t xml:space="preserve"> </w:t>
      </w:r>
      <w:r w:rsidR="001E7B9C" w:rsidRPr="00901194">
        <w:rPr>
          <w:rFonts w:cs="Times New Roman"/>
          <w:szCs w:val="24"/>
        </w:rPr>
        <w:t>While many techniques for chromatographic separation exist, GC and LC are among the most common separation protocols</w:t>
      </w:r>
      <w:r w:rsidR="001E7B9C" w:rsidRPr="00901194">
        <w:rPr>
          <w:rFonts w:cs="Times New Roman"/>
          <w:szCs w:val="24"/>
        </w:rPr>
        <w:fldChar w:fldCharType="begin" w:fldLock="1"/>
      </w:r>
      <w:r w:rsidR="000A1931" w:rsidRPr="00901194">
        <w:rPr>
          <w:rFonts w:cs="Times New Roman"/>
          <w:szCs w:val="24"/>
        </w:rPr>
        <w:instrText>ADDIN CSL_CITATION {"citationItems":[{"id":"ITEM-1","itemData":{"DOI":"10.14744/nci.2016.32757","ISBN":"2536-4553","ISSN":"21484902","PMID":"28058406","abstract":"Chromatography is an important biophysical technique that enables the separation, identification, and purification of the components of a mixture for qualitative and quantitative analysis. Proteins can be purified based on characteristics such as size and shape, total charge, hydrophobic groups present on the surface, and binding capacity with the stationary phase. Four separation techniques based on molecular characteristics and interaction type use mechanisms of ion exchange, surface adsorption, partition, and size exclusion. Other chromatography techniques are based on the stationary bed, including column, thin layer, and paper chromatography. Column chromatography is one of the most common methods of protein purification.","author":[{"dropping-particle":"","family":"Coskun","given":"Ozlem","non-dropping-particle":"","parse-names":false,"suffix":""}],"container-title":"Northern Clinics of Istanbul","id":"ITEM-1","issue":"2","issued":{"date-parts":[["2016"]]},"note":"Summary: Review article explaining principles of chromatographic separation and how popular chromatography separation techniques work, namely GC and LC. \nAssessment: Good review explaining how certain methods work -- can be cited to compare GC vs. LC because this article explains how they work and basics with their methods (e.g., GC requires a heated vaporization to work, so GC is better for volatile, thermally stable compounds compared to LC)","page":"156-160","title":"Separation Techniques: Chromatography","type":"article-journal","volume":"3"},"uris":["http://www.mendeley.com/documents/?uuid=66dce347-77d1-4189-a516-31b3b16f50ac"]}],"mendeley":{"formattedCitation":"&lt;sup&gt;19&lt;/sup&gt;","plainTextFormattedCitation":"19","previouslyFormattedCitation":"&lt;sup&gt;19&lt;/sup&gt;"},"properties":{"noteIndex":0},"schema":"https://github.com/citation-style-language/schema/raw/master/csl-citation.json"}</w:instrText>
      </w:r>
      <w:r w:rsidR="001E7B9C" w:rsidRPr="00901194">
        <w:rPr>
          <w:rFonts w:cs="Times New Roman"/>
          <w:szCs w:val="24"/>
        </w:rPr>
        <w:fldChar w:fldCharType="separate"/>
      </w:r>
      <w:r w:rsidR="00AB5632" w:rsidRPr="00901194">
        <w:rPr>
          <w:rFonts w:cs="Times New Roman"/>
          <w:noProof/>
          <w:szCs w:val="24"/>
          <w:vertAlign w:val="superscript"/>
        </w:rPr>
        <w:t>19</w:t>
      </w:r>
      <w:r w:rsidR="001E7B9C" w:rsidRPr="00901194">
        <w:rPr>
          <w:rFonts w:cs="Times New Roman"/>
          <w:szCs w:val="24"/>
        </w:rPr>
        <w:fldChar w:fldCharType="end"/>
      </w:r>
      <w:r w:rsidR="001E7B9C" w:rsidRPr="00901194">
        <w:rPr>
          <w:rFonts w:cs="Times New Roman"/>
          <w:szCs w:val="24"/>
        </w:rPr>
        <w:t>, especially for anthropology</w:t>
      </w:r>
      <w:r w:rsidR="00331AA8" w:rsidRPr="00901194">
        <w:rPr>
          <w:rFonts w:cs="Times New Roman"/>
          <w:szCs w:val="24"/>
        </w:rPr>
        <w:fldChar w:fldCharType="begin" w:fldLock="1"/>
      </w:r>
      <w:r w:rsidR="000A1931" w:rsidRPr="00901194">
        <w:rPr>
          <w:rFonts w:cs="Times New Roman"/>
          <w:szCs w:val="24"/>
        </w:rPr>
        <w:instrText>ADDIN CSL_CITATION {"citationItems":[{"id":"ITEM-1","itemData":{"DOI":"10.1039/c8an01288a","ISSN":"13645528","PMID":"30168542","abstract":"In Ancient Egypt it was common practice to embalm corpses and specific internal organs to ensure eternal life. The exact nature of the employed embalming fluids, particularly for organ preservation within the canopic jars, is debated. Therefore, the aim of the current study, was to chemically characterize and differentiate canopic jars (n = 28) and mummies (n = 6) using gas chromatography-high resolution mass spectrometry (GC-HR MS) with a new untargeted metabolomics-like screening approach; as part of a larger minimal-invasive transdisciplinary study on Ancient Egyptian human tissues. Post-analytical data processing included deconvolution, screening against the NIST 14 spectral database as well as a high resolution metabolomics library, and positive peak evaluation. In the majority of samples the presence of a coniferous resin was indicated by the detection of longiborneol in combination with abietadiene acid derivatives and guajacol. Beeswax, proposedly used for symbolic reasons and/or as a binding agent, was detected in 10 samples. Previously not mentioned in the literature, but identified in the current sample set, were medical-related substances like aniseed constituents, salicylic acid, chamazulene and jacobine. By applying an untargeted metabolomics-like approach to archaeological samples for the first time, extensive statistical analysis was made possible (using both identified and non-identified features; adding up to 4381 features), which showed significant differences in the overall chemical composition of canopic jar and mummy samples using principle component analysis (PCA) and partial least square-discriminant analysis (PLS-DA). This emphasizes the necessity for more extensive canopic jar studies in the future in order to interpret findings correctly.","author":[{"dropping-particle":"","family":"Brockbals","given":"Lana","non-dropping-particle":"","parse-names":false,"suffix":""},{"dropping-particle":"","family":"Habicht","given":"Michael","non-dropping-particle":"","parse-names":false,"suffix":""},{"dropping-particle":"","family":"Hajdas","given":"Irka","non-dropping-particle":"","parse-names":false,"suffix":""},{"dropping-particle":"","family":"Galassi","given":"Francesco M.","non-dropping-particle":"","parse-names":false,"suffix":""},{"dropping-particle":"","family":"Rühli","given":"Frank J.","non-dropping-particle":"","parse-names":false,"suffix":""},{"dropping-particle":"","family":"Kraemer","given":"Thomas","non-dropping-particle":"","parse-names":false,"suffix":""}],"container-title":"Analyst","id":"ITEM-1","issue":"18","issued":{"date-parts":[["2018"]]},"note":"Look into this article later -- they're doing what we are basically\n\nEven call it a metabolomics-like approach\n\n\nCase study using GC-MS to perform untargeted analysis of ancient Egyptian canopic jars and mummies. Low sample sizes, but detected molecules commonly associated with Egyptian embalming (beeswax, terpenoids, fatty acids, etc.) as well as molecules not previously-associated with embalming process (plant biomarkers like mequinol and salicyclic acid).\nGood case study, but unclear about some of their methods -- like confirming annotations with authentic standard.","page":"4503-4512","publisher":"Royal Society of Chemistry","title":"Untargeted metabolomics-like screening approach for chemical characterization and differentiation of canopic jar and mummy samples from Ancient Egypt using GC-high resolution MS","type":"article-journal","volume":"143"},"uris":["http://www.mendeley.com/documents/?uuid=17700788-e98a-477c-b553-d82c94d4648d"]},{"id":"ITEM-2","itemData":{"DOI":"10.1111/j.1475-4754.2008.00446.x","ISBN":"0003-813X","ISSN":"0003813X","PMID":"18787261","abstract":"Organic residue analysis utilizes analytical organic chemical techniques to identify the nature and origins of organic remains that cannot be characterized using traditional techniques of archaeological investigation (because they are either amorphous or invisible). The field is founded upon the principle that the biomolecular, or biochemical, components of organic materials associated with human activity survive in a wide variety of locations and deposits at archaeological sites. The archaeological information contained in organic residues is represented by the biomolecular components of the natural products that contribute to the formation of a given residue. By applying appropriate separation (chromatographic) and identification (mass spectrometric) techniques, the preserved, and altered, biomolecular components of such residues can be revealed. Once identified, the Archaeological Biomarker Concept can be applied, wherein the structure and even isotopic composition(s) of a given biomolecule or suite of biomolecules (the ‘chemical fingerprint’) can be related to the compositions of organisms exploited by humans in the past. As the organic residue field emerges from its pre-paradigmatic phase, and the organic residue revolution gathers pace, the way is open for challenging many long-held archaeological hypotheses and offering new perspectives on the study of human activity in the past.","author":[{"dropping-particle":"","family":"Evershed","given":"R. P.","non-dropping-particle":"","parse-names":false,"suffix":""}],"container-title":"Archaeometry","id":"ITEM-2","issue":"6","issued":{"date-parts":[["2008"]]},"note":"Good review of residue analysis\n\nCovers different sample types/materials and the common biomarkers and chemical classes associated w/ these different materials\n\nReview article discussing archaeological organic residue analysis, focusing on major approaches (biomarker approach and metabolic fingerprinting), molecular preservation, and variations across different archaeological materials/environments. Emphasis the biomarker approach should be driven by specific hypotheses and used to complement other archaeological evidence","page":"895-924","title":"Organic residue analysis in archaeology: The archaeological biomarker revolution","type":"article-journal","volume":"50"},"uris":["http://www.mendeley.com/documents/?uuid=c1e02908-6139-42c6-856d-c0c20d1e6141"]},{"id":"ITEM-3","itemData":{"DOI":"10.1016/j.jas.2012.05.001","ISBN":"0305-4403","ISSN":"10959238","abstract":"The identification of the organic residues preserved in archaeological materials yields good insights into understanding food production, trade and consumption. Wine is one of the most important beverages produced, traded and consumed in the Mediterranean area. Consequently, it is important to identify its presence in ancient materials. Nevertheless, the identification of wine markers is still an object of discussion. We present here the results obtained from analysing different materials using gas chromatography/mass spectrometry (GC/MS), which allowed for the identification of tartaric acid and other markers of wine. The method was first tested on experimental and traditional materials that have been used until recently to store and/or produce wine and was then used for investigating archaeological materials. The experiments also involved the degradation of wine through cooking, drastic heating and burial for seven years. The results from the analysis of ceramic and plaster materials are discussed. The importance of the proposed methodology is that it allows the identification of traces of wine using the same facilities that are usually employed for the study of the organic residues preserved in archaeological samples (GC/MS), with no need for HPLC, LC/MS/MS or THM/GC/MS, thus allowing a larger number of laboratories to detect traces of wine. © 2012 Elsevier Ltd.","author":[{"dropping-particle":"","family":"Pecci","given":"Alessandra","non-dropping-particle":"","parse-names":false,"suffix":""},{"dropping-particle":"","family":"Giorgi","given":"Gianluca","non-dropping-particle":"","parse-names":false,"suffix":""},{"dropping-particle":"","family":"Salvini","given":"Laura","non-dropping-particle":"","parse-names":false,"suffix":""},{"dropping-particle":"","family":"Cau Ontiveros","given":"Miguel Ángel","non-dropping-particle":"","parse-names":false,"suffix":""}],"container-title":"Journal of Archaeological Science","id":"ITEM-3","issue":"1","issued":{"date-parts":[["2013"]]},"note":"Summary: Case study interested in recovering tartaric wine (e.g., wine biomarker) from experimental, traditional, and archaeological materials through GC-MS. Authors were able to recover multiple wine products from their test ceramics, archaeological ceramics, and materials from where wine was produced (e.g., floor, vinegar container, etc.) through GC-MS. Authors report this method as a new way of testing for wine.\nAssessment: Decent case study. Reported methods are detailed and they provide MS chromatograms, but could not find mentions of chemical standards or sample sizes. Plus they also ran samples on different MS instruments on different times, which makes batch effects a concern.\n\n\nDid not run all samples in same MS or at same time\nUnclear about sample sizes","page":"109-115","publisher":"Elsevier Ltd","title":"Identifying wine markers in ceramics and plasters using gas chromatography-mass spectrometry. Experimental and archaeological materials","type":"article-journal","volume":"40"},"uris":["http://www.mendeley.com/documents/?uuid=2e5e5c61-220f-4d22-9208-7a0aad66c31a"]},{"id":"ITEM-4","itemData":{"DOI":"10.1016/j.jas.2021.105397","ISSN":"10959238","abstract":"The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Science","id":"ITEM-4","issue":"August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contexts","type":"article-journal","volume":"132"},"uris":["http://www.mendeley.com/documents/?uuid=7f7e5d88-71b5-4c2b-ae2d-4af2c0c9b628"]},{"id":"ITEM-5","itemData":{"DOI":"10.1002/rcm.5339","ISSN":"09514198","PMID":"22279016","abstract":"Several ancient Mayan vessels from the Kislak Collection of the US Library of Congress were examined for the presence of alkaloids. One of them, a codex-style flask, bears a text that appears to read yo-'OTOT-ti 'u-MAY, spelling y-otoot 'u-may 'the home of its/his/her tobacco'. Samples extracted from this Late Classic period (600 to 900 AD) container were analyzed by gas chromatography/mass spectrometry (GC/MS) and liquid chromatography/mass spectrometry (LC/MS) methods. Nicotine was identified as the major component of the extracts. LC/MS analyses also yielded signals due to nicotine mono-oxides. The identities of the compounds were determined by comparison of the chromatographic and/or mass spectral characteristics with those from standards and literature data. High-resolution high mass accuracy tandem mass spectrometry (MS/MS) spectra of protonated nicotine and nicotine mono-oxides were measured to verify and to correct previous product ion assignments. These analyses provided positive evidence for nicotine from a Mayan vessel, indicating it as a likely holder of tobacco leafs. The result of this investigation is the first physical evidence of tobacco from a Mayan container, and only the second example where the vessel content recorded in a Mayan hieroglyphic text has been confirmed directly by chromatography/mass spectrometry trace analysis. Copyright © 2012 John Wiley &amp; Sons, Ltd.","author":[{"dropping-particle":"V.","family":"Zagorevski","given":"Dmitri","non-dropping-particle":"","parse-names":false,"suffix":""},{"dropping-particle":"","family":"Loughmiller-Newman","given":"Jennifer A.","non-dropping-particle":"","parse-names":false,"suffix":""}],"container-title":"Rapid Communications in Mass Spectrometry","id":"ITEM-5","issue":"4","issued":{"date-parts":[["2012"]]},"note":"Summary: Case studying doing both GC-MS and LC-MS/MS of a residue from a Late Classic Mayan vessel, trying to confirm archaeological hypothesis that this vessel was used to house tobacco leaves. Detected nicotine and confirmed its prescence through additional analysies (e.g., testing for its other products) and comparison with standards. \nAssessment: Great case study. Full methods, used standards, provided MS data, and went further than just simply confirming presence to demonstrate they're not seeing a false positive or modern contaminant.","page":"403-411","title":"The detection of nicotine in a Late Mayan period flask by gas chromatography and liquid chromatography mass spectrometry methods","type":"article-journal","volume":"26"},"uris":["http://www.mendeley.com/documents/?uuid=7772f6fb-4e64-48fd-b9c0-714b3ae8bffa"]}],"mendeley":{"formattedCitation":"&lt;sup&gt;20–24&lt;/sup&gt;","plainTextFormattedCitation":"20–24","previouslyFormattedCitation":"&lt;sup&gt;20–24&lt;/sup&gt;"},"properties":{"noteIndex":0},"schema":"https://github.com/citation-style-language/schema/raw/master/csl-citation.json"}</w:instrText>
      </w:r>
      <w:r w:rsidR="00331AA8" w:rsidRPr="00901194">
        <w:rPr>
          <w:rFonts w:cs="Times New Roman"/>
          <w:szCs w:val="24"/>
        </w:rPr>
        <w:fldChar w:fldCharType="separate"/>
      </w:r>
      <w:r w:rsidR="00AB5632" w:rsidRPr="00901194">
        <w:rPr>
          <w:rFonts w:cs="Times New Roman"/>
          <w:noProof/>
          <w:szCs w:val="24"/>
          <w:vertAlign w:val="superscript"/>
        </w:rPr>
        <w:t>20–24</w:t>
      </w:r>
      <w:r w:rsidR="00331AA8" w:rsidRPr="00901194">
        <w:rPr>
          <w:rFonts w:cs="Times New Roman"/>
          <w:szCs w:val="24"/>
        </w:rPr>
        <w:fldChar w:fldCharType="end"/>
      </w:r>
      <w:r w:rsidR="001E7B9C" w:rsidRPr="00901194">
        <w:rPr>
          <w:rFonts w:cs="Times New Roman"/>
          <w:szCs w:val="24"/>
        </w:rPr>
        <w:t xml:space="preserve">. </w:t>
      </w:r>
      <w:r w:rsidR="00282B01" w:rsidRPr="00901194">
        <w:rPr>
          <w:rFonts w:cs="Times New Roman"/>
          <w:szCs w:val="24"/>
        </w:rPr>
        <w:t xml:space="preserve">Chromatographic separation separates sample molecules </w:t>
      </w:r>
      <w:r w:rsidR="00215DA8" w:rsidRPr="00901194">
        <w:rPr>
          <w:rFonts w:cs="Times New Roman"/>
          <w:szCs w:val="24"/>
        </w:rPr>
        <w:t xml:space="preserve">according to their properties by attaching samples to a stationary phase (usually </w:t>
      </w:r>
      <w:r w:rsidR="0030717B" w:rsidRPr="00901194">
        <w:rPr>
          <w:rFonts w:cs="Times New Roman"/>
          <w:szCs w:val="24"/>
        </w:rPr>
        <w:t xml:space="preserve">via </w:t>
      </w:r>
      <w:r w:rsidR="00215DA8" w:rsidRPr="00901194">
        <w:rPr>
          <w:rFonts w:cs="Times New Roman"/>
          <w:szCs w:val="24"/>
        </w:rPr>
        <w:t>a chromatography column) and use a mobile phase to pass samples through the stationary phase</w:t>
      </w:r>
      <w:r w:rsidR="00215DA8" w:rsidRPr="00901194">
        <w:rPr>
          <w:rFonts w:cs="Times New Roman"/>
          <w:szCs w:val="24"/>
        </w:rPr>
        <w:fldChar w:fldCharType="begin" w:fldLock="1"/>
      </w:r>
      <w:r w:rsidR="000A1931" w:rsidRPr="00901194">
        <w:rPr>
          <w:rFonts w:cs="Times New Roman"/>
          <w:szCs w:val="24"/>
        </w:rPr>
        <w:instrText>ADDIN CSL_CITATION {"citationItems":[{"id":"ITEM-1","itemData":{"DOI":"10.14744/nci.2016.32757","ISBN":"2536-4553","ISSN":"21484902","PMID":"28058406","abstract":"Chromatography is an important biophysical technique that enables the separation, identification, and purification of the components of a mixture for qualitative and quantitative analysis. Proteins can be purified based on characteristics such as size and shape, total charge, hydrophobic groups present on the surface, and binding capacity with the stationary phase. Four separation techniques based on molecular characteristics and interaction type use mechanisms of ion exchange, surface adsorption, partition, and size exclusion. Other chromatography techniques are based on the stationary bed, including column, thin layer, and paper chromatography. Column chromatography is one of the most common methods of protein purification.","author":[{"dropping-particle":"","family":"Coskun","given":"Ozlem","non-dropping-particle":"","parse-names":false,"suffix":""}],"container-title":"Northern Clinics of Istanbul","id":"ITEM-1","issue":"2","issued":{"date-parts":[["2016"]]},"note":"Summary: Review article explaining principles of chromatographic separation and how popular chromatography separation techniques work, namely GC and LC. \nAssessment: Good review explaining how certain methods work -- can be cited to compare GC vs. LC because this article explains how they work and basics with their methods (e.g., GC requires a heated vaporization to work, so GC is better for volatile, thermally stable compounds compared to LC)","page":"156-160","title":"Separation Techniques: Chromatography","type":"article-journal","volume":"3"},"uris":["http://www.mendeley.com/documents/?uuid=66dce347-77d1-4189-a516-31b3b16f50ac"]},{"id":"ITEM-2","itemData":{"author":[{"dropping-particle":"","family":"Greaves","given":"John","non-dropping-particle":"","parse-names":false,"suffix":""},{"dropping-particle":"","family":"Roboz","given":"John","non-dropping-particle":"","parse-names":false,"suffix":""}],"id":"ITEM-2","issued":{"date-parts":[["2014"]]},"publisher":"CRC Press","publisher-place":"Boca Raton, FL","title":"Mass Spectrometry for the Novice","type":"book"},"uris":["http://www.mendeley.com/documents/?uuid=619eca22-da33-4008-a7cd-52340a8694c3"]}],"mendeley":{"formattedCitation":"&lt;sup&gt;15,19&lt;/sup&gt;","plainTextFormattedCitation":"15,19","previouslyFormattedCitation":"&lt;sup&gt;15,19&lt;/sup&gt;"},"properties":{"noteIndex":0},"schema":"https://github.com/citation-style-language/schema/raw/master/csl-citation.json"}</w:instrText>
      </w:r>
      <w:r w:rsidR="00215DA8" w:rsidRPr="00901194">
        <w:rPr>
          <w:rFonts w:cs="Times New Roman"/>
          <w:szCs w:val="24"/>
        </w:rPr>
        <w:fldChar w:fldCharType="separate"/>
      </w:r>
      <w:r w:rsidR="00AB5632" w:rsidRPr="00901194">
        <w:rPr>
          <w:rFonts w:cs="Times New Roman"/>
          <w:noProof/>
          <w:szCs w:val="24"/>
          <w:vertAlign w:val="superscript"/>
        </w:rPr>
        <w:t>15,19</w:t>
      </w:r>
      <w:r w:rsidR="00215DA8" w:rsidRPr="00901194">
        <w:rPr>
          <w:rFonts w:cs="Times New Roman"/>
          <w:szCs w:val="24"/>
        </w:rPr>
        <w:fldChar w:fldCharType="end"/>
      </w:r>
      <w:r w:rsidR="00215DA8" w:rsidRPr="00901194">
        <w:rPr>
          <w:rFonts w:cs="Times New Roman"/>
          <w:szCs w:val="24"/>
        </w:rPr>
        <w:t>.</w:t>
      </w:r>
      <w:r w:rsidR="009A500E" w:rsidRPr="00901194">
        <w:rPr>
          <w:rFonts w:cs="Times New Roman"/>
          <w:szCs w:val="24"/>
        </w:rPr>
        <w:t xml:space="preserve"> Molecules will pass through these phases differently, according to factors like matrix composition, molecular weight, absorption </w:t>
      </w:r>
      <w:r w:rsidR="005946A1" w:rsidRPr="00901194">
        <w:rPr>
          <w:rFonts w:cs="Times New Roman"/>
          <w:szCs w:val="24"/>
        </w:rPr>
        <w:t>affinity</w:t>
      </w:r>
      <w:r w:rsidR="009A500E" w:rsidRPr="00901194">
        <w:rPr>
          <w:rFonts w:cs="Times New Roman"/>
          <w:szCs w:val="24"/>
        </w:rPr>
        <w:t>, and more</w:t>
      </w:r>
      <w:r w:rsidR="009A500E" w:rsidRPr="00901194">
        <w:rPr>
          <w:rFonts w:cs="Times New Roman"/>
          <w:szCs w:val="24"/>
        </w:rPr>
        <w:fldChar w:fldCharType="begin" w:fldLock="1"/>
      </w:r>
      <w:r w:rsidR="000A1931" w:rsidRPr="00901194">
        <w:rPr>
          <w:rFonts w:cs="Times New Roman"/>
          <w:szCs w:val="24"/>
        </w:rPr>
        <w:instrText>ADDIN CSL_CITATION {"citationItems":[{"id":"ITEM-1","itemData":{"DOI":"10.14744/nci.2016.32757","ISBN":"2536-4553","ISSN":"21484902","PMID":"28058406","abstract":"Chromatography is an important biophysical technique that enables the separation, identification, and purification of the components of a mixture for qualitative and quantitative analysis. Proteins can be purified based on characteristics such as size and shape, total charge, hydrophobic groups present on the surface, and binding capacity with the stationary phase. Four separation techniques based on molecular characteristics and interaction type use mechanisms of ion exchange, surface adsorption, partition, and size exclusion. Other chromatography techniques are based on the stationary bed, including column, thin layer, and paper chromatography. Column chromatography is one of the most common methods of protein purification.","author":[{"dropping-particle":"","family":"Coskun","given":"Ozlem","non-dropping-particle":"","parse-names":false,"suffix":""}],"container-title":"Northern Clinics of Istanbul","id":"ITEM-1","issue":"2","issued":{"date-parts":[["2016"]]},"note":"Summary: Review article explaining principles of chromatographic separation and how popular chromatography separation techniques work, namely GC and LC. \nAssessment: Good review explaining how certain methods work -- can be cited to compare GC vs. LC because this article explains how they work and basics with their methods (e.g., GC requires a heated vaporization to work, so GC is better for volatile, thermally stable compounds compared to LC)","page":"156-160","title":"Separation Techniques: Chromatography","type":"article-journal","volume":"3"},"uris":["http://www.mendeley.com/documents/?uuid=66dce347-77d1-4189-a516-31b3b16f50ac"]}],"mendeley":{"formattedCitation":"&lt;sup&gt;19&lt;/sup&gt;","plainTextFormattedCitation":"19","previouslyFormattedCitation":"&lt;sup&gt;19&lt;/sup&gt;"},"properties":{"noteIndex":0},"schema":"https://github.com/citation-style-language/schema/raw/master/csl-citation.json"}</w:instrText>
      </w:r>
      <w:r w:rsidR="009A500E" w:rsidRPr="00901194">
        <w:rPr>
          <w:rFonts w:cs="Times New Roman"/>
          <w:szCs w:val="24"/>
        </w:rPr>
        <w:fldChar w:fldCharType="separate"/>
      </w:r>
      <w:r w:rsidR="00AB5632" w:rsidRPr="00901194">
        <w:rPr>
          <w:rFonts w:cs="Times New Roman"/>
          <w:noProof/>
          <w:szCs w:val="24"/>
          <w:vertAlign w:val="superscript"/>
        </w:rPr>
        <w:t>19</w:t>
      </w:r>
      <w:r w:rsidR="009A500E" w:rsidRPr="00901194">
        <w:rPr>
          <w:rFonts w:cs="Times New Roman"/>
          <w:szCs w:val="24"/>
        </w:rPr>
        <w:fldChar w:fldCharType="end"/>
      </w:r>
      <w:r w:rsidR="009A500E" w:rsidRPr="00901194">
        <w:rPr>
          <w:rFonts w:cs="Times New Roman"/>
          <w:szCs w:val="24"/>
        </w:rPr>
        <w:t>.</w:t>
      </w:r>
      <w:r w:rsidR="005946A1" w:rsidRPr="00901194">
        <w:rPr>
          <w:rFonts w:cs="Times New Roman"/>
          <w:szCs w:val="24"/>
        </w:rPr>
        <w:t xml:space="preserve"> </w:t>
      </w:r>
      <w:r w:rsidR="00022165" w:rsidRPr="00901194">
        <w:rPr>
          <w:rFonts w:cs="Times New Roman"/>
          <w:szCs w:val="24"/>
        </w:rPr>
        <w:t>GC and LC primarily differ based on the state of mobile phase used, with GC using a gas and LC using a liquid mobile phase</w:t>
      </w:r>
      <w:r w:rsidR="00022165" w:rsidRPr="00901194">
        <w:rPr>
          <w:rFonts w:cs="Times New Roman"/>
          <w:szCs w:val="24"/>
        </w:rPr>
        <w:fldChar w:fldCharType="begin" w:fldLock="1"/>
      </w:r>
      <w:r w:rsidR="000A1931" w:rsidRPr="00901194">
        <w:rPr>
          <w:rFonts w:cs="Times New Roman"/>
          <w:szCs w:val="24"/>
        </w:rPr>
        <w:instrText>ADDIN CSL_CITATION {"citationItems":[{"id":"ITEM-1","itemData":{"author":[{"dropping-particle":"","family":"Greaves","given":"John","non-dropping-particle":"","parse-names":false,"suffix":""},{"dropping-particle":"","family":"Roboz","given":"John","non-dropping-particle":"","parse-names":false,"suffix":""}],"id":"ITEM-1","issued":{"date-parts":[["2014"]]},"publisher":"CRC Press","publisher-place":"Boca Raton, FL","title":"Mass Spectrometry for the Novice","type":"book"},"uris":["http://www.mendeley.com/documents/?uuid=619eca22-da33-4008-a7cd-52340a8694c3"]},{"id":"ITEM-2","itemData":{"DOI":"10.14744/nci.2016.32757","ISBN":"2536-4553","ISSN":"21484902","PMID":"28058406","abstract":"Chromatography is an important biophysical technique that enables the separation, identification, and purification of the components of a mixture for qualitative and quantitative analysis. Proteins can be purified based on characteristics such as size and shape, total charge, hydrophobic groups present on the surface, and binding capacity with the stationary phase. Four separation techniques based on molecular characteristics and interaction type use mechanisms of ion exchange, surface adsorption, partition, and size exclusion. Other chromatography techniques are based on the stationary bed, including column, thin layer, and paper chromatography. Column chromatography is one of the most common methods of protein purification.","author":[{"dropping-particle":"","family":"Coskun","given":"Ozlem","non-dropping-particle":"","parse-names":false,"suffix":""}],"container-title":"Northern Clinics of Istanbul","id":"ITEM-2","issue":"2","issued":{"date-parts":[["2016"]]},"note":"Summary: Review article explaining principles of chromatographic separation and how popular chromatography separation techniques work, namely GC and LC. \nAssessment: Good review explaining how certain methods work -- can be cited to compare GC vs. LC because this article explains how they work and basics with their methods (e.g., GC requires a heated vaporization to work, so GC is better for volatile, thermally stable compounds compared to LC)","page":"156-160","title":"Separation Techniques: Chromatography","type":"article-journal","volume":"3"},"uris":["http://www.mendeley.com/documents/?uuid=66dce347-77d1-4189-a516-31b3b16f50ac"]}],"mendeley":{"formattedCitation":"&lt;sup&gt;15,19&lt;/sup&gt;","plainTextFormattedCitation":"15,19","previouslyFormattedCitation":"&lt;sup&gt;15,19&lt;/sup&gt;"},"properties":{"noteIndex":0},"schema":"https://github.com/citation-style-language/schema/raw/master/csl-citation.json"}</w:instrText>
      </w:r>
      <w:r w:rsidR="00022165" w:rsidRPr="00901194">
        <w:rPr>
          <w:rFonts w:cs="Times New Roman"/>
          <w:szCs w:val="24"/>
        </w:rPr>
        <w:fldChar w:fldCharType="separate"/>
      </w:r>
      <w:r w:rsidR="00AB5632" w:rsidRPr="00901194">
        <w:rPr>
          <w:rFonts w:cs="Times New Roman"/>
          <w:noProof/>
          <w:szCs w:val="24"/>
          <w:vertAlign w:val="superscript"/>
        </w:rPr>
        <w:t>15,19</w:t>
      </w:r>
      <w:r w:rsidR="00022165" w:rsidRPr="00901194">
        <w:rPr>
          <w:rFonts w:cs="Times New Roman"/>
          <w:szCs w:val="24"/>
        </w:rPr>
        <w:fldChar w:fldCharType="end"/>
      </w:r>
      <w:r w:rsidR="00022165" w:rsidRPr="00901194">
        <w:rPr>
          <w:rFonts w:cs="Times New Roman"/>
          <w:szCs w:val="24"/>
        </w:rPr>
        <w:t>. Another difference between GC and LC is that GC vaporizes sample molecules for the mobile phase to interact, whereas LC needs no vaporization</w:t>
      </w:r>
      <w:r w:rsidR="00022165" w:rsidRPr="00901194">
        <w:rPr>
          <w:rFonts w:cs="Times New Roman"/>
          <w:szCs w:val="24"/>
        </w:rPr>
        <w:fldChar w:fldCharType="begin" w:fldLock="1"/>
      </w:r>
      <w:r w:rsidR="000A1931" w:rsidRPr="00901194">
        <w:rPr>
          <w:rFonts w:cs="Times New Roman"/>
          <w:szCs w:val="24"/>
        </w:rPr>
        <w:instrText>ADDIN CSL_CITATION {"citationItems":[{"id":"ITEM-1","itemData":{"DOI":"10.14744/nci.2016.32757","ISBN":"2536-4553","ISSN":"21484902","PMID":"28058406","abstract":"Chromatography is an important biophysical technique that enables the separation, identification, and purification of the components of a mixture for qualitative and quantitative analysis. Proteins can be purified based on characteristics such as size and shape, total charge, hydrophobic groups present on the surface, and binding capacity with the stationary phase. Four separation techniques based on molecular characteristics and interaction type use mechanisms of ion exchange, surface adsorption, partition, and size exclusion. Other chromatography techniques are based on the stationary bed, including column, thin layer, and paper chromatography. Column chromatography is one of the most common methods of protein purification.","author":[{"dropping-particle":"","family":"Coskun","given":"Ozlem","non-dropping-particle":"","parse-names":false,"suffix":""}],"container-title":"Northern Clinics of Istanbul","id":"ITEM-1","issue":"2","issued":{"date-parts":[["2016"]]},"note":"Summary: Review article explaining principles of chromatographic separation and how popular chromatography separation techniques work, namely GC and LC. \nAssessment: Good review explaining how certain methods work -- can be cited to compare GC vs. LC because this article explains how they work and basics with their methods (e.g., GC requires a heated vaporization to work, so GC is better for volatile, thermally stable compounds compared to LC)","page":"156-160","title":"Separation Techniques: Chromatography","type":"article-journal","volume":"3"},"uris":["http://www.mendeley.com/documents/?uuid=66dce347-77d1-4189-a516-31b3b16f50ac"]},{"id":"ITEM-2","itemData":{"author":[{"dropping-particle":"","family":"Greaves","given":"John","non-dropping-particle":"","parse-names":false,"suffix":""},{"dropping-particle":"","family":"Roboz","given":"John","non-dropping-particle":"","parse-names":false,"suffix":""}],"id":"ITEM-2","issued":{"date-parts":[["2014"]]},"publisher":"CRC Press","publisher-place":"Boca Raton, FL","title":"Mass Spectrometry for the Novice","type":"book"},"uris":["http://www.mendeley.com/documents/?uuid=619eca22-da33-4008-a7cd-52340a8694c3"]}],"mendeley":{"formattedCitation":"&lt;sup&gt;15,19&lt;/sup&gt;","plainTextFormattedCitation":"15,19","previouslyFormattedCitation":"&lt;sup&gt;15,19&lt;/sup&gt;"},"properties":{"noteIndex":0},"schema":"https://github.com/citation-style-language/schema/raw/master/csl-citation.json"}</w:instrText>
      </w:r>
      <w:r w:rsidR="00022165" w:rsidRPr="00901194">
        <w:rPr>
          <w:rFonts w:cs="Times New Roman"/>
          <w:szCs w:val="24"/>
        </w:rPr>
        <w:fldChar w:fldCharType="separate"/>
      </w:r>
      <w:r w:rsidR="00AB5632" w:rsidRPr="00901194">
        <w:rPr>
          <w:rFonts w:cs="Times New Roman"/>
          <w:noProof/>
          <w:szCs w:val="24"/>
          <w:vertAlign w:val="superscript"/>
        </w:rPr>
        <w:t>15,19</w:t>
      </w:r>
      <w:r w:rsidR="00022165" w:rsidRPr="00901194">
        <w:rPr>
          <w:rFonts w:cs="Times New Roman"/>
          <w:szCs w:val="24"/>
        </w:rPr>
        <w:fldChar w:fldCharType="end"/>
      </w:r>
      <w:r w:rsidR="00022165" w:rsidRPr="00901194">
        <w:rPr>
          <w:rFonts w:cs="Times New Roman"/>
          <w:szCs w:val="24"/>
        </w:rPr>
        <w:t>. Stationary phase selection, mobile phase used, vaporizing component (or lack thereof), etc., all influence the types of molecules introduced to the MS instrument. Ultimately, GC works best for thermally stable molecules</w:t>
      </w:r>
      <w:r w:rsidR="000E0759" w:rsidRPr="00901194">
        <w:rPr>
          <w:rFonts w:cs="Times New Roman"/>
          <w:szCs w:val="24"/>
        </w:rPr>
        <w:t>, is biased towards nonpolar molecules,</w:t>
      </w:r>
      <w:r w:rsidR="00022165" w:rsidRPr="00901194">
        <w:rPr>
          <w:rFonts w:cs="Times New Roman"/>
          <w:szCs w:val="24"/>
        </w:rPr>
        <w:t xml:space="preserve"> and generally works well with metabolites up to 600 Da in size, while LC </w:t>
      </w:r>
      <w:r w:rsidR="000E0759" w:rsidRPr="00901194">
        <w:rPr>
          <w:rFonts w:cs="Times New Roman"/>
          <w:szCs w:val="24"/>
        </w:rPr>
        <w:t>is best-suited for thermally volatile</w:t>
      </w:r>
      <w:r w:rsidR="00CC1870" w:rsidRPr="00901194">
        <w:rPr>
          <w:rFonts w:cs="Times New Roman"/>
          <w:szCs w:val="24"/>
        </w:rPr>
        <w:t>, polar molecules up to 1500 Da</w:t>
      </w:r>
      <w:r w:rsidR="00CC1870" w:rsidRPr="00901194">
        <w:rPr>
          <w:rFonts w:cs="Times New Roman"/>
          <w:szCs w:val="24"/>
        </w:rPr>
        <w:fldChar w:fldCharType="begin" w:fldLock="1"/>
      </w:r>
      <w:r w:rsidR="000A1931" w:rsidRPr="00901194">
        <w:rPr>
          <w:rFonts w:cs="Times New Roman"/>
          <w:szCs w:val="24"/>
        </w:rPr>
        <w:instrText>ADDIN CSL_CITATION {"citationItems":[{"id":"ITEM-1","itemData":{"author":[{"dropping-particle":"","family":"Greaves","given":"John","non-dropping-particle":"","parse-names":false,"suffix":""},{"dropping-particle":"","family":"Roboz","given":"John","non-dropping-particle":"","parse-names":false,"suffix":""}],"id":"ITEM-1","issued":{"date-parts":[["2014"]]},"publisher":"CRC Press","publisher-place":"Boca Raton, FL","title":"Mass Spectrometry for the Novice","type":"book"},"uris":["http://www.mendeley.com/documents/?uuid=619eca22-da33-4008-a7cd-52340a8694c3"]},{"id":"ITEM-2","itemData":{"DOI":"10.14744/nci.2016.32757","ISBN":"2536-4553","ISSN":"21484902","PMID":"28058406","abstract":"Chromatography is an important biophysical technique that enables the separation, identification, and purification of the components of a mixture for qualitative and quantitative analysis. Proteins can be purified based on characteristics such as size and shape, total charge, hydrophobic groups present on the surface, and binding capacity with the stationary phase. Four separation techniques based on molecular characteristics and interaction type use mechanisms of ion exchange, surface adsorption, partition, and size exclusion. Other chromatography techniques are based on the stationary bed, including column, thin layer, and paper chromatography. Column chromatography is one of the most common methods of protein purification.","author":[{"dropping-particle":"","family":"Coskun","given":"Ozlem","non-dropping-particle":"","parse-names":false,"suffix":""}],"container-title":"Northern Clinics of Istanbul","id":"ITEM-2","issue":"2","issued":{"date-parts":[["2016"]]},"note":"Summary: Review article explaining principles of chromatographic separation and how popular chromatography separation techniques work, namely GC and LC. \nAssessment: Good review explaining how certain methods work -- can be cited to compare GC vs. LC because this article explains how they work and basics with their methods (e.g., GC requires a heated vaporization to work, so GC is better for volatile, thermally stable compounds compared to LC)","page":"156-160","title":"Separation Techniques: Chromatography","type":"article-journal","volume":"3"},"uris":["http://www.mendeley.com/documents/?uuid=66dce347-77d1-4189-a516-31b3b16f50ac"]}],"mendeley":{"formattedCitation":"&lt;sup&gt;15,19&lt;/sup&gt;","plainTextFormattedCitation":"15,19","previouslyFormattedCitation":"&lt;sup&gt;15,19&lt;/sup&gt;"},"properties":{"noteIndex":0},"schema":"https://github.com/citation-style-language/schema/raw/master/csl-citation.json"}</w:instrText>
      </w:r>
      <w:r w:rsidR="00CC1870" w:rsidRPr="00901194">
        <w:rPr>
          <w:rFonts w:cs="Times New Roman"/>
          <w:szCs w:val="24"/>
        </w:rPr>
        <w:fldChar w:fldCharType="separate"/>
      </w:r>
      <w:r w:rsidR="00AB5632" w:rsidRPr="00901194">
        <w:rPr>
          <w:rFonts w:cs="Times New Roman"/>
          <w:noProof/>
          <w:szCs w:val="24"/>
          <w:vertAlign w:val="superscript"/>
        </w:rPr>
        <w:t>15,19</w:t>
      </w:r>
      <w:r w:rsidR="00CC1870" w:rsidRPr="00901194">
        <w:rPr>
          <w:rFonts w:cs="Times New Roman"/>
          <w:szCs w:val="24"/>
        </w:rPr>
        <w:fldChar w:fldCharType="end"/>
      </w:r>
      <w:r w:rsidR="00CC1870" w:rsidRPr="00901194">
        <w:rPr>
          <w:rFonts w:cs="Times New Roman"/>
          <w:szCs w:val="24"/>
        </w:rPr>
        <w:t xml:space="preserve">. </w:t>
      </w:r>
      <w:r w:rsidR="00F64B64" w:rsidRPr="00901194">
        <w:rPr>
          <w:rFonts w:cs="Times New Roman"/>
          <w:szCs w:val="24"/>
        </w:rPr>
        <w:t>Due to its wider detection thresholds, LC is preferable for untargeted metabolomics</w:t>
      </w:r>
      <w:r w:rsidR="00150ACD" w:rsidRPr="00901194">
        <w:rPr>
          <w:rFonts w:cs="Times New Roman"/>
          <w:szCs w:val="24"/>
        </w:rPr>
        <w:t xml:space="preserve">, but in anthropological literature, </w:t>
      </w:r>
      <w:r w:rsidR="00CC1870" w:rsidRPr="00901194">
        <w:rPr>
          <w:rFonts w:cs="Times New Roman"/>
          <w:szCs w:val="24"/>
        </w:rPr>
        <w:t xml:space="preserve">but GC is more </w:t>
      </w:r>
      <w:r w:rsidR="00CC1870" w:rsidRPr="00901194">
        <w:rPr>
          <w:rFonts w:cs="Times New Roman"/>
          <w:szCs w:val="24"/>
        </w:rPr>
        <w:lastRenderedPageBreak/>
        <w:t xml:space="preserve">common </w:t>
      </w:r>
      <w:r w:rsidR="00150ACD" w:rsidRPr="00901194">
        <w:rPr>
          <w:rFonts w:cs="Times New Roman"/>
          <w:szCs w:val="24"/>
        </w:rPr>
        <w:t>despite its narrower resolution window compared to LC</w:t>
      </w:r>
      <w:r w:rsidR="00FC2FA2" w:rsidRPr="00901194">
        <w:rPr>
          <w:rFonts w:cs="Times New Roman"/>
          <w:szCs w:val="24"/>
        </w:rPr>
        <w:fldChar w:fldCharType="begin" w:fldLock="1"/>
      </w:r>
      <w:r w:rsidR="000A1931" w:rsidRPr="00901194">
        <w:rPr>
          <w:rFonts w:cs="Times New Roman"/>
          <w:szCs w:val="24"/>
        </w:rPr>
        <w:instrText>ADDIN CSL_CITATION {"citationItems":[{"id":"ITEM-1","itemData":{"DOI":"10.1016/j.jas.2021.105397","ISSN":"10959238","abstract":"The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Science","id":"ITEM-1","issue":"August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contexts","type":"article-journal","volume":"132"},"uris":["http://www.mendeley.com/documents/?uuid=7f7e5d88-71b5-4c2b-ae2d-4af2c0c9b628"]},{"id":"ITEM-2","itemData":{"DOI":"10.1016/j.jasrep.2017.06.027","ISSN":"2352409X","abstract":"Transport and storage vessels in Red Lustrous Wheelmade ware (RLWm ware) were traded across a large area of the eastern Mediterranean for approximately 300 years (c. 1500–1200 BCE) during the Late Bronze Age (c.1600–1000 BCE). The extreme consistency of the ceramic, in form, fabric, chemistry and mineralogy, points to a single production source for the ware, which, although no kiln sites have been identified, is generally accepted to have been on Cyprus. The aim of this study was to determine whether organic residues were present in this very fine, dense ware, and to characterise the contents of RLWm ware vessels from different sites, contexts and periods, and of different forms, to improve our understanding of the trade in this ceramic type. To that end, 101 RLWm ware sherds, together with three visible residues, were examined from sites in Turkey, Cyprus, Egypt and Syria. Residues were identified in more than half of the samples, indicating that organic material is absorbed into and preserved in this very fine fabric. Four commodities were identified: fat (probably plant oil), which in four residues was identified further as castor oil; beeswax; bitumen; and Pinaceae spp. resin. The commodities were found alone or, occasionally, one of the latter three was combined with the fat or oil. Fatty material was the only commodity present at all sites and its wide distribution may indicate that generally the vessels were used for a mixture or mixtures based on plant oils, in some cases containing castor oil. It was impossible to determine whether the beeswax, bitumen and resin formed part of this mixture or represented post-firing treatments of the ceramic to make it less porous. The identification of more than one type of residue indicates that RLWm ware vessels did not always contain the same commodity. No significant correlation could be detected between the vessel forms, and the dating of many of the sherds was not precise enough to reveal any variation through time. The type of residue present did vary depending on the geographical location of its final use. Beeswax was, with two exceptions, only present in samples from Turkey, while bitumen was found exclusively in samples from Cypriot sites. The occurrence of at least one example of every commodity in the samples from Cyprus is consistent with the theory that this ware was manufactured on Cyprus, and indicates that the vessels could also have been filled and exported from there. The variation in conten…","author":[{"dropping-particle":"","family":"Steele","given":"V. J.","non-dropping-particle":"","parse-names":false,"suffix":""},{"dropping-particle":"","family":"Stern","given":"B.","non-dropping-particle":"","parse-names":false,"suffix":""}],"container-title":"Journal of Archaeological Science: Reports","id":"ITEM-2","issue":"June","issued":{"date-parts":[["2017"]]},"note":"Summary: Case study using targeted GC-MS and LC-MS on ceramic vessels from Mediterranean Late Bronze Age, trying to find residues and their associations with political and trade relationships. Found condition of the ceramic and storage (i.e., museum collection) greatly influenced residues, but still detected a fat, beeswax, bitumen, and a pine resin. Results reveal that vessels did not share the same use and authors discuss the different implications of their results with other archaeological data\nAssessment: Good case study. Methods seem sound, present their MS data, use standards, and spend time discussing what the residues mean within the greater archaeological contextual data.\n\nGC-MS, and targeted LC-MS\nSee back of actual article for notes\n\nGoal: ID residues, note any residue variation, and determine whether these findings could give information about political/trade relationships in region\n\nWanted to ID wine, commodities (eg: perfume oil/scented oil)\n\n\nPots likely had plant oils\n\nFound fat oils, beeswax, bitumen, and Pinacea spp. resin\n\nGC-MS good for IDing fats and resins --&amp;gt; targeted b/c they wanted to ID wine\n\n101 sherds in Turkey, Cyprus, Egypt, Syria in RLWM. 61 were useful (meaning had organic residue of arch. significance). \n13 in non-RLWm. 11 were useful.","page":"641-657","publisher":"Elsevier","title":"Red Lustrous Wheelmade ware: Analysis of organic residues in Late Bronze Age trade and storage vessels from the eastern Mediterranean","type":"article-journal","volume":"16"},"uris":["http://www.mendeley.com/documents/?uuid=6e51865c-477e-495b-a7e1-da9b7e52d049"]},{"id":"ITEM-3","itemData":{"DOI":"10.1016/J.JAS.2010.01.005","ISSN":"0305-4403","abstract":"The characterization of organic residues found in ceramics objects coming from the Carmine Convent in Siena (Central Italy), probably built in the second half of the 13th century, is described. The nine objects analyzed in this study are pots, casseroles, and lids and they were used as filling material of the vault of one room of the convent. A gas chromatography-mass spectrometry approach has been used to analyze both the chloroform–methanol extracts as well as those obtained owing to alkaline hydrolysis. On the basis of the compounds identified, the ceramic vessels were divided into three groups. One is constituted by vessels that might have been used to cook different kinds of foodstuff (so called “cauldron”), including animals, and in particular ruminants. The second group is formed by a pot whose main use might be as olive oil container. No traces of animal fats has been found in it. The third group is formed by vessels mainly used for containing or boiling water or other substances not rich in fats. In particular, one of them might have been used as a colander or to roast chestnuts, that were a common food during the Middle Age. These results, in conjunction with others obtained by different techniques, contribute to a better understanding of the use of the ceramic vessels found in the Carmine Convent in Siena and on dietary, uses and customs of people living there, and more generally in Tuscany, during the Middle Age.","author":[{"dropping-particle":"","family":"Giorgi","given":"Gianluca","non-dropping-particle":"","parse-names":false,"suffix":""},{"dropping-particle":"","family":"Salvini","given":"Laura","non-dropping-particle":"","parse-names":false,"suffix":""},{"dropping-particle":"","family":"Pecci","given":"Alessandra","non-dropping-particle":"","parse-names":false,"suffix":""}],"container-title":"Journal of Archaeological Science","id":"ITEM-3","issue":"7","issued":{"date-parts":[["2010","7"]]},"note":"GC-MS\n\nCleaned surface of ceramic and drilled hole into ceramic to recover powder\n\n\nSummary: Case study doing GC-MS analysis of 9 ceramic vessels from a Middle Age Tuscany building yard to look dietary practices. Found lipid and fatty acid residues, used these to group vessels into 3 categories: 1. Cooking different foodstuffs; 2. Olive oil container; 3. Containing or boiling water (or low-fat substances).\nAssessment: Okay case study -- provided MS data, but methods were a little lacking. Plus, small sample sizes. Also seemed to assume absence of molecule meant the vessel never contained it; there's issue with their categorization by residue detection","page":"1453-1457","publisher":"Academic Press","title":"The meals in a Tuscan building yard during the Middle Age. Characterization of organic residues in ceramic potsherds","type":"article-journal","volume":"37"},"uris":["http://www.mendeley.com/documents/?uuid=87629b7f-068f-3f36-acc4-f019698a7839"]},{"id":"ITEM-4","itemData":{"DOI":"10.1002/jms","abstract":"A combined gas chromatography-electron ionization (GC-EI), atmospheric pressure chemical ionization (APCI) mass spectrometry (MS) and MS/MS approach has been used for characterizing organic residues of ceramic vessels of different forms and dimensions recovered from a vault of the apse of the 13th century church of Sant’Antimo in Piombino (Central Italy). The artifacts studied in this investigation are pots, jugs, colanders and pans probably used for cooking meals or as food containers. GC-MS has shown the presence of different fatty acids and other nonpolar markers, while APCI ionization proved to be particularly useful in the detection of diterpenoids and diacylglycerols. The data show that some organic markers may be of animal origin, while others are typical constituents or biodegradation products of vegetables. This allows one to propose the main use of these articles as vessels for cooking meat and maybe vegetable broths and soups. As there is no strict correlation between organic markers and shape, form and dimension of the ceramic vessel, it appears that the different objects probably served the same function. Chemical characterization of the organic residues of ceramic vessels, together with all the other archaeological data, contributes to a better understanding of their uses and the customs of people in the Middle Ages in Central Italy. Copyright \u0001 2007 John Wiley &amp; Sons, Ltd.","author":[{"dropping-particle":"","family":"Salvini","given":"Laura","non-dropping-particle":"","parse-names":false,"suffix":""},{"dropping-particle":"","family":"Pecci","given":"Alessandra","non-dropping-particle":"","parse-names":false,"suffix":""},{"dropping-particle":"","family":"Giorgi","given":"Gianluca","non-dropping-particle":"","parse-names":false,"suffix":""}],"container-title":"Journal of Mass Spectrometry","id":"ITEM-4","issued":{"date-parts":[["2008"]]},"note":"GC-MS\nTook residue powder (page 3)","page":"108-115","title":"Cooking activities during the Middle Ages : organic residues in ceramic vessels from the Sant ’ Antimo Church (Piombinoo-Central Italy)","type":"article-journal","volume":"43"},"uris":["http://www.mendeley.com/documents/?uuid=bd2c1724-1f04-4f11-b1f8-0d340203fa58"]},{"id":"ITEM-5","itemData":{"DOI":"10.1111/j.1475-4754.1993.tb01036.x","ISSN":"14754754","abstract":"Organic residue analysis has been performed on 62 reconstructed vessels from a single archaeological site (Rounds, Northamptonshire, U.K.). In order to establish regions of lipid accumulation within a vessel, sherds were sampled from different parts of a vessel, for example base, body and rim, and submitted to lipid extraction procedures. The techniques of high‐temperature gas chromatography (GC) and GC/mass spectrometry (GC/MS) were then used to analyse the sherd lipid extracts. The quantitative results obtained show differential accumulation and preservation of lipid in various parts of the same vessel. This latter observation has serious implications for the sampling of potsherds for organic residue analysis. Furthermore, the amount of absorbed lipid varies quite considerably between vessel types. On this basis, a new method is proposed for classifying vessel use by comparing the concentration of lipid present in different parts of individual vessels. Copyright © 1993, Wiley Blackwell. All rights reserved","author":[{"dropping-particle":"","family":"Charters","given":"S.","non-dropping-particle":"","parse-names":false,"suffix":""},{"dropping-particle":"","family":"Evershed","given":"R.P.","non-dropping-particle":"","parse-names":false,"suffix":""},{"dropping-particle":"","family":"Goad","given":"L.J.","non-dropping-particle":"","parse-names":false,"suffix":""},{"dropping-particle":"","family":"Leyden","given":"A.","non-dropping-particle":"","parse-names":false,"suffix":""}],"container-title":"Archaeometry","id":"ITEM-5","issue":"2","issued":{"date-parts":[["1993"]]},"note":"GC-MS\n\nTargeted GC-MS analysis of potsherds from various vessels to examine lipid concentration on different parts of the vessel. Found associations b/w lipid concentration and distribution in a vessel, and vessel form. Argues this approach can be used to determine vessel use based on lipid residue concentration\nGood case study -- detailed methods and used internal standards. Did not provide raw data, but still good methods for 1993","page":"211-223","title":"Quantification and Distribution of Lipid in Archaeological Ceramics: Implications for Sampling Potsherds for Organic Residue Analysis and the Classification of Vessel Use","type":"article-journal","volume":"35"},"uris":["http://www.mendeley.com/documents/?uuid=dac81e81-32a1-455e-85f0-4c952554400b"]}],"mendeley":{"formattedCitation":"&lt;sup&gt;23,25–28&lt;/sup&gt;","plainTextFormattedCitation":"23,25–28","previouslyFormattedCitation":"&lt;sup&gt;23,25–28&lt;/sup&gt;"},"properties":{"noteIndex":0},"schema":"https://github.com/citation-style-language/schema/raw/master/csl-citation.json"}</w:instrText>
      </w:r>
      <w:r w:rsidR="00FC2FA2" w:rsidRPr="00901194">
        <w:rPr>
          <w:rFonts w:cs="Times New Roman"/>
          <w:szCs w:val="24"/>
        </w:rPr>
        <w:fldChar w:fldCharType="separate"/>
      </w:r>
      <w:r w:rsidR="00AB5632" w:rsidRPr="00901194">
        <w:rPr>
          <w:rFonts w:cs="Times New Roman"/>
          <w:noProof/>
          <w:szCs w:val="24"/>
          <w:vertAlign w:val="superscript"/>
        </w:rPr>
        <w:t>23,25–28</w:t>
      </w:r>
      <w:r w:rsidR="00FC2FA2" w:rsidRPr="00901194">
        <w:rPr>
          <w:rFonts w:cs="Times New Roman"/>
          <w:szCs w:val="24"/>
        </w:rPr>
        <w:fldChar w:fldCharType="end"/>
      </w:r>
      <w:r w:rsidR="00CC1870" w:rsidRPr="00901194">
        <w:rPr>
          <w:rFonts w:cs="Times New Roman"/>
          <w:szCs w:val="24"/>
        </w:rPr>
        <w:t>.</w:t>
      </w:r>
      <w:r w:rsidR="00150ACD" w:rsidRPr="00901194">
        <w:rPr>
          <w:rFonts w:cs="Times New Roman"/>
          <w:szCs w:val="24"/>
        </w:rPr>
        <w:t xml:space="preserve"> Nonetheless, researchers select between these approaches based on their molecules of interest and whether targeted or untargeted analyses </w:t>
      </w:r>
      <w:r w:rsidR="00C12632" w:rsidRPr="00901194">
        <w:rPr>
          <w:rFonts w:cs="Times New Roman"/>
          <w:szCs w:val="24"/>
        </w:rPr>
        <w:t>are employed</w:t>
      </w:r>
      <w:r w:rsidR="00150ACD" w:rsidRPr="00901194">
        <w:rPr>
          <w:rFonts w:cs="Times New Roman"/>
          <w:szCs w:val="24"/>
        </w:rPr>
        <w:t>.</w:t>
      </w:r>
    </w:p>
    <w:p w14:paraId="2B7431D4" w14:textId="204C0389" w:rsidR="0027795B" w:rsidRPr="00901194" w:rsidRDefault="00781FC5" w:rsidP="00CB544F">
      <w:pPr>
        <w:ind w:firstLine="360"/>
        <w:rPr>
          <w:rFonts w:cs="Times New Roman"/>
          <w:szCs w:val="24"/>
        </w:rPr>
      </w:pPr>
      <w:r w:rsidRPr="00901194">
        <w:rPr>
          <w:rFonts w:cs="Times New Roman"/>
          <w:szCs w:val="24"/>
        </w:rPr>
        <w:t>While MS-based metabolomics is relatively new compared to the other major omics fields, it has emerged as a prosperous and distinct field</w:t>
      </w:r>
      <w:r w:rsidR="007B3E0C" w:rsidRPr="00901194">
        <w:rPr>
          <w:rFonts w:cs="Times New Roman"/>
          <w:szCs w:val="24"/>
        </w:rPr>
        <w:t xml:space="preserve"> covering a wide range of topics. </w:t>
      </w:r>
      <w:r w:rsidR="006B4176" w:rsidRPr="00901194">
        <w:rPr>
          <w:rFonts w:cs="Times New Roman"/>
          <w:szCs w:val="24"/>
        </w:rPr>
        <w:t>Common targeted analysis topics</w:t>
      </w:r>
      <w:r w:rsidR="0027795B" w:rsidRPr="00901194">
        <w:rPr>
          <w:rFonts w:cs="Times New Roman"/>
          <w:szCs w:val="24"/>
        </w:rPr>
        <w:t xml:space="preserve"> include drug or natural product discovery</w:t>
      </w:r>
      <w:r w:rsidR="009B071D" w:rsidRPr="00901194">
        <w:rPr>
          <w:rFonts w:cs="Times New Roman"/>
          <w:szCs w:val="24"/>
        </w:rPr>
        <w:fldChar w:fldCharType="begin" w:fldLock="1"/>
      </w:r>
      <w:r w:rsidR="000A1931" w:rsidRPr="00901194">
        <w:rPr>
          <w:rFonts w:cs="Times New Roman"/>
          <w:szCs w:val="24"/>
        </w:rPr>
        <w:instrText>ADDIN CSL_CITATION {"citationItems":[{"id":"ITEM-1","itemData":{"DOI":"10.1038/nrm.2016.25","ISSN":"14710080","PMID":"26979502","abstract":"Metabolomics, which is the profiling of metabolites in biofluids, cells and tissues, is routinely applied as a tool for biomarker discovery. Owing to innovative developments in informatics and analytical technologies, and the integration of orthogonal biological approaches, it is now possible to expand metabolomic analyses to understand the systems-level effects of metabolites. Moreover, because of the inherent sensitivity of metabolomics, subtle alterations in biological pathways can be detected to provide insight into the mechanisms that underlie various physiological conditions and aberrant processes, including diseases.","author":[{"dropping-particle":"","family":"Johnson","given":"Caroline H.","non-dropping-particle":"","parse-names":false,"suffix":""},{"dropping-particle":"","family":"Ivanisevic","given":"Julijana","non-dropping-particle":"","parse-names":false,"suffix":""},{"dropping-particle":"","family":"Siuzdak","given":"Gary","non-dropping-particle":"","parse-names":false,"suffix":""}],"container-title":"Nature Reviews Molecular Cell Biology","id":"ITEM-1","issue":"7","issued":{"date-parts":[["2016"]]},"note":"Good article for metabolomics","page":"451-459","title":"Metabolomics: Beyond biomarkers and towards mechanisms","type":"article-journal","volume":"17"},"uris":["http://www.mendeley.com/documents/?uuid=dc29d9fe-402b-426b-b060-32c214319cbb"]},{"id":"ITEM-2","itemData":{"DOI":"10.1038/s41586-020-2047-9","ISBN":"4158602020479","ISSN":"14764687","PMID":"32103176","abstract":"A mosaic of cross-phylum chemical interactions occurs between all metazoans and their microbiomes. A number of molecular families that are known to be produced by the microbiome have a marked effect on the balance between health and disease1–9. Considering the diversity of the human microbiome (which numbers over 40,000 operational taxonomic units10), the effect of the microbiome on the chemistry of an entire animal remains underexplored. Here we use mass spectrometry informatics and data visualization approaches11–13 to provide an assessment of the effects of the microbiome on the chemistry of an entire mammal by comparing metabolomics data from germ-free and specific-pathogen-free mice. We found that the microbiota affects the chemistry of all organs. This included the amino acid conjugations of host bile acids that were used to produce phenylalanocholic acid, tyrosocholic acid and leucocholic acid, which have not previously been characterized despite extensive research on bile-acid chemistry14. These bile-acid conjugates were also found in humans, and were enriched in patients with inflammatory bowel disease or cystic fibrosis. These compounds agonized the farnesoid X receptor in vitro, and mice gavaged with the compounds showed reduced expression of bile-acid synthesis genes in vivo. Further studies are required to confirm whether these compounds have a physiological role in the host, and whether they contribute to gut diseases that are associated with microbiome dysbiosis.","author":[{"dropping-particle":"","family":"Quinn","given":"Robert A.","non-dropping-particle":"","parse-names":false,"suffix":""},{"dropping-particle":"V.","family":"Melnik","given":"Alexey","non-dropping-particle":"","parse-names":false,"suffix":""},{"dropping-particle":"","family":"Vrbanac","given":"Alison","non-dropping-particle":"","parse-names":false,"suffix":""},{"dropping-particle":"","family":"Fu","given":"Ting","non-dropping-particle":"","parse-names":false,"suffix":""},{"dropping-particle":"","family":"Patras","given":"Kathryn A.","non-dropping-particle":"","parse-names":false,"suffix":""},{"dropping-particle":"","family":"Christy","given":"Mitchell P.","non-dropping-particle":"","parse-names":false,"suffix":""},{"dropping-particle":"","family":"Bodai","given":"Zsolt","non-dropping-particle":"","parse-names":false,"suffix":""},{"dropping-particle":"","family":"Belda-Ferre","given":"Pedro","non-dropping-particle":"","parse-names":false,"suffix":""},{"dropping-particle":"","family":"Tripathi","given":"Anupriya","non-dropping-particle":"","parse-names":false,"suffix":""},{"dropping-particle":"","family":"Chung","given":"Lawton K.","non-dropping-particle":"","parse-names":false,"suffix":""},{"dropping-particle":"","family":"Downes","given":"Michael","non-dropping-particle":"","parse-names":false,"suffix":""},{"dropping-particle":"","family":"Welch","given":"Ryan D.","non-dropping-particle":"","parse-names":false,"suffix":""},{"dropping-particle":"","family":"Quinn","given":"Melissa","non-dropping-particle":"","parse-names":false,"suffix":""},{"dropping-particle":"","family":"Humphrey","given":"Greg","non-dropping-particle":"","parse-names":false,"suffix":""},{"dropping-particle":"","family":"Panitchpakdi","given":"Morgan","non-dropping-particle":"","parse-names":false,"suffix":""},{"dropping-particle":"","family":"Weldon","given":"Kelly C.","non-dropping-particle":"","parse-names":false,"suffix":""},{"dropping-particle":"","family":"Aksenov","given":"Alexander","non-dropping-particle":"","parse-names":false,"suffix":""},{"dropping-particle":"","family":"Silva","given":"Ricardo","non-dropping-particle":"da","parse-names":false,"suffix":""},{"dropping-particle":"","family":"Avila-Pacheco","given":"Julian","non-dropping-particle":"","parse-names":false,"suffix":""},{"dropping-particle":"","family":"Clish","given":"Clary","non-dropping-particle":"","parse-names":false,"suffix":""},{"dropping-particle":"","family":"Bae","given":"Sena","non-dropping-particle":"","parse-names":false,"suffix":""},{"dropping-particle":"","family":"Mallick","given":"Himel","non-dropping-particle":"","parse-names":false,"suffix":""},{"dropping-particle":"","family":"Franzosa","given":"Eric A.","non-dropping-particle":"","parse-names":false,"suffix":""},{"dropping-particle":"","family":"Lloyd-Price","given":"Jason","non-dropping-particle":"","parse-names":false,"suffix":""},{"dropping-particle":"","family":"Bussell","given":"Robert","non-dropping-particle":"","parse-names":false,"suffix":""},{"dropping-particle":"","family":"Thron","given":"Taren","non-dropping-particle":"","parse-names":false,"suffix":""},{"dropping-particle":"","family":"Nelson","given":"Andrew T.","non-dropping-particle":"","parse-names":false,"suffix":""},{"dropping-particle":"","family":"Wang","given":"Mingxun","non-dropping-particle":"","parse-names":false,"suffix":""},{"dropping-particle":"","family":"Leszczynski","given":"Eric","non-dropping-particle":"","parse-names":false,"suffix":""},{"dropping-particle":"","family":"Vargas","given":"Fernando","non-dropping-particle":"","parse-names":false,"suffix":""},{"dropping-particle":"","family":"Gauglitz","given":"Julia M.","non-dropping-particle":"","parse-names":false,"suffix":""},{"dropping-particle":"","family":"Meehan","given":"Michael J.","non-dropping-particle":"","parse-names":false,"suffix":""},{"dropping-particle":"","family":"Gentry","given":"Emily","non-dropping-particle":"","parse-names":false,"suffix":""},{"dropping-particle":"","family":"Arthur","given":"Timothy D.","non-dropping-particle":"","parse-names":false,"suffix":""},{"dropping-particle":"","family":"Komor","given":"Alexis C.","non-dropping-particle":"","parse-names":false,"suffix":""},{"dropping-particle":"","family":"Poulsen","given":"Orit","non-dropping-particle":"","parse-names":false,"suffix":""},{"dropping-particle":"","family":"Boland","given":"Brigid S.","non-dropping-particle":"","parse-names":false,"suffix":""},{"dropping-particle":"","family":"Chang","given":"John T.","non-dropping-particle":"","parse-names":false,"suffix":""},{"dropping-particle":"","family":"Sandborn","given":"William J.","non-dropping-particle":"","parse-names":false,"suffix":""},{"dropping-particle":"","family":"Lim","given":"Meerana","non-dropping-particle":"","parse-names":false,"suffix":""},{"dropping-particle":"","family":"Garg","given":"Neha","non-dropping-particle":"","parse-names":false,"suffix":""},{"dropping-particle":"","family":"Lumeng","given":"Julie C.","non-dropping-particle":"","parse-names":false,"suffix":""},{"dropping-particle":"","family":"Xavier","given":"Ramnik J.","non-dropping-particle":"","parse-names":false,"suffix":""},{"dropping-particle":"","family":"Kazmierczak","given":"Barbara I.","non-dropping-particle":"","parse-names":false,"suffix":""},{"dropping-particle":"","family":"Jain","given":"Ruchi","non-dropping-particle":"","parse-names":false,"suffix":""},{"dropping-particle":"","family":"Egan","given":"Marie","non-dropping-particle":"","parse-names":false,"suffix":""},{"dropping-particle":"","family":"Rhee","given":"Kyung E.","non-dropping-particle":"","parse-names":false,"suffix":""},{"dropping-particle":"","family":"Ferguson","given":"David","non-dropping-particle":"","parse-names":false,"suffix":""},{"dropping-particle":"","family":"Raffatellu","given":"Manuela","non-dropping-particle":"","parse-names":false,"suffix":""},{"dropping-particle":"","family":"Vlamakis","given":"Hera","non-dropping-particle":"","parse-names":false,"suffix":""},{"dropping-particle":"","family":"Haddad","given":"Gabriel G.","non-dropping-particle":"","parse-names":false,"suffix":""},{"dropping-particle":"","family":"Siegel","given":"Dionicio","non-dropping-particle":"","parse-names":false,"suffix":""},{"dropping-particle":"","family":"Huttenhower","given":"Curtis","non-dropping-particle":"","parse-names":false,"suffix":""},{"dropping-particle":"","family":"Mazmanian","given":"Sarkis K.","non-dropping-particle":"","parse-names":false,"suffix":""},{"dropping-particle":"","family":"Evans","given":"Ronald M.","non-dropping-particle":"","parse-names":false,"suffix":""},{"dropping-particle":"","family":"Nizet","given":"Victor","non-dropping-particle":"","parse-names":false,"suffix":""},{"dropping-particle":"","family":"Knight","given":"Rob","non-dropping-particle":"","parse-names":false,"suffix":""},{"dropping-particle":"","family":"Dorrestein","given":"Pieter C.","non-dropping-particle":"","parse-names":false,"suffix":""}],"container-title":"Nature","id":"ITEM-2","issue":"7797","issued":{"date-parts":[["2020"]]},"note":"Conjugated bile acids paper -- critical for ours","page":"123-129","publisher":"Springer US","title":"Global chemical effects of the microbiome include new bile-acid conjugations","type":"article-journal","volume":"579"},"uris":["http://www.mendeley.com/documents/?uuid=e63426d4-0f32-40d5-a3c4-074f017d8998"]},{"id":"ITEM-3","itemData":{"DOI":"10.1021/acs.jafc.1c03015","abstract":"Identification of chemical markers in food additives and dietary supplements is crucial for quantitative assessment and standardization of their quality and efficacy. Arthrospira platensis, formerly Spirulina platensis and known colloquially as spirulina, has been widely investigated for its various biological effects, including anti-inflammation, antihypertension, antioxidant, and antiatherosclerosis. In this study, we utilized an approach involving a combination of bioassay-guided fractionation, synthesis, mass spectral molecular networking, principal component analysis (PCA), and correlation analysis to identify measurable chemical markers in spirulina products that can be used to evaluate the efficacy of commercial products in downregulating the expression level of the proinflammatory cytokines, interleukin-1β (IL-1β), interleukin-6 (IL-6), and tumor necrosis factor α (TNFα). Consequently, we found that the apocarotenoids 3-hydroxy-β-ionone (1) and apo-13-zeaxanthinones (2a/2b) significantly repressed expression of IL-1β (9.5 ± 1.5 and 28.7 ± 0.6%, respectively) and IL-6 (10.1 ± 0.7 and 6.1 ± 0.4%, respectively) at 10 μg/mL (p &lt; 0.05) using RAW 264.7 mouse macrophages. Notably, this is the first report of the isolation of these apocarotenoids from spirulina and their in vitro anti-inflammatory properties. Finally, we propose the use of our approach as a convenient way to establish markers in other dietary supplements.","author":[{"dropping-particle":"","family":"Tan","given":"Karen C","non-dropping-particle":"","parse-names":false,"suffix":""},{"dropping-particle":"","family":"Pham","given":"Tho X","non-dropping-particle":"","parse-names":false,"suffix":""},{"dropping-particle":"","family":"Lee","given":"Yoojin","non-dropping-particle":"","parse-names":false,"suffix":""},{"dropping-particle":"","family":"Lee","given":"Ji-young","non-dropping-particle":"","parse-names":false,"suffix":""},{"dropping-particle":"","family":"Balunas","given":"Marcy J","non-dropping-particle":"","parse-names":false,"suffix":""}],"container-title":"Journal of Agricultural and Food Chemistry","id":"ITEM-3","issue":"43","issued":{"date-parts":[["2021"]]},"page":"12674-12685","title":"Identification of Apocarotenoids as Chemical Markers of In Vitro Anti-In fl ammatory Activity for Spirulina Supplements","type":"article-journal","volume":"69"},"uris":["http://www.mendeley.com/documents/?uuid=1004f104-0f2b-4bb4-8eeb-8d379542f064"]}],"mendeley":{"formattedCitation":"&lt;sup&gt;29–31&lt;/sup&gt;","plainTextFormattedCitation":"29–31","previouslyFormattedCitation":"&lt;sup&gt;29–31&lt;/sup&gt;"},"properties":{"noteIndex":0},"schema":"https://github.com/citation-style-language/schema/raw/master/csl-citation.json"}</w:instrText>
      </w:r>
      <w:r w:rsidR="009B071D" w:rsidRPr="00901194">
        <w:rPr>
          <w:rFonts w:cs="Times New Roman"/>
          <w:szCs w:val="24"/>
        </w:rPr>
        <w:fldChar w:fldCharType="separate"/>
      </w:r>
      <w:r w:rsidR="00AB5632" w:rsidRPr="00901194">
        <w:rPr>
          <w:rFonts w:cs="Times New Roman"/>
          <w:noProof/>
          <w:szCs w:val="24"/>
          <w:vertAlign w:val="superscript"/>
        </w:rPr>
        <w:t>29–31</w:t>
      </w:r>
      <w:r w:rsidR="009B071D" w:rsidRPr="00901194">
        <w:rPr>
          <w:rFonts w:cs="Times New Roman"/>
          <w:szCs w:val="24"/>
        </w:rPr>
        <w:fldChar w:fldCharType="end"/>
      </w:r>
      <w:r w:rsidR="0027795B" w:rsidRPr="00901194">
        <w:rPr>
          <w:rFonts w:cs="Times New Roman"/>
          <w:szCs w:val="24"/>
        </w:rPr>
        <w:t xml:space="preserve"> and exploring metabolic pathways like those involved in drug responses</w:t>
      </w:r>
      <w:r w:rsidR="0027795B" w:rsidRPr="00901194">
        <w:rPr>
          <w:rFonts w:cs="Times New Roman"/>
          <w:szCs w:val="24"/>
        </w:rPr>
        <w:fldChar w:fldCharType="begin" w:fldLock="1"/>
      </w:r>
      <w:r w:rsidR="000A1931" w:rsidRPr="00901194">
        <w:rPr>
          <w:rFonts w:cs="Times New Roman"/>
          <w:szCs w:val="24"/>
        </w:rPr>
        <w:instrText>ADDIN CSL_CITATION {"citationItems":[{"id":"ITEM-1","itemData":{"DOI":"10.1038/nrm3314.Metabolomics","abstract":"Metabolites,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Biol","id":"ITEM-1","issue":"4","issued":{"date-parts":[["2012"]]},"page":"263-269","title":"Metabolomics: the apogee of the omic trilogy","type":"article-journal","volume":"13"},"uris":["http://www.mendeley.com/documents/?uuid=b8c2a6ac-64b9-49e7-a9d8-fae0b880a109"]},{"id":"ITEM-2","itemData":{"DOI":"10.1016/j.chroma.2014.10.091","ISSN":"0021-9673","author":[{"dropping-particle":"","family":"Wolfender","given":"Jean-luc","non-dropping-particle":"","parse-names":false,"suffix":""},{"dropping-particle":"","family":"Marti","given":"Guillaume","non-dropping-particle":"","parse-names":false,"suffix":""},{"dropping-particle":"","family":"Thomas","given":"Aurélien","non-dropping-particle":"","parse-names":false,"suffix":""},{"dropping-particle":"","family":"Bertrand","given":"Samuel","non-dropping-particle":"","parse-names":false,"suffix":""}],"container-title":"Journal of Chromatography A","id":"ITEM-2","issued":{"date-parts":[["2015"]]},"note":"Summary: Review article covering approaches and methods for metabolite analysis of natural products, which has a lot of principles and techniques involved in organic residue analysis. Authors discuss pros and cons of different tactics (targeted vs untargeted), different instrumention (GC vs LC, MS vs NMR, DDA, etc.), how data should be reported (MSI identification levels), etc. \nAssessment: Great review -- useful for citations about different metabolite analysis methods, how the work should be done/reported, etc. Provides more up-to-date info, despite focusing entirely on natural products.\n\nOverview of metabolomic analyses, more or less\n\nA little limited in its application b/c it focuses solely on natural products and discusses methods based on their utility to natural product discovery, but still provides good breakdown of different MS approaches and tools","page":"136-164","publisher":"Elsevier B.V.","title":"Current approaches and challenges for the metabolite profiling of complex natural extracts","type":"article-journal","volume":"1382"},"uris":["http://www.mendeley.com/documents/?uuid=8cff755f-0491-49a4-8b92-665719c74d87"]}],"mendeley":{"formattedCitation":"&lt;sup&gt;1,14&lt;/sup&gt;","plainTextFormattedCitation":"1,14","previouslyFormattedCitation":"&lt;sup&gt;1,14&lt;/sup&gt;"},"properties":{"noteIndex":0},"schema":"https://github.com/citation-style-language/schema/raw/master/csl-citation.json"}</w:instrText>
      </w:r>
      <w:r w:rsidR="0027795B" w:rsidRPr="00901194">
        <w:rPr>
          <w:rFonts w:cs="Times New Roman"/>
          <w:szCs w:val="24"/>
        </w:rPr>
        <w:fldChar w:fldCharType="separate"/>
      </w:r>
      <w:r w:rsidR="00AB5632" w:rsidRPr="00901194">
        <w:rPr>
          <w:rFonts w:cs="Times New Roman"/>
          <w:noProof/>
          <w:szCs w:val="24"/>
          <w:vertAlign w:val="superscript"/>
        </w:rPr>
        <w:t>1,14</w:t>
      </w:r>
      <w:r w:rsidR="0027795B" w:rsidRPr="00901194">
        <w:rPr>
          <w:rFonts w:cs="Times New Roman"/>
          <w:szCs w:val="24"/>
        </w:rPr>
        <w:fldChar w:fldCharType="end"/>
      </w:r>
      <w:r w:rsidR="0027795B" w:rsidRPr="00901194">
        <w:rPr>
          <w:rFonts w:cs="Times New Roman"/>
          <w:szCs w:val="24"/>
        </w:rPr>
        <w:t xml:space="preserve">. </w:t>
      </w:r>
      <w:r w:rsidR="00CD2A53" w:rsidRPr="00901194">
        <w:rPr>
          <w:rFonts w:cs="Times New Roman"/>
          <w:szCs w:val="24"/>
        </w:rPr>
        <w:t xml:space="preserve">Additionally, </w:t>
      </w:r>
      <w:r w:rsidR="0027795B" w:rsidRPr="00901194">
        <w:rPr>
          <w:rFonts w:cs="Times New Roman"/>
          <w:szCs w:val="24"/>
        </w:rPr>
        <w:t xml:space="preserve">untargeted analyses commonly explore </w:t>
      </w:r>
      <w:r w:rsidR="00CD2A53" w:rsidRPr="00901194">
        <w:rPr>
          <w:rFonts w:cs="Times New Roman"/>
          <w:szCs w:val="24"/>
        </w:rPr>
        <w:t>sample spatial components to molecules and metabolomes</w:t>
      </w:r>
      <w:r w:rsidR="0027795B" w:rsidRPr="00901194">
        <w:rPr>
          <w:rFonts w:cs="Times New Roman"/>
          <w:szCs w:val="24"/>
        </w:rPr>
        <w:fldChar w:fldCharType="begin" w:fldLock="1"/>
      </w:r>
      <w:r w:rsidR="000A1931" w:rsidRPr="00901194">
        <w:rPr>
          <w:rFonts w:cs="Times New Roman"/>
          <w:szCs w:val="24"/>
        </w:rPr>
        <w:instrText>ADDIN CSL_CITATION {"citationItems":[{"id":"ITEM-1","itemData":{"DOI":"10.1021/acs.analchem.6b03456","ISSN":"15206882","PMID":"27732780","abstract":"The cars we drive, the homes we live in, the restaurants we visit, and the laboratories and offices we work in are all a part of the modern human habitat. Remarkably, little is known about the diversity of chemicals present in these environments and to what degree molecules from our bodies influence the built environment that surrounds us and vice versa. We therefore set out to visualize the chemical diversity of five built human habitats together with their occupants, to provide a snapshot of the various molecules to which humans are exposed on a daily basis. The molecular inventory was obtained through untargeted liquid chromatography–tandem mass spectrometry (LC–MS/MS) analysis of samples from each human habitat and from the people that occupy those habitats. Mapping MS-derived data onto 3D models of the environments showed that frequently touched surfaces, such as handles (e.g., door, bicycle), resemble the molecular fingerprint of the human skin more closely than other surfaces that are less frequent...","author":[{"dropping-particle":"","family":"Petras","given":"Daniel","non-dropping-particle":"","parse-names":false,"suffix":""},{"dropping-particle":"","family":"Nothias","given":"Louis Félix","non-dropping-particle":"","parse-names":false,"suffix":""},{"dropping-particle":"","family":"Quinn","given":"Robert A.","non-dropping-particle":"","parse-names":false,"suffix":""},{"dropping-particle":"","family":"Alexandrov","given":"Theodore","non-dropping-particle":"","parse-names":false,"suffix":""},{"dropping-particle":"","family":"Bandeira","given":"Nuno","non-dropping-particle":"","parse-names":false,"suffix":""},{"dropping-particle":"","family":"Bouslimani","given":"Amina","non-dropping-particle":"","parse-names":false,"suffix":""},{"dropping-particle":"","family":"Castro-Falcón","given":"Gabriel","non-dropping-particle":"","parse-names":false,"suffix":""},{"dropping-particle":"","family":"Chen","given":"Liangyu","non-dropping-particle":"","parse-names":false,"suffix":""},{"dropping-particle":"","family":"Dang","given":"Tam","non-dropping-particle":"","parse-names":false,"suffix":""},{"dropping-particle":"","family":"Floros","given":"Dimitrios J.","non-dropping-particle":"","parse-names":false,"suffix":""},{"dropping-particle":"","family":"Hook","given":"Vivian","non-dropping-particle":"","parse-names":false,"suffix":""},{"dropping-particle":"","family":"Garg","given":"Neha","non-dropping-particle":"","parse-names":false,"suffix":""},{"dropping-particle":"","family":"Hoffner","given":"Nicole","non-dropping-particle":"","parse-names":false,"suffix":""},{"dropping-particle":"","family":"Jiang","given":"Yike","non-dropping-particle":"","parse-names":false,"suffix":""},{"dropping-particle":"","family":"Kapono","given":"Clifford A.","non-dropping-particle":"","parse-names":false,"suffix":""},{"dropping-particle":"","family":"Koester","given":"Irina","non-dropping-particle":"","parse-names":false,"suffix":""},{"dropping-particle":"","family":"Knight","given":"Rob","non-dropping-particle":"","parse-names":false,"suffix":""},{"dropping-particle":"","family":"Leber","given":"Christopher A.","non-dropping-particle":"","parse-names":false,"suffix":""},{"dropping-particle":"","family":"Ling","given":"Tie Jun","non-dropping-particle":"","parse-names":false,"suffix":""},{"dropping-particle":"","family":"Luzzatto-Knaan","given":"Tal","non-dropping-particle":"","parse-names":false,"suffix":""},{"dropping-particle":"","family":"McCall","given":"Laura Isobel","non-dropping-particle":"","parse-names":false,"suffix":""},{"dropping-particle":"","family":"McGrath","given":"Aaron P.","non-dropping-particle":"","parse-names":false,"suffix":""},{"dropping-particle":"","family":"Meehan","given":"Michael J.","non-dropping-particle":"","parse-names":false,"suffix":""},{"dropping-particle":"","family":"Merritt","given":"Jonathan K.","non-dropping-particle":"","parse-names":false,"suffix":""},{"dropping-particle":"","family":"Mills","given":"Robert H.","non-dropping-particle":"","parse-names":false,"suffix":""},{"dropping-particle":"","family":"Morton","given":"Jamie","non-dropping-particle":"","parse-names":false,"suffix":""},{"dropping-particle":"","family":"Podvin","given":"Sonia","non-dropping-particle":"","parse-names":false,"suffix":""},{"dropping-particle":"","family":"Protsyuk","given":"Ivan","non-dropping-particle":"","parse-names":false,"suffix":""},{"dropping-particle":"","family":"Purdy","given":"Trevor","non-dropping-particle":"","parse-names":false,"suffix":""},{"dropping-particle":"","family":"Satterfield","given":"Kendall","non-dropping-particle":"","parse-names":false,"suffix":""},{"dropping-particle":"","family":"Searles","given":"Stephen","non-dropping-particle":"","parse-names":false,"suffix":""},{"dropping-particle":"","family":"Shah","given":"Sahil","non-dropping-particle":"","parse-names":false,"suffix":""},{"dropping-particle":"","family":"Shires","given":"Sarah","non-dropping-particle":"","parse-names":false,"suffix":""},{"dropping-particle":"","family":"Steffen","given":"Dana","non-dropping-particle":"","parse-names":false,"suffix":""},{"dropping-particle":"","family":"White","given":"Margot","non-dropping-particle":"","parse-names":false,"suffix":""},{"dropping-particle":"","family":"Todoric","given":"Jelena","non-dropping-particle":"","parse-names":false,"suffix":""},{"dropping-particle":"","family":"Tuttle","given":"Robert","non-dropping-particle":"","parse-names":false,"suffix":""},{"dropping-particle":"","family":"Wojnicz","given":"Aneta","non-dropping-particle":"","parse-names":false,"suffix":""},{"dropping-particle":"","family":"Sapp","given":"Valerie","non-dropping-particle":"","parse-names":false,"suffix":""},{"dropping-particle":"","family":"Vargas","given":"Fernando","non-dropping-particle":"","parse-names":false,"suffix":""},{"dropping-particle":"","family":"Yang","given":"Jin","non-dropping-particle":"","parse-names":false,"suffix":""},{"dropping-particle":"","family":"Zhang","given":"Chao","non-dropping-particle":"","parse-names":false,"suffix":""},{"dropping-particle":"","family":"Dorrestein","given":"Pieter C.","non-dropping-particle":"","parse-names":false,"suffix":""}],"container-title":"Analytical Chemistry","id":"ITEM-1","issue":"22","issued":{"date-parts":[["2016"]]},"page":"10775-10784","title":"Mass spectrometry-based visualization of molecules associated with human habitats","type":"article-journal","volume":"88"},"uris":["http://www.mendeley.com/documents/?uuid=d5186d43-807f-4991-ae38-6cd8b0c70775"]},{"id":"ITEM-2","itemData":{"DOI":"10.1016/j.buildenv.2019.106289","ISSN":"03601323","abstract":"Western people now spend close to 90% of their time indoors, one-quarter of which occurs at their place of employment. As such, interactions between employees and the workplace built environment have significant potential impact on employee health and safety. However, the range of workers’ daily chemical exposures is still poorly understood. Likewise, the influence of workers themselves and of worker behavior on the chemical profile of workplace surfaces is still unknown. In this case study, we used untargeted liquid chromatography-tandem mass spectrometry (LC-MS/MS) to compare the chemical signatures of three different university workplaces: scientific research buildings, office buildings, and one mixed-purpose, high-traffic building housing teaching areas, student training laboratories, and offices. Our results identified differential signatures of public building surfaces based on building purpose and occupant behavior, sampling location and surface materials. Detected chemicals include occupant-derived molecules and molecules linked to human behavior such as cleaning products, medication, and food-derived molecules. The latter were particularly common in areas associated with food consumption such as refrigerators, microwaves and garbage cans. We also observed higher chemical diversity on metal surfaces, likely because these represent frequently-touched building areas such as door handles. Overall, these results are helping define the influence of human behavior on the workplace chemical environment and identify workplace daily chemical exposures.","author":[{"dropping-particle":"","family":"McCall","given":"Laura-Isobel","non-dropping-particle":"","parse-names":false,"suffix":""},{"dropping-particle":"","family":"Anderson","given":"Victoria M.","non-dropping-particle":"","parse-names":false,"suffix":""},{"dropping-particle":"","family":"Fogle","given":"Robert S.","non-dropping-particle":"","parse-names":false,"suffix":""},{"dropping-particle":"","family":"Haffner","given":"Jacob J.","non-dropping-particle":"","parse-names":false,"suffix":""},{"dropping-particle":"","family":"Hossain","given":"Ekram","non-dropping-particle":"","parse-names":false,"suffix":""},{"dropping-particle":"","family":"Liu","given":"Renmeng","non-dropping-particle":"","parse-names":false,"suffix":""},{"dropping-particle":"","family":"Ly","given":"Anita H.","non-dropping-particle":"","parse-names":false,"suffix":""},{"dropping-particle":"","family":"Ma","given":"Hongyan","non-dropping-particle":"","parse-names":false,"suffix":""},{"dropping-particle":"","family":"Nadeem","given":"Maham","non-dropping-particle":"","parse-names":false,"suffix":""},{"dropping-particle":"","family":"Yao","given":"Songyuan","non-dropping-particle":"","parse-names":false,"suffix":""}],"container-title":"Building and Environment","id":"ITEM-2","issue":"July","issued":{"date-parts":[["2019"]]},"page":"106289","publisher":"Elsevier","title":"Analysis of university workplace building surfaces reveals usage-specific chemical signatures","type":"article-journal","volume":"162"},"uris":["http://www.mendeley.com/documents/?uuid=fb3605cd-6fd9-4dcb-9db3-be9bcf200dfb"]},{"id":"ITEM-3","itemData":{"DOI":"10.1016/j.chom.2017.10.001","ISSN":"19346069","PMID":"29056429","abstract":"Our understanding of the spatial variation in the chemical and microbial makeup of an entire human organ remains limited, in part due to the size and heterogeneity of human organs and the complexity of the associated metabolome and microbiome. To address this challenge, we developed a workflow to enable the cartography of metabolomic and microbiome data onto a three-dimensional (3D) organ reconstruction built off radiological images. This enabled the direct visualization of the microbial and chemical makeup of a human lung from a cystic fibrosis patient. We detected host-derived molecules, microbial metabolites, medications, and region-specific metabolism of medications and placed it in the context of microbial distributions in the lung. Our tool further created browsable maps of a 3D microbiome/metabolome reconstruction map on a radiological image of a human lung and forms an interactive resource for the scientific community. Garg et al. introduce the technology that enables the volume cartography of the molecules and microbes onto a radiological image such as X-ray or CT scan of human organ. They demonstrate the concept by revealing the chemistry associated with the microbial communities from a cystic fibrosis patient.","author":[{"dropping-particle":"","family":"Garg","given":"Neha","non-dropping-particle":"","parse-names":false,"suffix":""},{"dropping-particle":"","family":"Wang","given":"Mingxun","non-dropping-particle":"","parse-names":false,"suffix":""},{"dropping-particle":"","family":"Hyde","given":"Embriette","non-dropping-particle":"","parse-names":false,"suffix":""},{"dropping-particle":"","family":"Silva","given":"Ricardo R.","non-dropping-particle":"da","parse-names":false,"suffix":""},{"dropping-particle":"V.","family":"Melnik","given":"Alexey","non-dropping-particle":"","parse-names":false,"suffix":""},{"dropping-particle":"","family":"Protsyuk","given":"Ivan","non-dropping-particle":"","parse-names":false,"suffix":""},{"dropping-particle":"","family":"Bouslimani","given":"Amina","non-dropping-particle":"","parse-names":false,"suffix":""},{"dropping-particle":"","family":"Lim","given":"Yan Wei","non-dropping-particle":"","parse-names":false,"suffix":""},{"dropping-particle":"","family":"Wong","given":"Richard","non-dropping-particle":"","parse-names":false,"suffix":""},{"dropping-particle":"","family":"Humphrey","given":"Greg","non-dropping-particle":"","parse-names":false,"suffix":""},{"dropping-particle":"","family":"Ackermann","given":"Gail","non-dropping-particle":"","parse-names":false,"suffix":""},{"dropping-particle":"","family":"Spivey","given":"Timothy","non-dropping-particle":"","parse-names":false,"suffix":""},{"dropping-particle":"","family":"Brouha","given":"Sharon S.","non-dropping-particle":"","parse-names":false,"suffix":""},{"dropping-particle":"","family":"Bandeira","given":"Nuno","non-dropping-particle":"","parse-names":false,"suffix":""},{"dropping-particle":"","family":"Lin","given":"Grace Y.","non-dropping-particle":"","parse-names":false,"suffix":""},{"dropping-particle":"","family":"Rohwer","given":"Forest","non-dropping-particle":"","parse-names":false,"suffix":""},{"dropping-particle":"","family":"Conrad","given":"Douglas J.","non-dropping-particle":"","parse-names":false,"suffix":""},{"dropping-particle":"","family":"Alexandrov","given":"Theodore","non-dropping-particle":"","parse-names":false,"suffix":""},{"dropping-particle":"","family":"Knight","given":"Rob","non-dropping-particle":"","parse-names":false,"suffix":""},{"dropping-particle":"","family":"Dorrestein","given":"Pieter C.","non-dropping-particle":"","parse-names":false,"suffix":""}],"container-title":"Cell Host and Microbe","id":"ITEM-3","issue":"5","issued":{"date-parts":[["2017"]]},"page":"705-716.e4","publisher":"Elsevier Inc.","title":"Three-Dimensional Microbiome and Metabolome Cartography of a Diseased Human Lung","type":"article-journal","volume":"22"},"uris":["http://www.mendeley.com/documents/?uuid=4e193b8f-4cdb-4281-b640-5b179318b550"]}],"mendeley":{"formattedCitation":"&lt;sup&gt;32–34&lt;/sup&gt;","plainTextFormattedCitation":"32–34","previouslyFormattedCitation":"&lt;sup&gt;32–34&lt;/sup&gt;"},"properties":{"noteIndex":0},"schema":"https://github.com/citation-style-language/schema/raw/master/csl-citation.json"}</w:instrText>
      </w:r>
      <w:r w:rsidR="0027795B" w:rsidRPr="00901194">
        <w:rPr>
          <w:rFonts w:cs="Times New Roman"/>
          <w:szCs w:val="24"/>
        </w:rPr>
        <w:fldChar w:fldCharType="separate"/>
      </w:r>
      <w:r w:rsidR="00AB5632" w:rsidRPr="00901194">
        <w:rPr>
          <w:rFonts w:cs="Times New Roman"/>
          <w:noProof/>
          <w:szCs w:val="24"/>
          <w:vertAlign w:val="superscript"/>
        </w:rPr>
        <w:t>32–34</w:t>
      </w:r>
      <w:r w:rsidR="0027795B" w:rsidRPr="00901194">
        <w:rPr>
          <w:rFonts w:cs="Times New Roman"/>
          <w:szCs w:val="24"/>
        </w:rPr>
        <w:fldChar w:fldCharType="end"/>
      </w:r>
      <w:r w:rsidR="0027795B" w:rsidRPr="00901194">
        <w:rPr>
          <w:rFonts w:cs="Times New Roman"/>
          <w:szCs w:val="24"/>
        </w:rPr>
        <w:t>, examine metabolomic responses to stimuli like disease/health responses</w:t>
      </w:r>
      <w:r w:rsidR="00CD2A53" w:rsidRPr="00901194">
        <w:rPr>
          <w:rFonts w:cs="Times New Roman"/>
          <w:szCs w:val="24"/>
        </w:rPr>
        <w:fldChar w:fldCharType="begin" w:fldLock="1"/>
      </w:r>
      <w:r w:rsidR="000A1931" w:rsidRPr="00901194">
        <w:rPr>
          <w:rFonts w:cs="Times New Roman"/>
          <w:szCs w:val="24"/>
        </w:rPr>
        <w:instrText>ADDIN CSL_CITATION {"citationItems":[{"id":"ITEM-1","itemData":{"DOI":"10.1371/journal.pntd.0006344","ISBN":"1111111111","ISSN":"19352735","PMID":"29529084","abstract":"Trypanosoma cruzi parasites are the causative agents of Chagas disease. These parasites infect cardiac and gastrointestinal tissues, leading to local inflammation and tissue damage. Digestive Chagas disease is associated with perturbations in food absorption, intestinal traffic and defecation. However, the impact of T. cruzi infection on the gut microbiota and metabolome have yet to be characterized. In this study, we applied mass spectrometry-based metabolomics and 16S rRNA sequencing to profile infection-associated alterations in fecal bacterial composition and fecal metabolome through the acute-stage and into the chronic stage of infection, in a murine model of Chagas disease. We observed joint microbial and chemical perturbations associated with T. cruzi infection. These included alterations in conjugated linoleic acid (CLA) derivatives and in specific members of families Ruminococcaceae and Lachnospiraceae, as well as alterations in secondary bile acids and members of order Clostridiales. These results highlight the importance of multi-‘omics’ and poly-microbial studies in understanding parasitic diseases in general, and Chagas disease in particular.","author":[{"dropping-particle":"","family":"McCall","given":"Laura Isobel","non-dropping-particle":"","parse-names":false,"suffix":""},{"dropping-particle":"","family":"Tripathi","given":"Anupriya","non-dropping-particle":"","parse-names":false,"suffix":""},{"dropping-particle":"","family":"Vargas","given":"Fernando","non-dropping-particle":"","parse-names":false,"suffix":""},{"dropping-particle":"","family":"Knight","given":"Rob","non-dropping-particle":"","parse-names":false,"suffix":""},{"dropping-particle":"","family":"Dorrestein","given":"Pieter C.","non-dropping-particle":"","parse-names":false,"suffix":""},{"dropping-particle":"","family":"Siqueira-Neto","given":"Jair L.","non-dropping-particle":"","parse-names":false,"suffix":""}],"container-title":"PLoS Neglected Tropical Diseases","id":"ITEM-1","issue":"3","issued":{"date-parts":[["2018"]]},"page":"1-15","title":"Experimental Chagas disease-induced perturbations of the fecal microbiome and metabolome","type":"article-journal","volume":"12"},"uris":["http://www.mendeley.com/documents/?uuid=ac0b721f-c11d-4936-b879-b05b76cd074d"]},{"id":"ITEM-2","itemData":{"author":[{"dropping-particle":"","family":"Dean","given":"Danya A","non-dropping-particle":"","parse-names":false,"suffix":""},{"dropping-particle":"","family":"Haffner","given":"Jacob J","non-dropping-particle":"","parse-names":false,"suffix":""},{"dropping-particle":"","family":"Katemauswa","given":"Mitchelle","non-dropping-particle":"","parse-names":false,"suffix":""},{"dropping-particle":"","family":"McCall","given":"Laura-Isobel","non-dropping-particle":"","parse-names":false,"suffix":""}],"container-title":"Journal of Visualized Experiments","id":"ITEM-2","issued":{"date-parts":[["2022"]]},"title":"Chemical Cartography Approaches to Study Trypanosomatid Infection","type":"article-journal"},"uris":["http://www.mendeley.com/documents/?uuid=2ff12927-6429-47fa-95c5-0cb46ff83ca9"]},{"id":"ITEM-3","itemData":{"DOI":"10.1111/prd.12316.Host-microbe","ISBN":"3902264330","abstract":"</w:instrText>
      </w:r>
      <w:r w:rsidR="000A1931" w:rsidRPr="00901194">
        <w:rPr>
          <w:rFonts w:eastAsia="Microsoft JhengHei" w:cs="Times New Roman"/>
          <w:szCs w:val="24"/>
        </w:rPr>
        <w:instrText>环境中砷与铬暴露对于儿童肾功能的影响</w:instrText>
      </w:r>
      <w:r w:rsidR="000A1931" w:rsidRPr="00901194">
        <w:rPr>
          <w:rFonts w:cs="Times New Roman"/>
          <w:szCs w:val="24"/>
        </w:rPr>
        <w:instrText>","author":[{"dropping-particle":"","family":"Nguyen","given":"Trang","non-dropping-particle":"","parse-names":false,"suffix":""},{"dropping-particle":"","family":"Sedghi","given":"Lea","non-dropping-particle":"","parse-names":false,"suffix":""},{"dropping-particle":"","family":"Ganther","given":"Sean","non-dropping-particle":"","parse-names":false,"suffix":""},{"dropping-particle":"","family":"Malone","given":"Erin","non-dropping-particle":"","parse-names":false,"suffix":""},{"dropping-particle":"","family":"Kamarajan","given":"Pachiyappan","non-dropping-particle":"","parse-names":false,"suffix":""},{"dropping-particle":"","family":"Kapila","given":"Yvonne","non-dropping-particle":"","parse-names":false,"suffix":""}],"container-title":"Physiology &amp; behavior","id":"ITEM-3","issue":"3","issued":{"date-parts":[["2017"]]},"page":"139-148","title":"Host-microbe interactions: Profiles in the transcriptome, the proteome, and the metabolome","type":"article-journal","volume":"176"},"uris":["http://www.mendeley.com/documents/?uuid=c7ae9373-6058-4c73-a135-3ba0b0054a7d"]},{"id":"ITEM-4","itemData":{"DOI":"10.1007/s11306-012-0434-4","ISBN":"10.1007/s11306-012-0434-4","ISSN":"15733882","PMID":"8868813","abstract":"Metabolomics has advanced significantly in the past 10 years with important developments related to hardware, software and methodologies and an increasing complexity of applications. In discovery-based investigations, applying untargeted analytical methods, thousands of metabolites can be detected with no or limited prior knowledge of the metabolite composition of samples. In these cases, metabolite identification is required following data acquisition and processing. Currently, the process of metabolite identification in untargeted metabolomic studies is a significant bottleneck in deriving biological knowledge from metabolomic studies. In this review we highlight the different traditional and emerging tools and strategies applied to identify subsets of metabolites detected in untargeted metabolomic studies applying various mass spectrometry platforms. We indicate the workflows which are routinely applied and highlight the current limitations which need to be overcome to provide efficient, accurate and robust identification of metabolites in untargeted metabolomic studies. These workflows apply to the identification of metabolites, for which the structure can be assigned based on entries in databases, and for those which are not yet stored in databases and which require a de novo structure elucidation.","author":[{"dropping-particle":"","family":"Dunn","given":"Warwick B.","non-dropping-particle":"","parse-names":false,"suffix":""},{"dropping-particle":"","family":"Erban","given":"Alexander","non-dropping-particle":"","parse-names":false,"suffix":""},{"dropping-particle":"","family":"Weber","given":"Ralf J.M.","non-dropping-particle":"","parse-names":false,"suffix":""},{"dropping-particle":"","family":"Creek","given":"Darren J.","non-dropping-particle":"","parse-names":false,"suffix":""},{"dropping-particle":"","family":"Brown","given":"Marie","non-dropping-particle":"","parse-names":false,"suffix":""},{"dropping-particle":"","family":"Breitling","given":"Rainer","non-dropping-particle":"","parse-names":false,"suffix":""},{"dropping-particle":"","family":"Hankemeier","given":"Thomas","non-dropping-particle":"","parse-names":false,"suffix":""},{"dropping-particle":"","family":"Goodacre","given":"Royston","non-dropping-particle":"","parse-names":false,"suffix":""},{"dropping-particle":"","family":"Neumann","given":"Steffen","non-dropping-particle":"","parse-names":false,"suffix":""},{"dropping-particle":"","family":"Kopka","given":"Joachim","non-dropping-particle":"","parse-names":false,"suffix":""},{"dropping-particle":"","family":"Viant","given":"Mark R.","non-dropping-particle":"","parse-names":false,"suffix":""}],"container-title":"Metabolomics","id":"ITEM-4","issue":"SUPPL.1","issued":{"date-parts":[["2013"]]},"page":"44-66","title":"Mass appeal: Metabolite identification in mass spectrometry-focused untargeted metabolomics","type":"article-journal","volume":"9"},"uris":["http://www.mendeley.com/documents/?uuid=a215a8d6-7a73-41a6-b269-0e1e3e3f2676"]}],"mendeley":{"formattedCitation":"&lt;sup&gt;35–38&lt;/sup&gt;","plainTextFormattedCitation":"35–38","previouslyFormattedCitation":"&lt;sup&gt;35–38&lt;/sup&gt;"},"properties":{"noteIndex":0},"schema":"https://github.com/citation-style-language/schema/raw/master/csl-citation.json"}</w:instrText>
      </w:r>
      <w:r w:rsidR="00CD2A53" w:rsidRPr="00901194">
        <w:rPr>
          <w:rFonts w:cs="Times New Roman"/>
          <w:szCs w:val="24"/>
        </w:rPr>
        <w:fldChar w:fldCharType="separate"/>
      </w:r>
      <w:r w:rsidR="00AB5632" w:rsidRPr="00901194">
        <w:rPr>
          <w:rFonts w:cs="Times New Roman"/>
          <w:noProof/>
          <w:szCs w:val="24"/>
          <w:vertAlign w:val="superscript"/>
        </w:rPr>
        <w:t>35–38</w:t>
      </w:r>
      <w:r w:rsidR="00CD2A53" w:rsidRPr="00901194">
        <w:rPr>
          <w:rFonts w:cs="Times New Roman"/>
          <w:szCs w:val="24"/>
        </w:rPr>
        <w:fldChar w:fldCharType="end"/>
      </w:r>
      <w:r w:rsidR="0027795B" w:rsidRPr="00901194">
        <w:rPr>
          <w:rFonts w:cs="Times New Roman"/>
          <w:szCs w:val="24"/>
        </w:rPr>
        <w:t>, or provide chemical inventories of sample materials</w:t>
      </w:r>
      <w:r w:rsidR="0027795B" w:rsidRPr="00901194">
        <w:rPr>
          <w:rFonts w:cs="Times New Roman"/>
          <w:szCs w:val="24"/>
        </w:rPr>
        <w:fldChar w:fldCharType="begin" w:fldLock="1"/>
      </w:r>
      <w:r w:rsidR="000A1931" w:rsidRPr="00901194">
        <w:rPr>
          <w:rFonts w:cs="Times New Roman"/>
          <w:szCs w:val="24"/>
        </w:rPr>
        <w:instrText>ADDIN CSL_CITATION {"citationItems":[{"id":"ITEM-1","itemData":{"DOI":"10.1016/j.foodchem.2019.125290","ISSN":"18737072","PMID":"31404873","abstract":"In our daily lives, we consume foods that have been transported, stored, prepared, cooked, or otherwise processed by ourselves or others. Food storage and preparation have drastic effects on the chemical composition of foods. Untargeted mass spectrometry analysis of food samples has the potential to increase our chemical understanding of these processes by detecting a broad spectrum of chemicals. We performed a time-based analysis of the chemical changes in foods during common preparations, such as fermentation, brewing, and ripening, using untargeted mass spectrometry and molecular networking. The data analysis workflow presented implements an approach to study changes in food chemistry that can reveal global alterations in chemical profiles, identify changes in abundance, as well as identify specific chemicals and their transformation products. The data generated in this study are publicly available, enabling the replication and re-analysis of these data in isolation, and serve as a baseline dataset for future investigations.","author":[{"dropping-particle":"","family":"Gauglitz","given":"Julia M.","non-dropping-particle":"","parse-names":false,"suffix":""},{"dropping-particle":"","family":"Aceves","given":"Christine M.","non-dropping-particle":"","parse-names":false,"suffix":""},{"dropping-particle":"","family":"Aksenov","given":"Alexander A.","non-dropping-particle":"","parse-names":false,"suffix":""},{"dropping-particle":"","family":"Aleti","given":"Gajender","non-dropping-particle":"","parse-names":false,"suffix":""},{"dropping-particle":"","family":"Almaliti","given":"J.","non-dropping-particle":"","parse-names":false,"suffix":""},{"dropping-particle":"","family":"Bouslimani","given":"A.","non-dropping-particle":"","parse-names":false,"suffix":""},{"dropping-particle":"","family":"Brown","given":"Elizabeth A.","non-dropping-particle":"","parse-names":false,"suffix":""},{"dropping-particle":"","family":"Campeau","given":"Anaamika","non-dropping-particle":"","parse-names":false,"suffix":""},{"dropping-particle":"","family":"Caraballo-Rodríguez","given":"Andrés Mauricio","non-dropping-particle":"","parse-names":false,"suffix":""},{"dropping-particle":"","family":"Chaar","given":"Rama","non-dropping-particle":"","parse-names":false,"suffix":""},{"dropping-particle":"","family":"Silva","given":"Ricardo R.","non-dropping-particle":"da","parse-names":false,"suffix":""},{"dropping-particle":"","family":"Demko","given":"Alyssa M.","non-dropping-particle":"","parse-names":false,"suffix":""},{"dropping-particle":"","family":"Ottavio","given":"Francesca","non-dropping-particle":"Di","parse-names":false,"suffix":""},{"dropping-particle":"","family":"Elijah","given":"Emmanuel","non-dropping-particle":"","parse-names":false,"suffix":""},{"dropping-particle":"","family":"Ernst","given":"Madeleine","non-dropping-particle":"","parse-names":false,"suffix":""},{"dropping-particle":"","family":"Ferguson","given":"L. Paige","non-dropping-particle":"","parse-names":false,"suffix":""},{"dropping-particle":"","family":"Holmes","given":"Xavier","non-dropping-particle":"","parse-names":false,"suffix":""},{"dropping-particle":"","family":"Jarmusch","given":"Alan K.","non-dropping-particle":"","parse-names":false,"suffix":""},{"dropping-particle":"","family":"Jiang","given":"Lingjing","non-dropping-particle":"","parse-names":false,"suffix":""},{"dropping-particle":"Bin","family":"Kang","given":"Kyo","non-dropping-particle":"","parse-names":false,"suffix":""},{"dropping-particle":"","family":"Koester","given":"I.","non-dropping-particle":"","parse-names":false,"suffix":""},{"dropping-particle":"","family":"Kwan","given":"B.","non-dropping-particle":"","parse-names":false,"suffix":""},{"dropping-particle":"","family":"Li","given":"Jie","non-dropping-particle":"","parse-names":false,"suffix":""},{"dropping-particle":"","family":"Li","given":"Yueying","non-dropping-particle":"","parse-names":false,"suffix":""},{"dropping-particle":"V.","family":"Melnik","given":"Alexey","non-dropping-particle":"","parse-names":false,"suffix":""},{"dropping-particle":"","family":"Molina-Santiago","given":"Carlos","non-dropping-particle":"","parse-names":false,"suffix":""},{"dropping-particle":"","family":"Ni","given":"B.","non-dropping-particle":"","parse-names":false,"suffix":""},{"dropping-particle":"","family":"Oom","given":"Aaron L.","non-dropping-particle":"","parse-names":false,"suffix":""},{"dropping-particle":"","family":"Panitchpakdi","given":"Morgan W.","non-dropping-particle":"","parse-names":false,"suffix":""},{"dropping-particle":"","family":"Petras","given":"Daniel","non-dropping-particle":"","parse-names":false,"suffix":""},{"dropping-particle":"","family":"Quinn","given":"Robert","non-dropping-particle":"","parse-names":false,"suffix":""},{"dropping-particle":"","family":"Sikora","given":"Nicole","non-dropping-particle":"","parse-names":false,"suffix":""},{"dropping-particle":"","family":"Spengler","given":"Katharina","non-dropping-particle":"","parse-names":false,"suffix":""},{"dropping-particle":"","family":"Teke","given":"B.","non-dropping-particle":"","parse-names":false,"suffix":""},{"dropping-particle":"","family":"Tripathi","given":"Anupriya","non-dropping-particle":"","parse-names":false,"suffix":""},{"dropping-particle":"","family":"Ul-Hasan","given":"S.","non-dropping-particle":"","parse-names":false,"suffix":""},{"dropping-particle":"","family":"Hooft","given":"Justin J.J.","non-dropping-particle":"van der","parse-names":false,"suffix":""},{"dropping-particle":"","family":"Vargas","given":"Fernando","non-dropping-particle":"","parse-names":false,"suffix":""},{"dropping-particle":"","family":"Vrbanac","given":"Alison","non-dropping-particle":"","parse-names":false,"suffix":""},{"dropping-particle":"","family":"Vu","given":"Anthony Q.","non-dropping-particle":"","parse-names":false,"suffix":""},{"dropping-particle":"","family":"Wang","given":"Steven C.","non-dropping-particle":"","parse-names":false,"suffix":""},{"dropping-particle":"","family":"Weldon","given":"K.","non-dropping-particle":"","parse-names":false,"suffix":""},{"dropping-particle":"","family":"Wilson","given":"K.","non-dropping-particle":"","parse-names":false,"suffix":""},{"dropping-particle":"","family":"Wozniak","given":"Jacob M.","non-dropping-particle":"","parse-names":false,"suffix":""},{"dropping-particle":"","family":"Yoon","given":"Michael","non-dropping-particle":"","parse-names":false,"suffix":""},{"dropping-particle":"","family":"Bandeira","given":"Nuno","non-dropping-particle":"","parse-names":false,"suffix":""},{"dropping-particle":"","family":"Dorrestein","given":"Pieter C.","non-dropping-particle":"","parse-names":false,"suffix":""}],"container-title":"Food Chemistry","id":"ITEM-1","issue":"June 2018","issued":{"date-parts":[["2020"]]},"note":"For full methods, see supplemental info\n\n\nMentioned in supplemental: Caffeine was a high-intensity contaminant b/w runs?","page":"125290","publisher":"Elsevier","title":"Untargeted mass spectrometry-based metabolomics approach unveils molecular changes in raw and processed foods and beverages","type":"article-journal","volume":"302"},"uris":["http://www.mendeley.com/documents/?uuid=b1c39a7e-b15e-4a62-928b-72504919df89"]},{"id":"ITEM-2","itemData":{"DOI":"10.1128/msystems.00901-19","ISSN":"2379-5077","abstract":"Lifestyle factors, such as diet, strongly influence the structure, diversity, and composition of the microbiome. While we have witnessed over the last several years a resurgence of interest in fermented foods, no study has specifically explored the effects of their consumption on gut microbiota in large cohorts. To assess whether the consumption of fermented foods is associated with a systematic signal in the gut microbiome and metabolome, we used a multi-omic approach (16S rRNA amplicon sequencing, metagenomic sequencing, and untargeted mass spectrometry) to analyze stool samples from 6,811 individuals from the American Gut Project, including 115 individuals specifically recruited for their frequency of fermented food consumption for a targeted 4-week longitudinal study. We observed subtle but statistically significant differences between consumers and nonconsumers in beta diversity as well as differential taxa between the two groups. We found that the metabolome of fermented food consumers was enriched with conjugated linoleic acid (CLA), a putatively health-promoting molecule. Cross-omic analyses between metagenomic sequencing and mass spectrometry suggest that CLA may be driven by taxa associated with fermented food consumers. Collectively, we found modest yet persistent signatures associated with fermented food consumption that appear present in multiple -omic types which motivate further investigation of how different types of fermented food impact the gut microbiome and overall health. IMPORTANCE Public interest in the effects of fermented food on the human gut microbiome is high, but limited studies have explored the association between fermented food consumption and the gut microbiome in large cohorts. Here, we used a combination of omics-based analyses to study the relationship between the microbiome and fermented food consumption in thousands of people using both cross-sectional and longitudinal data. We found that fermented food consumers have subtle differences in their gut microbiota structure, which is enriched in conjugated linoleic acid, thought to be beneficial. The results suggest that further studies of specific kinds of fermented food and their impacts on the microbiome and health will be useful. ","author":[{"dropping-particle":"","family":"Taylor","given":"Bryn C.","non-dropping-particle":"","parse-names":false,"suffix":""},{"dropping-particle":"","family":"Lejzerowicz","given":"Franck","non-dropping-particle":"","parse-names":false,"suffix":""},{"dropping-particle":"","family":"Poirel","given":"Marion","non-dropping-particle":"","parse-names":false,"suffix":""},{"dropping-particle":"","family":"Shaffer","given":"Justin P.","non-dropping-particle":"","parse-names":false,"suffix":""},{"dropping-particle":"","family":"Jiang","given":"Lingjing","non-dropping-particle":"","parse-names":false,"suffix":""},{"dropping-particle":"","family":"Aksenov","given":"Alexander","non-dropping-particle":"","parse-names":false,"suffix":""},{"dropping-particle":"","family":"Litwin","given":"Nicole","non-dropping-particle":"","parse-names":false,"suffix":""},{"dropping-particle":"","family":"Humphrey","given":"Gregory","non-dropping-particle":"","parse-names":false,"suffix":""},{"dropping-particle":"","family":"Martino","given":"Cameron","non-dropping-particle":"","parse-names":false,"suffix":""},{"dropping-particle":"","family":"Miller-Montgomery","given":"Sandrine","non-dropping-particle":"","parse-names":false,"suffix":""},{"dropping-particle":"","family":"Dorrestein","given":"Pieter C.","non-dropping-particle":"","parse-names":false,"suffix":""},{"dropping-particle":"","family":"Veiga","given":"Patrick","non-dropping-particle":"","parse-names":false,"suffix":""},{"dropping-particle":"","family":"Song","given":"Se Jin","non-dropping-particle":"","parse-names":false,"suffix":""},{"dropping-particle":"","family":"McDonald","given":"Daniel","non-dropping-particle":"","parse-names":false,"suffix":""},{"dropping-particle":"","family":"Derrien","given":"Muriel","non-dropping-particle":"","parse-names":false,"suffix":""},{"dropping-particle":"","family":"Knight","given":"Rob","non-dropping-particle":"","parse-names":false,"suffix":""}],"container-title":"mSystems","id":"ITEM-2","issue":"2","issued":{"date-parts":[["2020"]]},"page":"1-16","title":"Consumption of Fermented Foods Is Associated with Systematic Differences in the Gut Microbiome and Metabolome","type":"article-journal","volume":"5"},"uris":["http://www.mendeley.com/documents/?uuid=1bb503d7-ea0a-49c9-be40-491eecf86d2b"]}],"mendeley":{"formattedCitation":"&lt;sup&gt;39,40&lt;/sup&gt;","plainTextFormattedCitation":"39,40","previouslyFormattedCitation":"&lt;sup&gt;39,40&lt;/sup&gt;"},"properties":{"noteIndex":0},"schema":"https://github.com/citation-style-language/schema/raw/master/csl-citation.json"}</w:instrText>
      </w:r>
      <w:r w:rsidR="0027795B" w:rsidRPr="00901194">
        <w:rPr>
          <w:rFonts w:cs="Times New Roman"/>
          <w:szCs w:val="24"/>
        </w:rPr>
        <w:fldChar w:fldCharType="separate"/>
      </w:r>
      <w:r w:rsidR="00AB5632" w:rsidRPr="00901194">
        <w:rPr>
          <w:rFonts w:cs="Times New Roman"/>
          <w:noProof/>
          <w:szCs w:val="24"/>
          <w:vertAlign w:val="superscript"/>
        </w:rPr>
        <w:t>39,40</w:t>
      </w:r>
      <w:r w:rsidR="0027795B" w:rsidRPr="00901194">
        <w:rPr>
          <w:rFonts w:cs="Times New Roman"/>
          <w:szCs w:val="24"/>
        </w:rPr>
        <w:fldChar w:fldCharType="end"/>
      </w:r>
      <w:r w:rsidR="0027795B" w:rsidRPr="00901194">
        <w:rPr>
          <w:rFonts w:cs="Times New Roman"/>
          <w:szCs w:val="24"/>
        </w:rPr>
        <w:t>.</w:t>
      </w:r>
      <w:r w:rsidR="00CD2A53" w:rsidRPr="00901194">
        <w:rPr>
          <w:rFonts w:cs="Times New Roman"/>
          <w:szCs w:val="24"/>
        </w:rPr>
        <w:t xml:space="preserve"> Beyond the wealth of research topics, metabolomics scholars also developed field standards for generating and reporting MS-based metabolomics data, resulting in the metabolomics standards initiative (MSI)</w:t>
      </w:r>
      <w:r w:rsidR="00CD2A53" w:rsidRPr="00901194">
        <w:rPr>
          <w:rFonts w:cs="Times New Roman"/>
          <w:szCs w:val="24"/>
        </w:rPr>
        <w:fldChar w:fldCharType="begin" w:fldLock="1"/>
      </w:r>
      <w:r w:rsidR="000A1931" w:rsidRPr="00901194">
        <w:rPr>
          <w:rFonts w:cs="Times New Roman"/>
          <w:szCs w:val="24"/>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CD2A53" w:rsidRPr="00901194">
        <w:rPr>
          <w:rFonts w:cs="Times New Roman"/>
          <w:szCs w:val="24"/>
        </w:rPr>
        <w:fldChar w:fldCharType="separate"/>
      </w:r>
      <w:r w:rsidR="00AB5632" w:rsidRPr="00901194">
        <w:rPr>
          <w:rFonts w:cs="Times New Roman"/>
          <w:noProof/>
          <w:szCs w:val="24"/>
          <w:vertAlign w:val="superscript"/>
        </w:rPr>
        <w:t>41</w:t>
      </w:r>
      <w:r w:rsidR="00CD2A53" w:rsidRPr="00901194">
        <w:rPr>
          <w:rFonts w:cs="Times New Roman"/>
          <w:szCs w:val="24"/>
        </w:rPr>
        <w:fldChar w:fldCharType="end"/>
      </w:r>
      <w:r w:rsidR="00CD2A53" w:rsidRPr="00901194">
        <w:rPr>
          <w:rFonts w:cs="Times New Roman"/>
          <w:szCs w:val="24"/>
        </w:rPr>
        <w:t xml:space="preserve">. </w:t>
      </w:r>
      <w:r w:rsidR="00C95DCA" w:rsidRPr="00901194">
        <w:rPr>
          <w:rFonts w:cs="Times New Roman"/>
          <w:szCs w:val="24"/>
        </w:rPr>
        <w:t>The MSI criteria and overall goals aim to maximize the utility of MS data b</w:t>
      </w:r>
      <w:r w:rsidR="00025375" w:rsidRPr="00901194">
        <w:rPr>
          <w:rFonts w:cs="Times New Roman"/>
          <w:szCs w:val="24"/>
        </w:rPr>
        <w:t xml:space="preserve">y </w:t>
      </w:r>
      <w:r w:rsidR="00C95DCA" w:rsidRPr="00901194">
        <w:rPr>
          <w:rFonts w:cs="Times New Roman"/>
          <w:szCs w:val="24"/>
        </w:rPr>
        <w:t xml:space="preserve">encouraging full </w:t>
      </w:r>
      <w:r w:rsidR="0030717B" w:rsidRPr="00901194">
        <w:rPr>
          <w:rFonts w:cs="Times New Roman"/>
          <w:szCs w:val="24"/>
        </w:rPr>
        <w:t>reports</w:t>
      </w:r>
      <w:r w:rsidR="00025375" w:rsidRPr="00901194">
        <w:rPr>
          <w:rFonts w:cs="Times New Roman"/>
          <w:szCs w:val="24"/>
        </w:rPr>
        <w:t xml:space="preserve"> about all </w:t>
      </w:r>
      <w:r w:rsidR="00C95DCA" w:rsidRPr="00901194">
        <w:rPr>
          <w:rFonts w:cs="Times New Roman"/>
          <w:szCs w:val="24"/>
        </w:rPr>
        <w:t xml:space="preserve">details involving metabolite detection, quantification, and identification like </w:t>
      </w:r>
      <w:r w:rsidR="00025375" w:rsidRPr="00901194">
        <w:rPr>
          <w:rFonts w:cs="Times New Roman"/>
          <w:szCs w:val="24"/>
        </w:rPr>
        <w:t xml:space="preserve">laboratory protocols and experiments, sample collection and treatment, </w:t>
      </w:r>
      <w:r w:rsidR="00C95DCA" w:rsidRPr="00901194">
        <w:rPr>
          <w:rFonts w:cs="Times New Roman"/>
          <w:szCs w:val="24"/>
        </w:rPr>
        <w:t xml:space="preserve">MS analysis, and data analysis. One particularly important MSI topic is the levels of criteria for molecular identification, also known as annotation. Briefly, </w:t>
      </w:r>
      <w:r w:rsidR="00CC26D9" w:rsidRPr="00901194">
        <w:rPr>
          <w:rFonts w:cs="Times New Roman"/>
          <w:szCs w:val="24"/>
        </w:rPr>
        <w:t>the MSI authors</w:t>
      </w:r>
      <w:r w:rsidR="00C95DCA" w:rsidRPr="00901194">
        <w:rPr>
          <w:rFonts w:cs="Times New Roman"/>
          <w:szCs w:val="24"/>
        </w:rPr>
        <w:t xml:space="preserve"> discuss four levels of annotation</w:t>
      </w:r>
      <w:r w:rsidR="0029724E" w:rsidRPr="00901194">
        <w:rPr>
          <w:rFonts w:cs="Times New Roman"/>
          <w:szCs w:val="24"/>
        </w:rPr>
        <w:t>, with level four representing lowest-confidence annotations and level one as highest-confidence annotations,</w:t>
      </w:r>
      <w:r w:rsidR="00C95DCA" w:rsidRPr="00901194">
        <w:rPr>
          <w:rFonts w:cs="Times New Roman"/>
          <w:szCs w:val="24"/>
        </w:rPr>
        <w:t xml:space="preserve"> based on how the molecule is identified</w:t>
      </w:r>
      <w:r w:rsidR="00CC26D9" w:rsidRPr="00901194">
        <w:rPr>
          <w:rFonts w:cs="Times New Roman"/>
          <w:szCs w:val="24"/>
        </w:rPr>
        <w:fldChar w:fldCharType="begin" w:fldLock="1"/>
      </w:r>
      <w:r w:rsidR="00E25C7A" w:rsidRPr="00901194">
        <w:rPr>
          <w:rFonts w:cs="Times New Roman"/>
          <w:szCs w:val="24"/>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CC26D9" w:rsidRPr="00901194">
        <w:rPr>
          <w:rFonts w:cs="Times New Roman"/>
          <w:szCs w:val="24"/>
        </w:rPr>
        <w:fldChar w:fldCharType="separate"/>
      </w:r>
      <w:r w:rsidR="00CC26D9" w:rsidRPr="00901194">
        <w:rPr>
          <w:rFonts w:cs="Times New Roman"/>
          <w:noProof/>
          <w:szCs w:val="24"/>
          <w:vertAlign w:val="superscript"/>
        </w:rPr>
        <w:t>41</w:t>
      </w:r>
      <w:r w:rsidR="00CC26D9" w:rsidRPr="00901194">
        <w:rPr>
          <w:rFonts w:cs="Times New Roman"/>
          <w:szCs w:val="24"/>
        </w:rPr>
        <w:fldChar w:fldCharType="end"/>
      </w:r>
      <w:r w:rsidR="00C95DCA" w:rsidRPr="00901194">
        <w:rPr>
          <w:rFonts w:cs="Times New Roman"/>
          <w:szCs w:val="24"/>
        </w:rPr>
        <w:t>: level four: unknown compounds that are differentiated by spectral properties; level three: identified by chemical class or spectral similarity to known chemical classes; level two: annotations based on database library references; and level one: annotations based on matches to authentic chemical standards</w:t>
      </w:r>
      <w:r w:rsidR="00C95DCA" w:rsidRPr="00901194">
        <w:rPr>
          <w:rFonts w:cs="Times New Roman"/>
          <w:szCs w:val="24"/>
        </w:rPr>
        <w:fldChar w:fldCharType="begin" w:fldLock="1"/>
      </w:r>
      <w:r w:rsidR="000A1931" w:rsidRPr="00901194">
        <w:rPr>
          <w:rFonts w:cs="Times New Roman"/>
          <w:szCs w:val="24"/>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C95DCA" w:rsidRPr="00901194">
        <w:rPr>
          <w:rFonts w:cs="Times New Roman"/>
          <w:szCs w:val="24"/>
        </w:rPr>
        <w:fldChar w:fldCharType="separate"/>
      </w:r>
      <w:r w:rsidR="00AB5632" w:rsidRPr="00901194">
        <w:rPr>
          <w:rFonts w:cs="Times New Roman"/>
          <w:noProof/>
          <w:szCs w:val="24"/>
          <w:vertAlign w:val="superscript"/>
        </w:rPr>
        <w:t>41</w:t>
      </w:r>
      <w:r w:rsidR="00C95DCA" w:rsidRPr="00901194">
        <w:rPr>
          <w:rFonts w:cs="Times New Roman"/>
          <w:szCs w:val="24"/>
        </w:rPr>
        <w:fldChar w:fldCharType="end"/>
      </w:r>
      <w:r w:rsidR="00C95DCA" w:rsidRPr="00901194">
        <w:rPr>
          <w:rFonts w:cs="Times New Roman"/>
          <w:szCs w:val="24"/>
        </w:rPr>
        <w:t xml:space="preserve">. The </w:t>
      </w:r>
      <w:r w:rsidR="008D5539" w:rsidRPr="00901194">
        <w:rPr>
          <w:rFonts w:cs="Times New Roman"/>
          <w:szCs w:val="24"/>
        </w:rPr>
        <w:t>MSI guidelines</w:t>
      </w:r>
      <w:r w:rsidR="0030717B" w:rsidRPr="00901194">
        <w:rPr>
          <w:rFonts w:cs="Times New Roman"/>
          <w:szCs w:val="24"/>
        </w:rPr>
        <w:t xml:space="preserve"> </w:t>
      </w:r>
      <w:r w:rsidR="00C95DCA" w:rsidRPr="00901194">
        <w:rPr>
          <w:rFonts w:cs="Times New Roman"/>
          <w:szCs w:val="24"/>
        </w:rPr>
        <w:t>have become the golden standard for conducting MS-based metabolomics studies and defined subsequent MS-based metabolomics research</w:t>
      </w:r>
      <w:r w:rsidR="00CA0338" w:rsidRPr="00901194">
        <w:rPr>
          <w:rFonts w:cs="Times New Roman"/>
          <w:szCs w:val="24"/>
        </w:rPr>
        <w:fldChar w:fldCharType="begin" w:fldLock="1"/>
      </w:r>
      <w:r w:rsidR="000A1931" w:rsidRPr="00901194">
        <w:rPr>
          <w:rFonts w:cs="Times New Roman"/>
          <w:szCs w:val="24"/>
        </w:rPr>
        <w:instrText>ADDIN CSL_CITATION {"citationItems":[{"id":"ITEM-1","itemData":{"DOI":"10.1007/s11306-012-0434-4","ISBN":"10.1007/s11306-012-0434-4","ISSN":"15733882","PMID":"8868813","abstract":"Metabolomics has advanced significantly in the past 10 years with important developments related to hardware, software and methodologies and an increasing complexity of applications. In discovery-based investigations, applying untargeted analytical methods, thousands of metabolites can be detected with no or limited prior knowledge of the metabolite composition of samples. In these cases, metabolite identification is required following data acquisition and processing. Currently, the process of metabolite identification in untargeted metabolomic studies is a significant bottleneck in deriving biological knowledge from metabolomic studies. In this review we highlight the different traditional and emerging tools and strategies applied to identify subsets of metabolites detected in untargeted metabolomic studies applying various mass spectrometry platforms. We indicate the workflows which are routinely applied and highlight the current limitations which need to be overcome to provide efficient, accurate and robust identification of metabolites in untargeted metabolomic studies. These workflows apply to the identification of metabolites, for which the structure can be assigned based on entries in databases, and for those which are not yet stored in databases and which require a de novo structure elucidation.","author":[{"dropping-particle":"","family":"Dunn","given":"Warwick B.","non-dropping-particle":"","parse-names":false,"suffix":""},{"dropping-particle":"","family":"Erban","given":"Alexander","non-dropping-particle":"","parse-names":false,"suffix":""},{"dropping-particle":"","family":"Weber","given":"Ralf J.M.","non-dropping-particle":"","parse-names":false,"suffix":""},{"dropping-particle":"","family":"Creek","given":"Darren J.","non-dropping-particle":"","parse-names":false,"suffix":""},{"dropping-particle":"","family":"Brown","given":"Marie","non-dropping-particle":"","parse-names":false,"suffix":""},{"dropping-particle":"","family":"Breitling","given":"Rainer","non-dropping-particle":"","parse-names":false,"suffix":""},{"dropping-particle":"","family":"Hankemeier","given":"Thomas","non-dropping-particle":"","parse-names":false,"suffix":""},{"dropping-particle":"","family":"Goodacre","given":"Royston","non-dropping-particle":"","parse-names":false,"suffix":""},{"dropping-particle":"","family":"Neumann","given":"Steffen","non-dropping-particle":"","parse-names":false,"suffix":""},{"dropping-particle":"","family":"Kopka","given":"Joachim","non-dropping-particle":"","parse-names":false,"suffix":""},{"dropping-particle":"","family":"Viant","given":"Mark R.","non-dropping-particle":"","parse-names":false,"suffix":""}],"container-title":"Metabolomics","id":"ITEM-1","issue":"SUPPL.1","issued":{"date-parts":[["2013"]]},"page":"44-66","title":"Mass appeal: Metabolite identification in mass spectrometry-focused untargeted metabolomics","type":"article-journal","volume":"9"},"uris":["http://www.mendeley.com/documents/?uuid=a215a8d6-7a73-41a6-b269-0e1e3e3f2676"]},{"id":"ITEM-2","itemData":{"DOI":"10.1016/j.aca.2018.05.031","ISBN":"7804921071","ISSN":"18734324","PMID":"30032758","abstract":"Metabolomic analysis of human biospecimens had progressed quickly over the past decade. Technological and methodological advances have led to the comprehensive characterization of human serum, urine, cerebrospinal fluid and saliva metabolomes, and the creation of freely available metabolome reference databases. Unfortunately, the characterization of the human fecal metabolome still lags behind these other metabolomes in terms of the availability of standardized methods and freely available resources. The purpose of this review is to bring the knowledge of the human fecal metabolome, and the methods to characterize it, to the same level as most other human biofluid metabolomes. More specifically, this review is intended to critically assess the field of fecal metabolomics and to provide a comprehensive review of the current state of knowledge with regard to the protocols, technologies and remaining challenges in fecal metabolite analysis. In addition to providing an overview of fecal metabolomics and some consensus recommendations, we also present the human fecal metabolome database (HFMDB – http://www.fecalmetabolome.ca), a freely available, manually curated resource that currently contains over 6000 identified human fecal metabolites. Each entry in the HFMDB includes extensive chemical information, metabolite descriptions and reference data in the same format as the Human Metabolome Database (HMDB).","author":[{"dropping-particle":"","family":"Karu","given":"Naama","non-dropping-particle":"","parse-names":false,"suffix":""},{"dropping-particle":"","family":"Deng","given":"Lu","non-dropping-particle":"","parse-names":false,"suffix":""},{"dropping-particle":"","family":"Slae","given":"Mordechai","non-dropping-particle":"","parse-names":false,"suffix":""},{"dropping-particle":"","family":"Guo","given":"An Chi","non-dropping-particle":"","parse-names":false,"suffix":""},{"dropping-particle":"","family":"Sajed","given":"Tanvir","non-dropping-particle":"","parse-names":false,"suffix":""},{"dropping-particle":"","family":"Huynh","given":"Hien","non-dropping-particle":"","parse-names":false,"suffix":""},{"dropping-particle":"","family":"Wine","given":"Eytan","non-dropping-particle":"","parse-names":false,"suffix":""},{"dropping-particle":"","family":"Wishart","given":"David S.","non-dropping-particle":"","parse-names":false,"suffix":""}],"container-title":"Analytica Chimica Acta","id":"ITEM-2","issued":{"date-parts":[["2018"]]},"note":"Summary: Reviewing the state of fecal metabolomics as a field, covering major instrumenational analysis techniques (NMR, GC-MS, and LC-MS), methods, sample prep and treatment, etc. Also discusses the HFMDB and its utility to fecal metabolomics by providing a pub database of confirmed fecal metabolites with full info about its physico-structural properties, detection method, associations with health and disease states, etc., to help improve annotation of fecal metabolomes. \nAssessment: For challenges with ancient molecular work, this paper can be cited to broadly discuss methods and challenges with mtbms work in general -- need carefully optimized methods tailored to the specific research questions.","page":"1-24","publisher":"Elsevier Ltd","title":"A review on human fecal metabolomics: Methods, applications and the human fecal metabolome database","type":"article-journal","volume":"1030"},"uris":["http://www.mendeley.com/documents/?uuid=e6d5c5ae-c654-4e81-9800-c25b94291116"]},{"id":"ITEM-3","itemData":{"DOI":"10.1038/s41564-019-0593-4","ISSN":"20585276","abstract":"Urbanization represents a profound shift in human behaviour, and has considerable cultural and health-associated consequences1,2. Here, we investigate chemical and microbial characteristics of houses and their human occupants across an urbanization gradient in the Amazon rainforest, from a remote Peruvian Amerindian village to the Brazilian city of Manaus. Urbanization was found to be associated with reduced microbial outdoor exposure, increased contact with housing materials, antimicrobials and cleaning products, and increased exposure to chemical diversity. The degree of urbanization correlated with changes in the composition of house bacterial and microeukaryotic communities, increased house and skin fungal diversity, and an increase in the relative abundance of human skin-associated fungi and bacteria in houses. Overall, our results indicate that urbanization has large-scale effects on chemical and microbial exposures and on the human microbiota.","author":[{"dropping-particle":"","family":"McCall","given":"Laura Isobel","non-dropping-particle":"","parse-names":false,"suffix":""},{"dropping-particle":"","family":"Callewaert","given":"Chris","non-dropping-particle":"","parse-names":false,"suffix":""},{"dropping-particle":"","family":"Zhu","given":"Qiyun","non-dropping-particle":"","parse-names":false,"suffix":""},{"dropping-particle":"","family":"Song","given":"Se Jin","non-dropping-particle":"","parse-names":false,"suffix":""},{"dropping-particle":"","family":"Bouslimani","given":"Amina","non-dropping-particle":"","parse-names":false,"suffix":""},{"dropping-particle":"","family":"Minich","given":"Jeremiah J.","non-dropping-particle":"","parse-names":false,"suffix":""},{"dropping-particle":"","family":"Ernst","given":"Madeleine","non-dropping-particle":"","parse-names":false,"suffix":""},{"dropping-particle":"","family":"Ruiz-Calderon","given":"Jean F.","non-dropping-particle":"","parse-names":false,"suffix":""},{"dropping-particle":"","family":"Cavallin","given":"Humberto","non-dropping-particle":"","parse-names":false,"suffix":""},{"dropping-particle":"","family":"Pereira","given":"Henrique S.","non-dropping-particle":"","parse-names":false,"suffix":""},{"dropping-particle":"","family":"Novoselac","given":"Atila","non-dropping-particle":"","parse-names":false,"suffix":""},{"dropping-particle":"","family":"Hernandez","given":"Jean","non-dropping-particle":"","parse-names":false,"suffix":""},{"dropping-particle":"","family":"Rios","given":"Rafael","non-dropping-particle":"","parse-names":false,"suffix":""},{"dropping-particle":"","family":"Branch","given":"Ora Lee H.","non-dropping-particle":"","parse-names":false,"suffix":""},{"dropping-particle":"","family":"Blaser","given":"Martin J.","non-dropping-particle":"","parse-names":false,"suffix":""},{"dropping-particle":"","family":"Paulino","given":"Luciana C.","non-dropping-particle":"","parse-names":false,"suffix":""},{"dropping-particle":"","family":"Dorrestein","given":"Pieter C.","non-dropping-particle":"","parse-names":false,"suffix":""},{"dropping-particle":"","family":"Knight","given":"Rob","non-dropping-particle":"","parse-names":false,"suffix":""},{"dropping-particle":"","family":"Dominguez-Bello","given":"Maria G.","non-dropping-particle":"","parse-names":false,"suffix":""}],"container-title":"Nature Microbiology","id":"ITEM-3","issued":{"date-parts":[["2020"]]},"note":"Sampling locations:\nChecherta (rainforest), Puerto Almendra (rural village), Iquitos (large town), Manaus (metropolis)","publisher":"Springer US","title":"Home chemical and microbial transitions across urbanization","type":"article-journal"},"uris":["http://www.mendeley.com/documents/?uuid=c13f061b-e8d3-4938-988f-68085fd8d78d"]},{"id":"ITEM-4","itemData":{"DOI":"10.1093/nar/gkx1089","ISBN":"13624962 (Electronic)","ISSN":"13624962","PMID":"29140435","abstract":"The Human Metabolome Database or HMDB (www.hmdb.ca) is a web-enabled metabolomic database containing comprehensive information about human metabolites along with their biological roles, physiological concentrations, disease associations, chemical reactions, metabolic pathways, and reference spectra. First described in 2007, the HMDB is now considered the standard metabolomic resource for human metabolic studies. Over the past decade the HMDB has continued to grow and evolve in response to emerging needs for metabolomics researchers and continuing changes in web standards. This year's update, HMDB 4.0, represents the most significant upgrade to the database in its history. For instance, the number of fully annotated metabolites has increased by nearly threefold, the number of experimental spectra has grown by almost fourfold and the number of illustrated metabolic pathways has grown by a factor of almost 60. Significant improvements have also been made to the HMDB’s chemical taxonomy, chemical ontology, spectral viewing, and spectral/text searching tools. A great deal of brand new data has also been added to HMDB 4.0. This includes large quantities of predicted MS/MS and GC–MS reference spectral data as well as predicted (physiologically feasible) metabolite structures to facilitate novel metabolite identification. Additional information on metabolite-SNP interactions and the influence of drugs on metabolite levels (pharmacometabolomics) has also been added. Many other important improvements in the content, the interface, and the performance of the HMDB website have been made and these should greatly enhance its ease of use and its potential applications in nutrition, biochemistry, clinical chemistry, clinical genetics, medicine, and metabolomics science.","author":[{"dropping-particle":"","family":"Wishart","given":"David S.","non-dropping-particle":"","parse-names":false,"suffix":""},{"dropping-particle":"","family":"Feunang","given":"Yannick Djoumbou","non-dropping-particle":"","parse-names":false,"suffix":""},{"dropping-particle":"","family":"Marcu","given":"Ana","non-dropping-particle":"","parse-names":false,"suffix":""},{"dropping-particle":"","family":"Guo","given":"An Chi","non-dropping-particle":"","parse-names":false,"suffix":""},{"dropping-particle":"","family":"Liang","given":"Kevin","non-dropping-particle":"","parse-names":false,"suffix":""},{"dropping-particle":"","family":"Vázquez-Fresno","given":"Rosa","non-dropping-particle":"","parse-names":false,"suffix":""},{"dropping-particle":"","family":"Sajed","given":"Tanvir","non-dropping-particle":"","parse-names":false,"suffix":""},{"dropping-particle":"","family":"Johnson","given":"Daniel","non-dropping-particle":"","parse-names":false,"suffix":""},{"dropping-particle":"","family":"Li","given":"Carin","non-dropping-particle":"","parse-names":false,"suffix":""},{"dropping-particle":"","family":"Karu","given":"Naama","non-dropping-particle":"","parse-names":false,"suffix":""},{"dropping-particle":"","family":"Sayeeda","given":"Zinat","non-dropping-particle":"","parse-names":false,"suffix":""},{"dropping-particle":"","family":"Lo","given":"Elvis","non-dropping-particle":"","parse-names":false,"suffix":""},{"dropping-particle":"","family":"Assempour","given":"Nazanin","non-dropping-particle":"","parse-names":false,"suffix":""},{"dropping-particle":"","family":"Berjanskii","given":"Mark","non-dropping-particle":"","parse-names":false,"suffix":""},{"dropping-particle":"","family":"Singhal","given":"Sandeep","non-dropping-particle":"","parse-names":false,"suffix":""},{"dropping-particle":"","family":"Arndt","given":"David","non-dropping-particle":"","parse-names":false,"suffix":""},{"dropping-particle":"","family":"Liang","given":"Yonjie","non-dropping-particle":"","parse-names":false,"suffix":""},{"dropping-particle":"","family":"Badran","given":"Hasan","non-dropping-particle":"","parse-names":false,"suffix":""},{"dropping-particle":"","family":"Grant","given":"Jason","non-dropping-particle":"","parse-names":false,"suffix":""},{"dropping-particle":"","family":"Serra-Cayuela","given":"Arnau","non-dropping-particle":"","parse-names":false,"suffix":""},{"dropping-particle":"","family":"Liu","given":"Yifeng","non-dropping-particle":"","parse-names":false,"suffix":""},{"dropping-particle":"","family":"Mandal","given":"Rupa","non-dropping-particle":"","parse-names":false,"suffix":""},{"dropping-particle":"","family":"Neveu","given":"Vanessa","non-dropping-particle":"","parse-names":false,"suffix":""},{"dropping-particle":"","family":"Pon","given":"Allison","non-dropping-particle":"","parse-names":false,"suffix":""},{"dropping-particle":"","family":"Knox","given":"Craig","non-dropping-particle":"","parse-names":false,"suffix":""},{"dropping-particle":"","family":"Wilson","given":"Michael","non-dropping-particle":"","parse-names":false,"suffix":""},{"dropping-particle":"","family":"Manach","given":"Claudine","non-dropping-particle":"","parse-names":false,"suffix":""},{"dropping-particle":"","family":"Scalbert","given":"Augustin","non-dropping-particle":"","parse-names":false,"suffix":""}],"container-title":"Nucleic Acids Research","id":"ITEM-4","issue":"D1","issued":{"date-parts":[["2017"]]},"page":"D608-D617","title":"HMDB 4.0: The human metabolome database for 2018","type":"article-journal","volume":"46"},"uris":["http://www.mendeley.com/documents/?uuid=e59c3e3b-136c-4c12-a49b-7729d29d34cd"]}],"mendeley":{"formattedCitation":"&lt;sup&gt;38,42–44&lt;/sup&gt;","plainTextFormattedCitation":"38,42–44","previouslyFormattedCitation":"&lt;sup&gt;38,42–44&lt;/sup&gt;"},"properties":{"noteIndex":0},"schema":"https://github.com/citation-style-language/schema/raw/master/csl-citation.json"}</w:instrText>
      </w:r>
      <w:r w:rsidR="00CA0338" w:rsidRPr="00901194">
        <w:rPr>
          <w:rFonts w:cs="Times New Roman"/>
          <w:szCs w:val="24"/>
        </w:rPr>
        <w:fldChar w:fldCharType="separate"/>
      </w:r>
      <w:r w:rsidR="00AB5632" w:rsidRPr="00901194">
        <w:rPr>
          <w:rFonts w:cs="Times New Roman"/>
          <w:noProof/>
          <w:szCs w:val="24"/>
          <w:vertAlign w:val="superscript"/>
        </w:rPr>
        <w:t>38,42–44</w:t>
      </w:r>
      <w:r w:rsidR="00CA0338" w:rsidRPr="00901194">
        <w:rPr>
          <w:rFonts w:cs="Times New Roman"/>
          <w:szCs w:val="24"/>
        </w:rPr>
        <w:fldChar w:fldCharType="end"/>
      </w:r>
      <w:r w:rsidR="00C95DCA" w:rsidRPr="00901194">
        <w:rPr>
          <w:rFonts w:cs="Times New Roman"/>
          <w:szCs w:val="24"/>
        </w:rPr>
        <w:t xml:space="preserve">. </w:t>
      </w:r>
      <w:r w:rsidR="00CB544F" w:rsidRPr="00901194">
        <w:rPr>
          <w:rFonts w:cs="Times New Roman"/>
          <w:szCs w:val="24"/>
        </w:rPr>
        <w:lastRenderedPageBreak/>
        <w:t xml:space="preserve">Additionally, new </w:t>
      </w:r>
      <w:r w:rsidR="00CA0338" w:rsidRPr="00901194">
        <w:rPr>
          <w:rFonts w:cs="Times New Roman"/>
          <w:szCs w:val="24"/>
        </w:rPr>
        <w:t xml:space="preserve">MS-based metabolomics technical and analytical tool </w:t>
      </w:r>
      <w:r w:rsidR="00CB544F" w:rsidRPr="00901194">
        <w:rPr>
          <w:rFonts w:cs="Times New Roman"/>
          <w:szCs w:val="24"/>
        </w:rPr>
        <w:t xml:space="preserve">advancements </w:t>
      </w:r>
      <w:r w:rsidR="00CA0338" w:rsidRPr="00901194">
        <w:rPr>
          <w:rFonts w:cs="Times New Roman"/>
          <w:szCs w:val="24"/>
        </w:rPr>
        <w:t xml:space="preserve">like the development of </w:t>
      </w:r>
      <w:r w:rsidR="00CB544F" w:rsidRPr="00901194">
        <w:rPr>
          <w:rFonts w:cs="Times New Roman"/>
          <w:szCs w:val="24"/>
        </w:rPr>
        <w:t xml:space="preserve">platforms like </w:t>
      </w:r>
      <w:r w:rsidR="00CA0338" w:rsidRPr="00901194">
        <w:rPr>
          <w:rFonts w:cs="Times New Roman"/>
          <w:szCs w:val="24"/>
        </w:rPr>
        <w:t>Global Natural Products Social Molecular Networking</w:t>
      </w:r>
      <w:r w:rsidR="00CB544F" w:rsidRPr="00901194">
        <w:rPr>
          <w:rFonts w:cs="Times New Roman"/>
          <w:szCs w:val="24"/>
        </w:rPr>
        <w:t xml:space="preserve"> system</w:t>
      </w:r>
      <w:r w:rsidR="00CA0338" w:rsidRPr="00901194">
        <w:rPr>
          <w:rFonts w:cs="Times New Roman"/>
          <w:szCs w:val="24"/>
        </w:rPr>
        <w:fldChar w:fldCharType="begin" w:fldLock="1"/>
      </w:r>
      <w:r w:rsidR="000A1931" w:rsidRPr="00901194">
        <w:rPr>
          <w:rFonts w:cs="Times New Roman"/>
          <w:szCs w:val="24"/>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00CA0338" w:rsidRPr="00901194">
        <w:rPr>
          <w:rFonts w:cs="Times New Roman"/>
          <w:szCs w:val="24"/>
        </w:rPr>
        <w:fldChar w:fldCharType="separate"/>
      </w:r>
      <w:r w:rsidR="00AB5632" w:rsidRPr="00901194">
        <w:rPr>
          <w:rFonts w:cs="Times New Roman"/>
          <w:noProof/>
          <w:szCs w:val="24"/>
          <w:vertAlign w:val="superscript"/>
        </w:rPr>
        <w:t>45</w:t>
      </w:r>
      <w:r w:rsidR="00CA0338" w:rsidRPr="00901194">
        <w:rPr>
          <w:rFonts w:cs="Times New Roman"/>
          <w:szCs w:val="24"/>
        </w:rPr>
        <w:fldChar w:fldCharType="end"/>
      </w:r>
      <w:r w:rsidR="00CA0338" w:rsidRPr="00901194">
        <w:rPr>
          <w:rFonts w:cs="Times New Roman"/>
          <w:szCs w:val="24"/>
        </w:rPr>
        <w:t>, molecular networking</w:t>
      </w:r>
      <w:r w:rsidR="00CB544F" w:rsidRPr="00901194">
        <w:rPr>
          <w:rFonts w:cs="Times New Roman"/>
          <w:szCs w:val="24"/>
        </w:rPr>
        <w:t xml:space="preserve"> techniques</w:t>
      </w:r>
      <w:r w:rsidR="00CA0338" w:rsidRPr="00901194">
        <w:rPr>
          <w:rFonts w:cs="Times New Roman"/>
          <w:szCs w:val="24"/>
        </w:rPr>
        <w:fldChar w:fldCharType="begin" w:fldLock="1"/>
      </w:r>
      <w:r w:rsidR="000A1931" w:rsidRPr="00901194">
        <w:rPr>
          <w:rFonts w:cs="Times New Roman"/>
          <w:szCs w:val="24"/>
        </w:rPr>
        <w:instrText>ADDIN CSL_CITATION {"citationItems":[{"id":"ITEM-1","itemData":{"author":[{"dropping-particle":"","family":"Aron","given":"Allegra T.","non-dropping-particle":"","parse-names":false,"suffix":""},{"dropping-particle":"","family":"Gentry","given":"Emily C.","non-dropping-particle":"","parse-names":false,"suffix":""},{"dropping-particle":"","family":"McPhail","given":"Kerry L.","non-dropping-particle":"","parse-names":false,"suffix":""},{"dropping-particle":"","family":"Nothias","given":"Louis Felix","non-dropping-particle":"","parse-names":false,"suffix":""},{"dropping-particle":"","family":"Nothias-Esposito","given":"Melissa","non-dropping-particle":"","parse-names":false,"suffix":""},{"dropping-particle":"","family":"Bousilmani","given":"Amina","non-dropping-particle":"","parse-names":false,"suffix":""},{"dropping-particle":"","family":"Petras","given":"Daniel","non-dropping-particle":"","parse-names":false,"suffix":""},{"dropping-particle":"","family":"Gauglitz","given":"Julia M.","non-dropping-particle":"","parse-names":false,"suffix":""},{"dropping-particle":"","family":"Sikora","given":"Nicole","non-dropping-particle":"","parse-names":false,"suffix":""},{"dropping-particle":"","family":"Vargas","given":"Fernando","non-dropping-particle":"","parse-names":false,"suffix":""},{"dropping-particle":"","family":"Hooft","given":"Justin J.J.","non-dropping-particle":"van der","parse-names":false,"suffix":""},{"dropping-particle":"","family":"Ernst","given":"Madeleine","non-dropping-particle":"","parse-names":false,"suffix":""},{"dropping-particle":"","family":"Kang","given":"Kyo","non-dropping-particle":"Bin","parse-names":false,"suffix":""},{"dropping-particle":"","family":"Aceves","given":"Christine M.","non-dropping-particle":"","parse-names":false,"suffix":""},{"dropping-particle":"","family":"Mauricio","given":"Caraballo-Rodriguez Andres","non-dropping-particle":"","parse-names":false,"suffix":""},{"dropping-particle":"","family":"Koester","given":"Irina","non-dropping-particle":"","parse-names":false,"suffix":""},{"dropping-particle":"","family":"Weldon","given":"Kelly C.","non-dropping-particle":"","parse-names":false,"suffix":""},{"dropping-particle":"","family":"Bertrand","given":"Samuel","non-dropping-particle":"","parse-names":false,"suffix":""},{"dropping-particle":"","family":"Roullier","given":"Catherine","non-dropping-particle":"","parse-names":false,"suffix":""},{"dropping-particle":"","family":"Sun","given":"Kunyang","non-dropping-particle":"","parse-names":false,"suffix":""},{"dropping-particle":"","family":"Tehan","given":"Richard M.","non-dropping-particle":"","parse-names":false,"suffix":""},{"dropping-particle":"","family":"Boya","given":"Christopher A.","non-dropping-particle":"","parse-names":false,"suffix":""},{"dropping-particle":"","family":"Martin H.","given":"Christian","non-dropping-particle":"","parse-names":false,"suffix":""},{"dropping-particle":"","family":"Gutierrez","given":"Marcelino","non-dropping-particle":"","parse-names":false,"suffix":""},{"dropping-particle":"","family":"Ulloa","given":"Aldo Moreno","non-dropping-particle":"","parse-names":false,"suffix":""},{"dropping-particle":"","family":"Mora","given":"Javier Andres Tejeda","non-dropping-particle":"","parse-names":false,"suffix":""},{"dropping-particle":"","family":"Mojica-Flores","given":"Randy","non-dropping-particle":"","parse-names":false,"suffix":""},{"dropping-particle":"","family":"Lakey-Beitia","given":"Johant","non-dropping-particle":"","parse-names":false,"suffix":""},{"dropping-particle":"","family":"Vasquez-Chaves","given":"Victor","non-dropping-particle":"","parse-names":false,"suffix":""},{"dropping-particle":"","family":"Zhang","given":"Yilue","non-dropping-particle":"","parse-names":false,"suffix":""},{"dropping-particle":"","family":"Calderon","given":"Angela I.","non-dropping-particle":"","parse-names":false,"suffix":""},{"dropping-particle":"","family":"Tayler","given":"Nicole","non-dropping-particle":"","parse-names":false,"suffix":""},{"dropping-particle":"","family":"Keyzers","given":"Robert A.","non-dropping-particle":"","parse-names":false,"suffix":""},{"dropping-particle":"","family":"Tugizimana","given":"Fidele","non-dropping-particle":"","parse-names":false,"suffix":""},{"dropping-particle":"","family":"Ndlovu","given":"Nombuso","non-dropping-particle":"","parse-names":false,"suffix":""},{"dropping-particle":"","family":"Aksenov","given":"Alexander A.","non-dropping-particle":"","parse-names":false,"suffix":""},{"dropping-particle":"","family":"Jarmusch","given":"Alan","non-dropping-particle":"","parse-names":false,"suffix":""},{"dropping-particle":"","family":"Schmid","given":"Robin","non-dropping-particle":"","parse-names":false,"suffix":""},{"dropping-particle":"","family":"Truman","given":"Andrew W.","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C.","non-dropping-particle":"","parse-names":false,"suffix":""}],"container-title":"ChemRxiv","id":"ITEM-1","issued":{"date-parts":[["2019"]]},"note":"Describes workflow for processing MS-based mtbm data. McCall lab/protocols use these processes","title":"Reproducible Molecular Networking of Untargeted Mass Spectrometry Data Using GNPS","type":"article-journal"},"uris":["http://www.mendeley.com/documents/?uuid=5c028a8f-063d-4762-a3e2-37e5de078552"]},{"id":"ITEM-2","itemData":{"DOI":"doi:10.1007/978-1-0716-0239-3_13","author":[{"dropping-particle":"V.","family":"Phelan","given":"Vanessa","non-dropping-particle":"","parse-names":false,"suffix":""}],"container-title":"Computational Methods and Data Analysis for Metabolomics","id":"ITEM-2","issued":{"date-parts":[["2020"]]},"page":"227-243","publisher-place":"Humana, NY","title":"Feature-based molecular networking for metabolite annotation","type":"chapter"},"uris":["http://www.mendeley.com/documents/?uuid=20a51dfc-20b3-4138-bf73-e7026dde0be0"]}],"mendeley":{"formattedCitation":"&lt;sup&gt;46,47&lt;/sup&gt;","plainTextFormattedCitation":"46,47","previouslyFormattedCitation":"&lt;sup&gt;46,47&lt;/sup&gt;"},"properties":{"noteIndex":0},"schema":"https://github.com/citation-style-language/schema/raw/master/csl-citation.json"}</w:instrText>
      </w:r>
      <w:r w:rsidR="00CA0338" w:rsidRPr="00901194">
        <w:rPr>
          <w:rFonts w:cs="Times New Roman"/>
          <w:szCs w:val="24"/>
        </w:rPr>
        <w:fldChar w:fldCharType="separate"/>
      </w:r>
      <w:r w:rsidR="00AB5632" w:rsidRPr="00901194">
        <w:rPr>
          <w:rFonts w:cs="Times New Roman"/>
          <w:noProof/>
          <w:szCs w:val="24"/>
          <w:vertAlign w:val="superscript"/>
        </w:rPr>
        <w:t>46,47</w:t>
      </w:r>
      <w:r w:rsidR="00CA0338" w:rsidRPr="00901194">
        <w:rPr>
          <w:rFonts w:cs="Times New Roman"/>
          <w:szCs w:val="24"/>
        </w:rPr>
        <w:fldChar w:fldCharType="end"/>
      </w:r>
      <w:r w:rsidR="00CA0338" w:rsidRPr="00901194">
        <w:rPr>
          <w:rFonts w:cs="Times New Roman"/>
          <w:szCs w:val="24"/>
        </w:rPr>
        <w:t xml:space="preserve">, </w:t>
      </w:r>
      <w:r w:rsidR="00CB544F" w:rsidRPr="00901194">
        <w:rPr>
          <w:rFonts w:cs="Times New Roman"/>
          <w:szCs w:val="24"/>
        </w:rPr>
        <w:t xml:space="preserve">creating </w:t>
      </w:r>
      <w:r w:rsidR="00CA0338" w:rsidRPr="00901194">
        <w:rPr>
          <w:rFonts w:cs="Times New Roman"/>
          <w:szCs w:val="24"/>
        </w:rPr>
        <w:t>new metabolomic databases</w:t>
      </w:r>
      <w:r w:rsidR="00084686" w:rsidRPr="00901194">
        <w:rPr>
          <w:rFonts w:cs="Times New Roman"/>
          <w:szCs w:val="24"/>
        </w:rPr>
        <w:fldChar w:fldCharType="begin" w:fldLock="1"/>
      </w:r>
      <w:r w:rsidR="000A1931" w:rsidRPr="00901194">
        <w:rPr>
          <w:rFonts w:cs="Times New Roman"/>
          <w:szCs w:val="24"/>
        </w:rPr>
        <w:instrText>ADDIN CSL_CITATION {"citationItems":[{"id":"ITEM-1","itemData":{"author":[{"dropping-particle":"","family":"Aron","given":"Allegra T.","non-dropping-particle":"","parse-names":false,"suffix":""},{"dropping-particle":"","family":"Gentry","given":"Emily C.","non-dropping-particle":"","parse-names":false,"suffix":""},{"dropping-particle":"","family":"McPhail","given":"Kerry L.","non-dropping-particle":"","parse-names":false,"suffix":""},{"dropping-particle":"","family":"Nothias","given":"Louis Felix","non-dropping-particle":"","parse-names":false,"suffix":""},{"dropping-particle":"","family":"Nothias-Esposito","given":"Melissa","non-dropping-particle":"","parse-names":false,"suffix":""},{"dropping-particle":"","family":"Bousilmani","given":"Amina","non-dropping-particle":"","parse-names":false,"suffix":""},{"dropping-particle":"","family":"Petras","given":"Daniel","non-dropping-particle":"","parse-names":false,"suffix":""},{"dropping-particle":"","family":"Gauglitz","given":"Julia M.","non-dropping-particle":"","parse-names":false,"suffix":""},{"dropping-particle":"","family":"Sikora","given":"Nicole","non-dropping-particle":"","parse-names":false,"suffix":""},{"dropping-particle":"","family":"Vargas","given":"Fernando","non-dropping-particle":"","parse-names":false,"suffix":""},{"dropping-particle":"","family":"Hooft","given":"Justin J.J.","non-dropping-particle":"van der","parse-names":false,"suffix":""},{"dropping-particle":"","family":"Ernst","given":"Madeleine","non-dropping-particle":"","parse-names":false,"suffix":""},{"dropping-particle":"","family":"Kang","given":"Kyo","non-dropping-particle":"Bin","parse-names":false,"suffix":""},{"dropping-particle":"","family":"Aceves","given":"Christine M.","non-dropping-particle":"","parse-names":false,"suffix":""},{"dropping-particle":"","family":"Mauricio","given":"Caraballo-Rodriguez Andres","non-dropping-particle":"","parse-names":false,"suffix":""},{"dropping-particle":"","family":"Koester","given":"Irina","non-dropping-particle":"","parse-names":false,"suffix":""},{"dropping-particle":"","family":"Weldon","given":"Kelly C.","non-dropping-particle":"","parse-names":false,"suffix":""},{"dropping-particle":"","family":"Bertrand","given":"Samuel","non-dropping-particle":"","parse-names":false,"suffix":""},{"dropping-particle":"","family":"Roullier","given":"Catherine","non-dropping-particle":"","parse-names":false,"suffix":""},{"dropping-particle":"","family":"Sun","given":"Kunyang","non-dropping-particle":"","parse-names":false,"suffix":""},{"dropping-particle":"","family":"Tehan","given":"Richard M.","non-dropping-particle":"","parse-names":false,"suffix":""},{"dropping-particle":"","family":"Boya","given":"Christopher A.","non-dropping-particle":"","parse-names":false,"suffix":""},{"dropping-particle":"","family":"Martin H.","given":"Christian","non-dropping-particle":"","parse-names":false,"suffix":""},{"dropping-particle":"","family":"Gutierrez","given":"Marcelino","non-dropping-particle":"","parse-names":false,"suffix":""},{"dropping-particle":"","family":"Ulloa","given":"Aldo Moreno","non-dropping-particle":"","parse-names":false,"suffix":""},{"dropping-particle":"","family":"Mora","given":"Javier Andres Tejeda","non-dropping-particle":"","parse-names":false,"suffix":""},{"dropping-particle":"","family":"Mojica-Flores","given":"Randy","non-dropping-particle":"","parse-names":false,"suffix":""},{"dropping-particle":"","family":"Lakey-Beitia","given":"Johant","non-dropping-particle":"","parse-names":false,"suffix":""},{"dropping-particle":"","family":"Vasquez-Chaves","given":"Victor","non-dropping-particle":"","parse-names":false,"suffix":""},{"dropping-particle":"","family":"Zhang","given":"Yilue","non-dropping-particle":"","parse-names":false,"suffix":""},{"dropping-particle":"","family":"Calderon","given":"Angela I.","non-dropping-particle":"","parse-names":false,"suffix":""},{"dropping-particle":"","family":"Tayler","given":"Nicole","non-dropping-particle":"","parse-names":false,"suffix":""},{"dropping-particle":"","family":"Keyzers","given":"Robert A.","non-dropping-particle":"","parse-names":false,"suffix":""},{"dropping-particle":"","family":"Tugizimana","given":"Fidele","non-dropping-particle":"","parse-names":false,"suffix":""},{"dropping-particle":"","family":"Ndlovu","given":"Nombuso","non-dropping-particle":"","parse-names":false,"suffix":""},{"dropping-particle":"","family":"Aksenov","given":"Alexander A.","non-dropping-particle":"","parse-names":false,"suffix":""},{"dropping-particle":"","family":"Jarmusch","given":"Alan","non-dropping-particle":"","parse-names":false,"suffix":""},{"dropping-particle":"","family":"Schmid","given":"Robin","non-dropping-particle":"","parse-names":false,"suffix":""},{"dropping-particle":"","family":"Truman","given":"Andrew W.","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C.","non-dropping-particle":"","parse-names":false,"suffix":""}],"container-title":"ChemRxiv","id":"ITEM-1","issued":{"date-parts":[["2019"]]},"note":"Describes workflow for processing MS-based mtbm data. McCall lab/protocols use these processes","title":"Reproducible Molecular Networking of Untargeted Mass Spectrometry Data Using GNPS","type":"article-journal"},"uris":["http://www.mendeley.com/documents/?uuid=5c028a8f-063d-4762-a3e2-37e5de078552"]},{"id":"ITEM-2","itemData":{"DOI":"10.1093/nar/gkx1089","ISBN":"13624962 (Electronic)","ISSN":"13624962","PMID":"29140435","abstract":"The Human Metabolome Database or HMDB (www.hmdb.ca) is a web-enabled metabolomic database containing comprehensive information about human metabolites along with their biological roles, physiological concentrations, disease associations, chemical reactions, metabolic pathways, and reference spectra. First described in 2007, the HMDB is now considered the standard metabolomic resource for human metabolic studies. Over the past decade the HMDB has continued to grow and evolve in response to emerging needs for metabolomics researchers and continuing changes in web standards. This year's update, HMDB 4.0, represents the most significant upgrade to the database in its history. For instance, the number of fully annotated metabolites has increased by nearly threefold, the number of experimental spectra has grown by almost fourfold and the number of illustrated metabolic pathways has grown by a factor of almost 60. Significant improvements have also been made to the HMDB’s chemical taxonomy, chemical ontology, spectral viewing, and spectral/text searching tools. A great deal of brand new data has also been added to HMDB 4.0. This includes large quantities of predicted MS/MS and GC–MS reference spectral data as well as predicted (physiologically feasible) metabolite structures to facilitate novel metabolite identification. Additional information on metabolite-SNP interactions and the influence of drugs on metabolite levels (pharmacometabolomics) has also been added. Many other important improvements in the content, the interface, and the performance of the HMDB website have been made and these should greatly enhance its ease of use and its potential applications in nutrition, biochemistry, clinical chemistry, clinical genetics, medicine, and metabolomics science.","author":[{"dropping-particle":"","family":"Wishart","given":"David S.","non-dropping-particle":"","parse-names":false,"suffix":""},{"dropping-particle":"","family":"Feunang","given":"Yannick Djoumbou","non-dropping-particle":"","parse-names":false,"suffix":""},{"dropping-particle":"","family":"Marcu","given":"Ana","non-dropping-particle":"","parse-names":false,"suffix":""},{"dropping-particle":"","family":"Guo","given":"An Chi","non-dropping-particle":"","parse-names":false,"suffix":""},{"dropping-particle":"","family":"Liang","given":"Kevin","non-dropping-particle":"","parse-names":false,"suffix":""},{"dropping-particle":"","family":"Vázquez-Fresno","given":"Rosa","non-dropping-particle":"","parse-names":false,"suffix":""},{"dropping-particle":"","family":"Sajed","given":"Tanvir","non-dropping-particle":"","parse-names":false,"suffix":""},{"dropping-particle":"","family":"Johnson","given":"Daniel","non-dropping-particle":"","parse-names":false,"suffix":""},{"dropping-particle":"","family":"Li","given":"Carin","non-dropping-particle":"","parse-names":false,"suffix":""},{"dropping-particle":"","family":"Karu","given":"Naama","non-dropping-particle":"","parse-names":false,"suffix":""},{"dropping-particle":"","family":"Sayeeda","given":"Zinat","non-dropping-particle":"","parse-names":false,"suffix":""},{"dropping-particle":"","family":"Lo","given":"Elvis","non-dropping-particle":"","parse-names":false,"suffix":""},{"dropping-particle":"","family":"Assempour","given":"Nazanin","non-dropping-particle":"","parse-names":false,"suffix":""},{"dropping-particle":"","family":"Berjanskii","given":"Mark","non-dropping-particle":"","parse-names":false,"suffix":""},{"dropping-particle":"","family":"Singhal","given":"Sandeep","non-dropping-particle":"","parse-names":false,"suffix":""},{"dropping-particle":"","family":"Arndt","given":"David","non-dropping-particle":"","parse-names":false,"suffix":""},{"dropping-particle":"","family":"Liang","given":"Yonjie","non-dropping-particle":"","parse-names":false,"suffix":""},{"dropping-particle":"","family":"Badran","given":"Hasan","non-dropping-particle":"","parse-names":false,"suffix":""},{"dropping-particle":"","family":"Grant","given":"Jason","non-dropping-particle":"","parse-names":false,"suffix":""},{"dropping-particle":"","family":"Serra-Cayuela","given":"Arnau","non-dropping-particle":"","parse-names":false,"suffix":""},{"dropping-particle":"","family":"Liu","given":"Yifeng","non-dropping-particle":"","parse-names":false,"suffix":""},{"dropping-particle":"","family":"Mandal","given":"Rupa","non-dropping-particle":"","parse-names":false,"suffix":""},{"dropping-particle":"","family":"Neveu","given":"Vanessa","non-dropping-particle":"","parse-names":false,"suffix":""},{"dropping-particle":"","family":"Pon","given":"Allison","non-dropping-particle":"","parse-names":false,"suffix":""},{"dropping-particle":"","family":"Knox","given":"Craig","non-dropping-particle":"","parse-names":false,"suffix":""},{"dropping-particle":"","family":"Wilson","given":"Michael","non-dropping-particle":"","parse-names":false,"suffix":""},{"dropping-particle":"","family":"Manach","given":"Claudine","non-dropping-particle":"","parse-names":false,"suffix":""},{"dropping-particle":"","family":"Scalbert","given":"Augustin","non-dropping-particle":"","parse-names":false,"suffix":""}],"container-title":"Nucleic Acids Research","id":"ITEM-2","issue":"D1","issued":{"date-parts":[["2017"]]},"page":"D608-D617","title":"HMDB 4.0: The human metabolome database for 2018","type":"article-journal","volume":"46"},"uris":["http://www.mendeley.com/documents/?uuid=e59c3e3b-136c-4c12-a49b-7729d29d34cd"]}],"mendeley":{"formattedCitation":"&lt;sup&gt;44,46&lt;/sup&gt;","plainTextFormattedCitation":"44,46","previouslyFormattedCitation":"&lt;sup&gt;44,46&lt;/sup&gt;"},"properties":{"noteIndex":0},"schema":"https://github.com/citation-style-language/schema/raw/master/csl-citation.json"}</w:instrText>
      </w:r>
      <w:r w:rsidR="00084686" w:rsidRPr="00901194">
        <w:rPr>
          <w:rFonts w:cs="Times New Roman"/>
          <w:szCs w:val="24"/>
        </w:rPr>
        <w:fldChar w:fldCharType="separate"/>
      </w:r>
      <w:r w:rsidR="00AB5632" w:rsidRPr="00901194">
        <w:rPr>
          <w:rFonts w:cs="Times New Roman"/>
          <w:noProof/>
          <w:szCs w:val="24"/>
          <w:vertAlign w:val="superscript"/>
        </w:rPr>
        <w:t>44,46</w:t>
      </w:r>
      <w:r w:rsidR="00084686" w:rsidRPr="00901194">
        <w:rPr>
          <w:rFonts w:cs="Times New Roman"/>
          <w:szCs w:val="24"/>
        </w:rPr>
        <w:fldChar w:fldCharType="end"/>
      </w:r>
      <w:r w:rsidR="00084686" w:rsidRPr="00901194">
        <w:rPr>
          <w:rFonts w:cs="Times New Roman"/>
          <w:szCs w:val="24"/>
        </w:rPr>
        <w:t xml:space="preserve">, etc., enabled the field to grow rapidly in quality and breadth of research. </w:t>
      </w:r>
      <w:r w:rsidR="001F10D3" w:rsidRPr="00901194">
        <w:rPr>
          <w:rFonts w:cs="Times New Roman"/>
          <w:szCs w:val="24"/>
        </w:rPr>
        <w:t xml:space="preserve">As more new tools and techniques come out, MS-based metabolomics will only improve. </w:t>
      </w:r>
    </w:p>
    <w:p w14:paraId="586BD2A7" w14:textId="4E10AEEA" w:rsidR="00A346EB" w:rsidRPr="00901194" w:rsidRDefault="00120812" w:rsidP="00A346EB">
      <w:pPr>
        <w:pStyle w:val="Sub-ChapterHading"/>
        <w:numPr>
          <w:ilvl w:val="1"/>
          <w:numId w:val="1"/>
        </w:numPr>
      </w:pPr>
      <w:bookmarkStart w:id="11" w:name="_Toc134185945"/>
      <w:r w:rsidRPr="00901194">
        <w:t>MOLECULAR ANTHROPOLOGY AND METABOLOMICS</w:t>
      </w:r>
      <w:bookmarkEnd w:id="11"/>
    </w:p>
    <w:p w14:paraId="29FCACB2" w14:textId="21A957B5" w:rsidR="0027795B" w:rsidRPr="00901194" w:rsidRDefault="007E550F" w:rsidP="00615397">
      <w:pPr>
        <w:ind w:firstLine="360"/>
        <w:rPr>
          <w:rFonts w:cs="Times New Roman"/>
          <w:szCs w:val="24"/>
        </w:rPr>
      </w:pPr>
      <w:r w:rsidRPr="00901194">
        <w:rPr>
          <w:rFonts w:cs="Times New Roman"/>
        </w:rPr>
        <w:t>Broadly, a</w:t>
      </w:r>
      <w:r w:rsidR="00A550D3" w:rsidRPr="00901194">
        <w:rPr>
          <w:rFonts w:cs="Times New Roman"/>
        </w:rPr>
        <w:t xml:space="preserve">nthropology has used metabolomics to investigate various aspects of human evolution, health, disease, </w:t>
      </w:r>
      <w:r w:rsidR="00CC26D9" w:rsidRPr="00901194">
        <w:rPr>
          <w:rFonts w:cs="Times New Roman"/>
        </w:rPr>
        <w:t xml:space="preserve">and </w:t>
      </w:r>
      <w:r w:rsidR="00A550D3" w:rsidRPr="00901194">
        <w:rPr>
          <w:rFonts w:cs="Times New Roman"/>
        </w:rPr>
        <w:t xml:space="preserve">cultural behavior. In biological contexts, metabolomics studies </w:t>
      </w:r>
      <w:r w:rsidR="00A550D3" w:rsidRPr="00901194">
        <w:rPr>
          <w:rFonts w:cs="Times New Roman"/>
          <w:szCs w:val="24"/>
        </w:rPr>
        <w:t>reveal how aspects of our unique human lifestyles and behaviors, like diet or industrialization patterns, interact with our genetics and molecular biology</w:t>
      </w:r>
      <w:r w:rsidR="00A550D3" w:rsidRPr="00901194">
        <w:rPr>
          <w:rFonts w:cs="Times New Roman"/>
          <w:szCs w:val="24"/>
        </w:rPr>
        <w:fldChar w:fldCharType="begin" w:fldLock="1"/>
      </w:r>
      <w:r w:rsidR="000A1931" w:rsidRPr="00901194">
        <w:rPr>
          <w:rFonts w:cs="Times New Roman"/>
          <w:szCs w:val="24"/>
        </w:rPr>
        <w:instrText>ADDIN CSL_CITATION {"citationItems":[{"id":"ITEM-1","itemData":{"DOI":"10.1016/j.celrep.2018.05.018","ISSN":"22111247","abstract":"We assessed the subsistence-related variation of the human gut microbiome at a fine resolution for two of the main dimensions of microbiome variation, age and geography. For this, we investigated the fecal microbiome and metabolome in rural Bassa and urbanized individuals from Nigeria, including infants, and compared data with worldwide populations practicing varying subsistence. Our data highlight specific microbiome traits that are progressively lost with urbanization, such as the dominance of pristine fiber degraders and the low inter-individual variation. For the Bassa, this last feature is the result of their subsistence-related practices favoring microbial dispersal, such as their extensive environmental contact and the usage of untreated waters from the Usuma River. The high degree of microbial dispersal observed in the Bassa meta-community nullifies the differences between infant and adult intestinal ecosystems, suggesting that the infant-type microbiome in Western populations could be the result of microbiome-associated neotenic traits favored by urbanization. Ayeni et al. characterize the fecal microbiome and metabolome of rural Bassa and urban individuals from Nigeria, including infants. Their findings stress the loss of ancient signatures along with urbanization and support distinct trajectories of development of the intestinal ecosystem in early life, depending on human subsistence.","author":[{"dropping-particle":"","family":"Ayeni","given":"Funmilola A.","non-dropping-particle":"","parse-names":false,"suffix":""},{"dropping-particle":"","family":"Biagi","given":"Elena","non-dropping-particle":"","parse-names":false,"suffix":""},{"dropping-particle":"","family":"Rampelli","given":"Simone","non-dropping-particle":"","parse-names":false,"suffix":""},{"dropping-particle":"","family":"Fiori","given":"Jessica","non-dropping-particle":"","parse-names":false,"suffix":""},{"dropping-particle":"","family":"Soverini","given":"Matteo","non-dropping-particle":"","parse-names":false,"suffix":""},{"dropping-particle":"","family":"Audu","given":"Haruna J.","non-dropping-particle":"","parse-names":false,"suffix":""},{"dropping-particle":"","family":"Cristino","given":"Sandra","non-dropping-particle":"","parse-names":false,"suffix":""},{"dropping-particle":"","family":"Caporali","given":"Leonardo","non-dropping-particle":"","parse-names":false,"suffix":""},{"dropping-particle":"","family":"Schnorr","given":"Stephanie L.","non-dropping-particle":"","parse-names":false,"suffix":""},{"dropping-particle":"","family":"Carelli","given":"Valerio","non-dropping-particle":"","parse-names":false,"suffix":""},{"dropping-particle":"","family":"Brigidi","given":"Patrizia","non-dropping-particle":"","parse-names":false,"suffix":""},{"dropping-particle":"","family":"Candela","given":"Marco","non-dropping-particle":"","parse-names":false,"suffix":""},{"dropping-particle":"","family":"Turroni","given":"Silvia","non-dropping-particle":"","parse-names":false,"suffix":""}],"container-title":"Cell Reports","id":"ITEM-1","issue":"10","issued":{"date-parts":[["2018"]]},"note":"Summary: Microbiome and metabolome analyses of rural Bassa and urban individuals from Nigeria, including infants. Identnfied specific microbiome and metabolomic traits lost with urbanization (Bassa infants and adults have similar mbms and mtbms). Aso compared with other populations' data from different geographies. Linked specific mbm and mtbm losses/differences to different lifestyle elements (rural/western-mixed diets, local remedies/antibiotics, supplemented/exclusive breastfeeding, river/potable water, sanitation)\n\nBassa = rural. 18 Bassa; 30 urban Nigerians. Did not record age of Bassa and did not record sex.\nFocused on pops that are geographically similar -- the urban groups live near the Bassa but practice a western lifestyle\n\nDid not record age (for Bassa), but did some basic age-based results of microbial abundance, which seems strange to me\n\nAlso examined microbial community of Usuma River (bassa water source)\n\nAlso used data from other projects to compare with theirt microbial data -- so they compare Bassa, urban, Hadza, Malawi rural, Venezuela rural, urban Italy, and urban USA","page":"3056-3067","publisher":"ElsevierCompany.","title":"Infant and Adult Gut Microbiome and Metabolome in Rural Bassa and Urban Settlers from Nigeria","type":"article-journal","volume":"23"},"uris":["http://www.mendeley.com/documents/?uuid=07e226d8-54b7-4856-bb55-95d8a8e91dae"]},{"id":"ITEM-2","itemData":{"DOI":"10.3389/fmicb.2018.01345","ISSN":"1664302X","abstract":"Loss of traditional diets by food globalization may have adverse impact on the health of human being through the alteration of gut microbial ecosystem. To address this notion, we compared the gut microbiota of urban (n = 17) and rural (n = 28) school-aged children in Thailand in association with their dietary habits. Dietary records indicated that children living in urban Bangkok tended to consume modern high-fat diets, whereas children in rural Buriram tended to consume traditional vegetable-based diets. Sequencing of 16S rRNA genes amplified from stool samples showed that children in Bangkok have less Clostridiales and more Bacteroidales and Selenomonadales compared to children in Buriram and bacterial diversity is significantly less in Bangkok children than in Buriram children. In addition, fecal butyrate and propionate levels decreased in Bangkok children in association with changes in their gut microbial communities. Stool samples of these Thai children were classified into five metabolotypes (MTs) based on their metabolome profiles, each characterized by high concentrations of short and middle chain fatty acids (MT1, n = 17), amino acids (MT2, n = 7), arginine (MT3, n = 6), amino acids, and amines (MT5, n = 8), or an overall low level of metabolites (MT4, n = 4). MT1 and MT4 mainly consisted of samples from Buriram, and MT2 and MT3 mainly consisted of samples from Bangkok, whereas MT5 contained three samples from Bangkok and five from Buriram samples. According to the profiles of microbiota and diets, MT1 and MT2 are characteristic of children in Buriram and Bangkok, respectively. Predicted metagenomics indicated the underrepresentation in MT2 of eight genes involved in pathways of butyrate biosynthesis, notably including paths from glutamate as well as pyruvate. Taken together, this study shows the benefit of high-vegetable Thai traditional diets on gut microbiota and suggests that high-fat and less-vegetable urban dietary habits alter gut microbial communities in Thai children, which resulted in the reduction of colonic short chain fatty acid fermentation.","author":[{"dropping-particle":"","family":"Kisuse","given":"Juma","non-dropping-particle":"","parse-names":false,"suffix":""},{"dropping-particle":"","family":"La-ongkham","given":"Orawan","non-dropping-particle":"","parse-names":false,"suffix":""},{"dropping-particle":"","family":"Nakphaichit","given":"Massalin","non-dropping-particle":"","parse-names":false,"suffix":""},{"dropping-particle":"","family":"Therdtatha","given":"Phatthanaphong","non-dropping-particle":"","parse-names":false,"suffix":""},{"dropping-particle":"","family":"Momoda","given":"Rie","non-dropping-particle":"","parse-names":false,"suffix":""},{"dropping-particle":"","family":"Tanaka","given":"Masaru","non-dropping-particle":"","parse-names":false,"suffix":""},{"dropping-particle":"","family":"Fukuda","given":"Shinji","non-dropping-particle":"","parse-names":false,"suffix":""},{"dropping-particle":"","family":"Popluechai","given":"Siam","non-dropping-particle":"","parse-names":false,"suffix":""},{"dropping-particle":"","family":"Kespechara","given":"Kongkiat","non-dropping-particle":"","parse-names":false,"suffix":""},{"dropping-particle":"","family":"Sonomoto","given":"Kenji","non-dropping-particle":"","parse-names":false,"suffix":""},{"dropping-particle":"","family":"Lee","given":"Yuan Kun","non-dropping-particle":"","parse-names":false,"suffix":""},{"dropping-particle":"","family":"Nitisinprasert","given":"Sunee","non-dropping-particle":"","parse-names":false,"suffix":""},{"dropping-particle":"","family":"Nakayama","given":"Jiro","non-dropping-particle":"","parse-names":false,"suffix":""}],"container-title":"Frontiers in Microbiology","id":"ITEM-2","issue":"JUN","issued":{"date-parts":[["2018"]]},"note":"Summary: Compared gut microbiota of urban (Bangkok) and rural Thai (Buriram) school-age children thru 16S seq. Urban kids showed less Clostridiales and more Bacteroides and Selenomonadales compared to urban. Bacterial diversity is lower in urban. Also urban had dec'd fecal butyrate and propionate. High-fat and less-vegetable urban dietary habits alter gut microbial communities, resulting in reduced colonic SCFA fermentation. Classified samples into 5 metabolotypes, characterized by high concentrations of: short and middle chain fat acids (MT1); amino acids (MT2); arginine (MT3); amino acids and amines (MT5); overall low level of metabolites (MT4)","page":"1-16","title":"Urban diets linked to gut microbiome and metabolome alterations in children: A comparative cross-sectional study in Thailand","type":"article-journal","volume":"9"},"uris":["http://www.mendeley.com/documents/?uuid=0925ea83-6ff3-462c-ad41-837a52397b04"]},{"id":"ITEM-3","itemData":{"DOI":"10.1038/s41564-019-0593-4","ISSN":"20585276","abstract":"Urbanization represents a profound shift in human behaviour, and has considerable cultural and health-associated consequences1,2. Here, we investigate chemical and microbial characteristics of houses and their human occupants across an urbanization gradient in the Amazon rainforest, from a remote Peruvian Amerindian village to the Brazilian city of Manaus. Urbanization was found to be associated with reduced microbial outdoor exposure, increased contact with housing materials, antimicrobials and cleaning products, and increased exposure to chemical diversity. The degree of urbanization correlated with changes in the composition of house bacterial and microeukaryotic communities, increased house and skin fungal diversity, and an increase in the relative abundance of human skin-associated fungi and bacteria in houses. Overall, our results indicate that urbanization has large-scale effects on chemical and microbial exposures and on the human microbiota.","author":[{"dropping-particle":"","family":"McCall","given":"Laura Isobel","non-dropping-particle":"","parse-names":false,"suffix":""},{"dropping-particle":"","family":"Callewaert","given":"Chris","non-dropping-particle":"","parse-names":false,"suffix":""},{"dropping-particle":"","family":"Zhu","given":"Qiyun","non-dropping-particle":"","parse-names":false,"suffix":""},{"dropping-particle":"","family":"Song","given":"Se Jin","non-dropping-particle":"","parse-names":false,"suffix":""},{"dropping-particle":"","family":"Bouslimani","given":"Amina","non-dropping-particle":"","parse-names":false,"suffix":""},{"dropping-particle":"","family":"Minich","given":"Jeremiah J.","non-dropping-particle":"","parse-names":false,"suffix":""},{"dropping-particle":"","family":"Ernst","given":"Madeleine","non-dropping-particle":"","parse-names":false,"suffix":""},{"dropping-particle":"","family":"Ruiz-Calderon","given":"Jean F.","non-dropping-particle":"","parse-names":false,"suffix":""},{"dropping-particle":"","family":"Cavallin","given":"Humberto","non-dropping-particle":"","parse-names":false,"suffix":""},{"dropping-particle":"","family":"Pereira","given":"Henrique S.","non-dropping-particle":"","parse-names":false,"suffix":""},{"dropping-particle":"","family":"Novoselac","given":"Atila","non-dropping-particle":"","parse-names":false,"suffix":""},{"dropping-particle":"","family":"Hernandez","given":"Jean","non-dropping-particle":"","parse-names":false,"suffix":""},{"dropping-particle":"","family":"Rios","given":"Rafael","non-dropping-particle":"","parse-names":false,"suffix":""},{"dropping-particle":"","family":"Branch","given":"Ora Lee H.","non-dropping-particle":"","parse-names":false,"suffix":""},{"dropping-particle":"","family":"Blaser","given":"Martin J.","non-dropping-particle":"","parse-names":false,"suffix":""},{"dropping-particle":"","family":"Paulino","given":"Luciana C.","non-dropping-particle":"","parse-names":false,"suffix":""},{"dropping-particle":"","family":"Dorrestein","given":"Pieter C.","non-dropping-particle":"","parse-names":false,"suffix":""},{"dropping-particle":"","family":"Knight","given":"Rob","non-dropping-particle":"","parse-names":false,"suffix":""},{"dropping-particle":"","family":"Dominguez-Bello","given":"Maria G.","non-dropping-particle":"","parse-names":false,"suffix":""}],"container-title":"Nature Microbiology","id":"ITEM-3","issued":{"date-parts":[["2020"]]},"note":"Sampling locations:\nChecherta (rainforest), Puerto Almendra (rural village), Iquitos (large town), Manaus (metropolis)","publisher":"Springer US","title":"Home chemical and microbial transitions across urbanization","type":"article-journal"},"uris":["http://www.mendeley.com/documents/?uuid=c13f061b-e8d3-4938-988f-68085fd8d78d"]}],"mendeley":{"formattedCitation":"&lt;sup&gt;43,48,49&lt;/sup&gt;","plainTextFormattedCitation":"43,48,49","previouslyFormattedCitation":"&lt;sup&gt;43,48,49&lt;/sup&gt;"},"properties":{"noteIndex":0},"schema":"https://github.com/citation-style-language/schema/raw/master/csl-citation.json"}</w:instrText>
      </w:r>
      <w:r w:rsidR="00A550D3" w:rsidRPr="00901194">
        <w:rPr>
          <w:rFonts w:cs="Times New Roman"/>
          <w:szCs w:val="24"/>
        </w:rPr>
        <w:fldChar w:fldCharType="separate"/>
      </w:r>
      <w:r w:rsidR="00AB5632" w:rsidRPr="00901194">
        <w:rPr>
          <w:rFonts w:cs="Times New Roman"/>
          <w:noProof/>
          <w:szCs w:val="24"/>
          <w:vertAlign w:val="superscript"/>
        </w:rPr>
        <w:t>43,48,49</w:t>
      </w:r>
      <w:r w:rsidR="00A550D3" w:rsidRPr="00901194">
        <w:rPr>
          <w:rFonts w:cs="Times New Roman"/>
          <w:szCs w:val="24"/>
        </w:rPr>
        <w:fldChar w:fldCharType="end"/>
      </w:r>
      <w:r w:rsidR="00A550D3" w:rsidRPr="00901194">
        <w:rPr>
          <w:rFonts w:cs="Times New Roman"/>
          <w:szCs w:val="24"/>
        </w:rPr>
        <w:t xml:space="preserve">. </w:t>
      </w:r>
      <w:r w:rsidR="00D4113F" w:rsidRPr="00901194">
        <w:rPr>
          <w:rFonts w:cs="Times New Roman"/>
          <w:szCs w:val="24"/>
        </w:rPr>
        <w:t>Furthermore, these anthropology studies have also examined metabolomes of traditional foragers</w:t>
      </w:r>
      <w:r w:rsidR="00D4113F" w:rsidRPr="00901194">
        <w:rPr>
          <w:rFonts w:cs="Times New Roman"/>
          <w:szCs w:val="24"/>
        </w:rPr>
        <w:fldChar w:fldCharType="begin" w:fldLock="1"/>
      </w:r>
      <w:r w:rsidR="000A1931" w:rsidRPr="00901194">
        <w:rPr>
          <w:rFonts w:cs="Times New Roman"/>
          <w:szCs w:val="24"/>
        </w:rPr>
        <w:instrText>ADDIN CSL_CITATION {"citationItems":[{"id":"ITEM-1","itemData":{"DOI":"10.1038/srep32826","author":[{"dropping-particle":"","family":"Turroni","given":"Silvia","non-dropping-particle":"","parse-names":false,"suffix":""},{"dropping-particle":"","family":"Fiori","given":"Jessica","non-dropping-particle":"","parse-names":false,"suffix":""},{"dropping-particle":"","family":"Rampelli","given":"Simone","non-dropping-particle":"","parse-names":false,"suffix":""},{"dropping-particle":"","family":"Schnorr","given":"Stephanie L.","non-dropping-particle":"","parse-names":false,"suffix":""},{"dropping-particle":"","family":"Consolandi","given":"Clarissa","non-dropping-particle":"","parse-names":false,"suffix":""},{"dropping-particle":"","family":"Barone","given":"Monica","non-dropping-particle":"","parse-names":false,"suffix":""},{"dropping-particle":"","family":"Biagi","given":"Elena","non-dropping-particle":"","parse-names":false,"suffix":""},{"dropping-particle":"","family":"Fanelli","given":"Flaminia","non-dropping-particle":"","parse-names":false,"suffix":""},{"dropping-particle":"","family":"Mezzullo","given":"Marco","non-dropping-particle":"","parse-names":false,"suffix":""},{"dropping-particle":"","family":"Crittenden","given":"Alyssa N.","non-dropping-particle":"","parse-names":false,"suffix":""},{"dropping-particle":"","family":"Henry","given":"Amanda G.","non-dropping-particle":"","parse-names":false,"suffix":""},{"dropping-particle":"","family":"Brigidi","given":"Patrizia","non-dropping-particle":"","parse-names":false,"suffix":""},{"dropping-particle":"","family":"Candela","given":"Marco","non-dropping-particle":"","parse-names":false,"suffix":""}],"container-title":"Scientific Reports","id":"ITEM-1","issue":"1","issued":{"date-parts":[["2016"]]},"note":"Targeted","page":"1-9","publisher":"Nature Publishing Group","title":"Fecal metabolome of the Hadza hunter-gatherers: a host-microbiome integrative view","type":"article-journal","volume":"6"},"uris":["http://www.mendeley.com/documents/?uuid=91b4d94a-3657-4bf6-9095-53b2a78e6bf6"]}],"mendeley":{"formattedCitation":"&lt;sup&gt;50&lt;/sup&gt;","plainTextFormattedCitation":"50","previouslyFormattedCitation":"&lt;sup&gt;50&lt;/sup&gt;"},"properties":{"noteIndex":0},"schema":"https://github.com/citation-style-language/schema/raw/master/csl-citation.json"}</w:instrText>
      </w:r>
      <w:r w:rsidR="00D4113F" w:rsidRPr="00901194">
        <w:rPr>
          <w:rFonts w:cs="Times New Roman"/>
          <w:szCs w:val="24"/>
        </w:rPr>
        <w:fldChar w:fldCharType="separate"/>
      </w:r>
      <w:r w:rsidR="00AB5632" w:rsidRPr="00901194">
        <w:rPr>
          <w:rFonts w:cs="Times New Roman"/>
          <w:noProof/>
          <w:szCs w:val="24"/>
          <w:vertAlign w:val="superscript"/>
        </w:rPr>
        <w:t>50</w:t>
      </w:r>
      <w:r w:rsidR="00D4113F" w:rsidRPr="00901194">
        <w:rPr>
          <w:rFonts w:cs="Times New Roman"/>
          <w:szCs w:val="24"/>
        </w:rPr>
        <w:fldChar w:fldCharType="end"/>
      </w:r>
      <w:r w:rsidR="00D4113F" w:rsidRPr="00901194">
        <w:rPr>
          <w:rFonts w:cs="Times New Roman"/>
          <w:szCs w:val="24"/>
        </w:rPr>
        <w:t xml:space="preserve">, </w:t>
      </w:r>
      <w:r w:rsidR="003B0687" w:rsidRPr="00901194">
        <w:rPr>
          <w:rFonts w:cs="Times New Roman"/>
          <w:szCs w:val="24"/>
        </w:rPr>
        <w:t>compared oral metabolomes of ancient and modern humans</w:t>
      </w:r>
      <w:r w:rsidR="003B0687" w:rsidRPr="00901194">
        <w:rPr>
          <w:rFonts w:cs="Times New Roman"/>
          <w:szCs w:val="24"/>
        </w:rPr>
        <w:fldChar w:fldCharType="begin" w:fldLock="1"/>
      </w:r>
      <w:r w:rsidR="000A1931" w:rsidRPr="00901194">
        <w:rPr>
          <w:rFonts w:cs="Times New Roman"/>
          <w:szCs w:val="24"/>
        </w:rPr>
        <w:instrText>ADDIN CSL_CITATION {"citationItems":[{"id":"ITEM-1","itemData":{"DOI":"10.1007/s11306-017-1270-3","ISBN":"0123456789","ISSN":"15733890","abstract":"Introduction: Dental calculus is a mineralized microbial dental plaque biofilm that forms throughout life by precipitation of salivary calcium salts. Successive cycles of dental plaque growth and calcification make it an unusually well-preserved, long-term record of host-microbial interaction in the archaeological record. Recent studies have confirmed the survival of authentic ancient DNA and proteins within historic and prehistoric dental calculus, making it a promising substrate for investigating oral microbiome evolution via direct measurement and comparison of modern and ancient specimens. Objective: We present the first comprehensive characterization of the human dental calculus metabolome using a multi-platform approach. Methods: Ultra performance liquid chromatography-tandem mass spectrometry (UPLC–MS/MS) quantified 285 metabolites in modern and historic (200 years old) dental calculus, including metabolites of drug and dietary origin. A subset of historic samples was additionally analyzed by high-resolution gas chromatography–MS (GC–MS) and UPLC–MS/MS for further characterization of metabolites and lipids. Metabolite profiles of modern and historic calculus were compared to identify patterns of persistence and loss. Results: Dipeptides, free amino acids, free nucleotides, and carbohydrates substantially decrease in abundance and ubiquity in archaeological samples, with some exceptions. Lipids generally persist, and saturated and mono-unsaturated medium and long chain fatty acids appear to be well-preserved, while metabolic derivatives related to oxidation and chemical degradation are found at higher levels in archaeological dental calculus than fresh samples. Conclusions: The results of this study indicate that certain metabolite classes have higher potential for recovery over long time scales and may serve as appropriate targets for oral microbiome evolutionary studies.","author":[{"dropping-particle":"","family":"Velsko","given":"Irina M.","non-dropping-particle":"","parse-names":false,"suffix":""},{"dropping-particle":"","family":"Overmyer","given":"Katherine A.","non-dropping-particle":"","parse-names":false,"suffix":""},{"dropping-particle":"","family":"Speller","given":"Camilla","non-dropping-particle":"","parse-names":false,"suffix":""},{"dropping-particle":"","family":"Klaus","given":"Lauren","non-dropping-particle":"","parse-names":false,"suffix":""},{"dropping-particle":"","family":"Collins","given":"Matthew J.","non-dropping-particle":"","parse-names":false,"suffix":""},{"dropping-particle":"","family":"Loe","given":"Louise","non-dropping-particle":"","parse-names":false,"suffix":""},{"dropping-particle":"","family":"Frantz","given":"Laurent A.F.","non-dropping-particle":"","parse-names":false,"suffix":""},{"dropping-particle":"","family":"Sankaranarayanan","given":"Krithivasan","non-dropping-particle":"","parse-names":false,"suffix":""},{"dropping-particle":"","family":"Lewis","given":"Cecil M.","non-dropping-particle":"","parse-names":false,"suffix":""},{"dropping-particle":"","family":"Martinez","given":"Juan Bautista Rodriguez","non-dropping-particle":"","parse-names":false,"suffix":""},{"dropping-particle":"","family":"Chaves","given":"Eros","non-dropping-particle":"","parse-names":false,"suffix":""},{"dropping-particle":"","family":"Coon","given":"Joshua J.","non-dropping-particle":"","parse-names":false,"suffix":""},{"dropping-particle":"","family":"Larson","given":"Greger","non-dropping-particle":"","parse-names":false,"suffix":""},{"dropping-particle":"","family":"Warinner","given":"Christina","non-dropping-particle":"","parse-names":false,"suffix":""}],"container-title":"Metabolomics","id":"ITEM-1","issue":"11","issued":{"date-parts":[["2017"]]},"note":"Summary: Case study performing UPLC-MS/MS performing the first dental calculus merabolomic analysis of 5 modern samples and 12 ancient, plus another analysis of historic samples using GC-MS and UPLC-MS/MS, combining targeted and untargeted analyses. Looked at metabolites present only in modern and variations beyond that to get a sense of what oral metabolome has been lost over time -- found historic samples had depleted metabolite classes (amino acids, vitamins, carbohydrates, nucleotides, peptides), while lipids were found in modern and ancient. Results show endogenous and exogenous metabolites are preserved in dental calculus over time.\nAssessment: Great case study, although methods were a little lacking in some areas (use of standards, MS parameters, data analysis details, etc.).\n\n\nPaper is a good model of how to do breakdown of specific molecules and molecule classes in a study -- use as a reference for the urbanization paper","page":"1-17","publisher":"Springer US","title":"The dental calculus metabolome in modern and historic samples","type":"article-journal","volume":"13"},"uris":["http://www.mendeley.com/documents/?uuid=f974d013-4bac-4522-b9c9-0cb7a319dfca"]}],"mendeley":{"formattedCitation":"&lt;sup&gt;51&lt;/sup&gt;","plainTextFormattedCitation":"51","previouslyFormattedCitation":"&lt;sup&gt;51&lt;/sup&gt;"},"properties":{"noteIndex":0},"schema":"https://github.com/citation-style-language/schema/raw/master/csl-citation.json"}</w:instrText>
      </w:r>
      <w:r w:rsidR="003B0687" w:rsidRPr="00901194">
        <w:rPr>
          <w:rFonts w:cs="Times New Roman"/>
          <w:szCs w:val="24"/>
        </w:rPr>
        <w:fldChar w:fldCharType="separate"/>
      </w:r>
      <w:r w:rsidR="00AB5632" w:rsidRPr="00901194">
        <w:rPr>
          <w:rFonts w:cs="Times New Roman"/>
          <w:noProof/>
          <w:szCs w:val="24"/>
          <w:vertAlign w:val="superscript"/>
        </w:rPr>
        <w:t>51</w:t>
      </w:r>
      <w:r w:rsidR="003B0687" w:rsidRPr="00901194">
        <w:rPr>
          <w:rFonts w:cs="Times New Roman"/>
          <w:szCs w:val="24"/>
        </w:rPr>
        <w:fldChar w:fldCharType="end"/>
      </w:r>
      <w:r w:rsidR="003B0687" w:rsidRPr="00901194">
        <w:rPr>
          <w:rFonts w:cs="Times New Roman"/>
          <w:szCs w:val="24"/>
        </w:rPr>
        <w:t>, developed forensic methods through integrating metabolomic data with other multi-omic analyses</w:t>
      </w:r>
      <w:r w:rsidR="003B0687" w:rsidRPr="00901194">
        <w:rPr>
          <w:rFonts w:cs="Times New Roman"/>
          <w:szCs w:val="24"/>
        </w:rPr>
        <w:fldChar w:fldCharType="begin" w:fldLock="1"/>
      </w:r>
      <w:r w:rsidR="000A1931" w:rsidRPr="00901194">
        <w:rPr>
          <w:rFonts w:cs="Times New Roman"/>
          <w:szCs w:val="24"/>
        </w:rPr>
        <w:instrText>ADDIN CSL_CITATION {"citationItems":[{"id":"ITEM-1","itemData":{"DOI":"10.7554/ELIFE.83658","ISSN":"2050084X","PMID":"36583441","abstract":"The combined use of multiple omics allows to study complex interrelated biological processes in their entirety. We applied a combination of metabolomics, lipidomics and proteomics to human bones to investigate their combined potential to estimate time elapsed since death (i.e., the postmortem interval [PMI]). This ‘ForensOMICS’ approach has the potential to improve accuracy and precision of PMI estimation of skeletonized human remains, thereby helping forensic investigators to establish the timeline of events surrounding death. Anterior midshaft tibial bone was collected from four female body donors before their placement at the Forensic Anthropology Research Facility owned by the Forensic Anthropological Center at Texas State (FACTS). Bone samples were again collected at selected PMIs (219-790-834-872days). Liquid chromatography mass spectrometry (LC-MS) was used to obtain untargeted metabolomic, lipidomic, and proteomic profiles from the pre-and post-placement bone samples. The three omics blocks were investigated independently by univariate and multivariate analyses, followed by Data Integration Analysis for Biomarker discovery using Latent variable approaches for Omics studies (DIABLO), to identify the reduced number of markers describing postmortem changes and discriminating the individuals based on their PMI. The resulting model showed that pre-placement metabolome, lipidome and proteome profiles were clearly distinguishable from post-placement ones. Metabolites in the pre-placement samples suggested an extinction of the energetic metabolism and a switch towards another source of fuel-ling (e.g., structural proteins). We were able to identify certain biomolecules with an excellent potential for PMI estimation, predominantly the biomolecules from the metabolomics block. Our findings suggest that, by targeting a combination of compounds with different postmortem stability, in the future we could be able to estimate both short PMIs, by using metabolites and lipids, and longer PMIs, by using proteins.","author":[{"dropping-particle":"","family":"Bonicelli","given":"Andrea","non-dropping-particle":"","parse-names":false,"suffix":""},{"dropping-particle":"","family":"Mickleburgh","given":"Hayley L.","non-dropping-particle":"","parse-names":false,"suffix":""},{"dropping-particle":"","family":"Chighine","given":"Alberto","non-dropping-particle":"","parse-names":false,"suffix":""},{"dropping-particle":"","family":"Locci","given":"Emanuela","non-dropping-particle":"","parse-names":false,"suffix":""},{"dropping-particle":"","family":"Wescott","given":"Daniel J.","non-dropping-particle":"","parse-names":false,"suffix":""},{"dropping-particle":"","family":"Procopio","given":"Noemi","non-dropping-particle":"","parse-names":false,"suffix":""}],"container-title":"eLife","id":"ITEM-1","issued":{"date-parts":[["2022"]]},"page":"1-22","title":"The ‘ForensOMICS’ approach for postmortem interval estimation from human bone by integrating metabolomics, lipidomics, and proteomics","type":"article-journal","volume":"11"},"uris":["http://www.mendeley.com/documents/?uuid=c598bf17-ff50-4d25-8eb6-da07d7aab4a9"]}],"mendeley":{"formattedCitation":"&lt;sup&gt;52&lt;/sup&gt;","plainTextFormattedCitation":"52","previouslyFormattedCitation":"&lt;sup&gt;52&lt;/sup&gt;"},"properties":{"noteIndex":0},"schema":"https://github.com/citation-style-language/schema/raw/master/csl-citation.json"}</w:instrText>
      </w:r>
      <w:r w:rsidR="003B0687" w:rsidRPr="00901194">
        <w:rPr>
          <w:rFonts w:cs="Times New Roman"/>
          <w:szCs w:val="24"/>
        </w:rPr>
        <w:fldChar w:fldCharType="separate"/>
      </w:r>
      <w:r w:rsidR="00AB5632" w:rsidRPr="00901194">
        <w:rPr>
          <w:rFonts w:cs="Times New Roman"/>
          <w:noProof/>
          <w:szCs w:val="24"/>
          <w:vertAlign w:val="superscript"/>
        </w:rPr>
        <w:t>52</w:t>
      </w:r>
      <w:r w:rsidR="003B0687" w:rsidRPr="00901194">
        <w:rPr>
          <w:rFonts w:cs="Times New Roman"/>
          <w:szCs w:val="24"/>
        </w:rPr>
        <w:fldChar w:fldCharType="end"/>
      </w:r>
      <w:r w:rsidR="003B0687" w:rsidRPr="00901194">
        <w:rPr>
          <w:rFonts w:cs="Times New Roman"/>
          <w:szCs w:val="24"/>
        </w:rPr>
        <w:t>, and investigated medicinal plant consumption by Neanderthals</w:t>
      </w:r>
      <w:r w:rsidR="003B0687" w:rsidRPr="00901194">
        <w:rPr>
          <w:rFonts w:cs="Times New Roman"/>
          <w:szCs w:val="24"/>
        </w:rPr>
        <w:fldChar w:fldCharType="begin" w:fldLock="1"/>
      </w:r>
      <w:r w:rsidR="000A1931" w:rsidRPr="00901194">
        <w:rPr>
          <w:rFonts w:cs="Times New Roman"/>
          <w:szCs w:val="24"/>
        </w:rPr>
        <w:instrText>ADDIN CSL_CITATION {"citationItems":[{"id":"ITEM-1","itemData":{"DOI":"10.1007/s00114-012-0942-0","ISSN":"00281042","abstract":"Neanderthals disappeared sometime between 30,000 and 24,000 years ago. Until recently, Neanderthals were understood to have been predominantly meat-eaters; however, a growing body of evidence suggests their diet also included plants. We present the results of a study, in which sequential thermal desorption-gas chromatography-mass spectrometry (TD-GC-MS) and pyrolysis-gas chromatographymass spectrometry (Py-GC-MS) were combined with morphological analysis of plant microfossils, to identify material entrapped in dental calculus from five Neanderthal individuals from the north Spanish site of El Sidrón. Our results provide the first molecular evidence for inhalation of wood-fire smoke and bitumen or oil shale and ingestion of a range of cooked plant foods. We also offer the first evidence for the use of medicinal plants by a Neanderthal individual. The varied use of plants that we have identified suggests that the Neanderthal occupants of El Sidrón had a sophisticated knowledge of their natural surroundings which included the ability to select and use certain plants. © Springer-Verlag 2012.","author":[{"dropping-particle":"","family":"Hardy","given":"Karen","non-dropping-particle":"","parse-names":false,"suffix":""},{"dropping-particle":"","family":"Buckley","given":"Stephen","non-dropping-particle":"","parse-names":false,"suffix":""},{"dropping-particle":"","family":"Collins","given":"Matthew J.","non-dropping-particle":"","parse-names":false,"suffix":""},{"dropping-particle":"","family":"Estalrrich","given":"Almudena","non-dropping-particle":"","parse-names":false,"suffix":""},{"dropping-particle":"","family":"Brothwell","given":"Don","non-dropping-particle":"","parse-names":false,"suffix":""},{"dropping-particle":"","family":"Copeland","given":"Les","non-dropping-particle":"","parse-names":false,"suffix":""},{"dropping-particle":"","family":"García-Tabernero","given":"Antonio","non-dropping-particle":"","parse-names":false,"suffix":""},{"dropping-particle":"","family":"García-Vargas","given":"Samuel","non-dropping-particle":"","parse-names":false,"suffix":""},{"dropping-particle":"","family":"La Rasilla","given":"Marco","non-dropping-particle":"De","parse-names":false,"suffix":""},{"dropping-particle":"","family":"Lalueza-Fox","given":"Carles","non-dropping-particle":"","parse-names":false,"suffix":""},{"dropping-particle":"","family":"Huguet","given":"Rosa","non-dropping-particle":"","parse-names":false,"suffix":""},{"dropping-particle":"","family":"Bastir","given":"Markus","non-dropping-particle":"","parse-names":false,"suffix":""},{"dropping-particle":"","family":"Santamaría","given":"David","non-dropping-particle":"","parse-names":false,"suffix":""},{"dropping-particle":"","family":"Madella","given":"Marco","non-dropping-particle":"","parse-names":false,"suffix":""},{"dropping-particle":"","family":"Wilson","given":"Julie","non-dropping-particle":"","parse-names":false,"suffix":""},{"dropping-particle":"","family":"Cortés","given":"Ángel Fernández","non-dropping-particle":"","parse-names":false,"suffix":""},{"dropping-particle":"","family":"Rosas","given":"Antonio","non-dropping-particle":"","parse-names":false,"suffix":""}],"container-title":"Naturwissenschaften","id":"ITEM-1","issue":"8","issued":{"date-parts":[["2012"]]},"note":"Social article -- talks about medicine practices","page":"617-626","title":"Neanderthal medics? Evidence for food, cooking, and medicinal plants entrapped in dental calculus","type":"article-journal","volume":"99"},"uris":["http://www.mendeley.com/documents/?uuid=6f201d90-afb1-40b3-8bc3-1565535ce2bf"]}],"mendeley":{"formattedCitation":"&lt;sup&gt;53&lt;/sup&gt;","plainTextFormattedCitation":"53","previouslyFormattedCitation":"&lt;sup&gt;53&lt;/sup&gt;"},"properties":{"noteIndex":0},"schema":"https://github.com/citation-style-language/schema/raw/master/csl-citation.json"}</w:instrText>
      </w:r>
      <w:r w:rsidR="003B0687" w:rsidRPr="00901194">
        <w:rPr>
          <w:rFonts w:cs="Times New Roman"/>
          <w:szCs w:val="24"/>
        </w:rPr>
        <w:fldChar w:fldCharType="separate"/>
      </w:r>
      <w:r w:rsidR="00AB5632" w:rsidRPr="00901194">
        <w:rPr>
          <w:rFonts w:cs="Times New Roman"/>
          <w:noProof/>
          <w:szCs w:val="24"/>
          <w:vertAlign w:val="superscript"/>
        </w:rPr>
        <w:t>53</w:t>
      </w:r>
      <w:r w:rsidR="003B0687" w:rsidRPr="00901194">
        <w:rPr>
          <w:rFonts w:cs="Times New Roman"/>
          <w:szCs w:val="24"/>
        </w:rPr>
        <w:fldChar w:fldCharType="end"/>
      </w:r>
      <w:r w:rsidR="003B0687" w:rsidRPr="00901194">
        <w:rPr>
          <w:rFonts w:cs="Times New Roman"/>
          <w:szCs w:val="24"/>
        </w:rPr>
        <w:t xml:space="preserve">. </w:t>
      </w:r>
      <w:r w:rsidR="00400AE7" w:rsidRPr="00901194">
        <w:rPr>
          <w:rFonts w:cs="Times New Roman"/>
          <w:szCs w:val="24"/>
        </w:rPr>
        <w:t xml:space="preserve">Another </w:t>
      </w:r>
      <w:r w:rsidR="00A550D3" w:rsidRPr="00901194">
        <w:rPr>
          <w:rFonts w:cs="Times New Roman"/>
          <w:szCs w:val="24"/>
        </w:rPr>
        <w:t xml:space="preserve">approach </w:t>
      </w:r>
      <w:r w:rsidR="00400AE7" w:rsidRPr="00901194">
        <w:rPr>
          <w:rFonts w:cs="Times New Roman"/>
          <w:szCs w:val="24"/>
        </w:rPr>
        <w:t xml:space="preserve">involves </w:t>
      </w:r>
      <w:r w:rsidR="00A550D3" w:rsidRPr="00901194">
        <w:rPr>
          <w:rFonts w:cs="Times New Roman"/>
          <w:szCs w:val="24"/>
        </w:rPr>
        <w:t>the microbiome, the collection of microbes and their genetic material</w:t>
      </w:r>
      <w:r w:rsidR="00A550D3" w:rsidRPr="00901194">
        <w:rPr>
          <w:rFonts w:cs="Times New Roman"/>
          <w:szCs w:val="24"/>
        </w:rPr>
        <w:fldChar w:fldCharType="begin" w:fldLock="1"/>
      </w:r>
      <w:r w:rsidR="000A1931" w:rsidRPr="00901194">
        <w:rPr>
          <w:rFonts w:cs="Times New Roman"/>
          <w:szCs w:val="24"/>
        </w:rPr>
        <w:instrText>ADDIN CSL_CITATION {"citationItems":[{"id":"ITEM-1","itemData":{"DOI":"10.1146/annurev-genom-090711-163814.The","ISBN":"0884533611","abstract":"The human genome has been referred to as the blueprint of human biology. In this review we consider an essential but largely ignored overlay to that blueprint, the human microbiome, which is composed of those microbes that live in and on our bodies. The human microbiome is a source of genetic diversity, a modifier of disease, an essential component of immunity, and a functional entity that influences metabolism and modulates drug interactions. Characterization and analysis of the human microbiome have been greatly catalyzed by advances in genomic technologies. We discuss how these technologies have shaped this emerging field of study and advanced our understanding of the human microbiome. We also identify future challenges, many of which are common to human genetic studies, and predict that in the future, analyzing genetic variation and risk of human disease will sometimes necessitate the integration of human and microbial genomic data sets.","author":[{"dropping-particle":"","family":"Grice","given":"Elizabeth A.","non-dropping-particle":"","parse-names":false,"suffix":""},{"dropping-particle":"","family":"Segre","given":"Julia A.","non-dropping-particle":"","parse-names":false,"suffix":""}],"container-title":"Annual Review of Genomics and Human Genetics","id":"ITEM-1","issued":{"date-parts":[["2012"]]},"page":"151-170","title":"The Human Microbiome: Our Second Genome","type":"article-journal","volume":"13"},"uris":["http://www.mendeley.com/documents/?uuid=e14ff135-bad1-41d4-bb6b-a43939c22715"]}],"mendeley":{"formattedCitation":"&lt;sup&gt;54&lt;/sup&gt;","plainTextFormattedCitation":"54","previouslyFormattedCitation":"&lt;sup&gt;54&lt;/sup&gt;"},"properties":{"noteIndex":0},"schema":"https://github.com/citation-style-language/schema/raw/master/csl-citation.json"}</w:instrText>
      </w:r>
      <w:r w:rsidR="00A550D3" w:rsidRPr="00901194">
        <w:rPr>
          <w:rFonts w:cs="Times New Roman"/>
          <w:szCs w:val="24"/>
        </w:rPr>
        <w:fldChar w:fldCharType="separate"/>
      </w:r>
      <w:r w:rsidR="00AB5632" w:rsidRPr="00901194">
        <w:rPr>
          <w:rFonts w:cs="Times New Roman"/>
          <w:noProof/>
          <w:szCs w:val="24"/>
          <w:vertAlign w:val="superscript"/>
        </w:rPr>
        <w:t>54</w:t>
      </w:r>
      <w:r w:rsidR="00A550D3" w:rsidRPr="00901194">
        <w:rPr>
          <w:rFonts w:cs="Times New Roman"/>
          <w:szCs w:val="24"/>
        </w:rPr>
        <w:fldChar w:fldCharType="end"/>
      </w:r>
      <w:r w:rsidR="00A550D3" w:rsidRPr="00901194">
        <w:rPr>
          <w:rFonts w:cs="Times New Roman"/>
          <w:szCs w:val="24"/>
        </w:rPr>
        <w:t xml:space="preserve">, and the metabolic pathways associated with these microbes. </w:t>
      </w:r>
      <w:r w:rsidR="004B53E8" w:rsidRPr="00901194">
        <w:rPr>
          <w:rFonts w:cs="Times New Roman"/>
          <w:szCs w:val="24"/>
        </w:rPr>
        <w:t xml:space="preserve">This microbiome-metabolome connection is prevalent in many case studies, especially anthropological metabolomics studies, </w:t>
      </w:r>
      <w:r w:rsidR="00615397" w:rsidRPr="00901194">
        <w:rPr>
          <w:rFonts w:cs="Times New Roman"/>
          <w:szCs w:val="24"/>
        </w:rPr>
        <w:t>to explore the functional consequences of our residential microbes.</w:t>
      </w:r>
      <w:r w:rsidR="004B53E8" w:rsidRPr="00901194">
        <w:rPr>
          <w:rFonts w:cs="Times New Roman"/>
          <w:szCs w:val="24"/>
        </w:rPr>
        <w:t xml:space="preserve"> E</w:t>
      </w:r>
      <w:r w:rsidR="00A550D3" w:rsidRPr="00901194">
        <w:rPr>
          <w:rFonts w:cs="Times New Roman"/>
          <w:szCs w:val="24"/>
        </w:rPr>
        <w:t>xamples include identifying novel bile acids modified by gut microbiota</w:t>
      </w:r>
      <w:r w:rsidR="00A550D3" w:rsidRPr="00901194">
        <w:rPr>
          <w:rFonts w:cs="Times New Roman"/>
          <w:szCs w:val="24"/>
        </w:rPr>
        <w:fldChar w:fldCharType="begin" w:fldLock="1"/>
      </w:r>
      <w:r w:rsidR="000A1931" w:rsidRPr="00901194">
        <w:rPr>
          <w:rFonts w:cs="Times New Roman"/>
          <w:szCs w:val="24"/>
        </w:rPr>
        <w:instrText>ADDIN CSL_CITATION {"citationItems":[{"id":"ITEM-1","itemData":{"DOI":"10.1038/s41586-020-2047-9","ISBN":"4158602020479","ISSN":"14764687","PMID":"32103176","abstract":"A mosaic of cross-phylum chemical interactions occurs between all metazoans and their microbiomes. A number of molecular families that are known to be produced by the microbiome have a marked effect on the balance between health and disease1–9. Considering the diversity of the human microbiome (which numbers over 40,000 operational taxonomic units10), the effect of the microbiome on the chemistry of an entire animal remains underexplored. Here we use mass spectrometry informatics and data visualization approaches11–13 to provide an assessment of the effects of the microbiome on the chemistry of an entire mammal by comparing metabolomics data from germ-free and specific-pathogen-free mice. We found that the microbiota affects the chemistry of all organs. This included the amino acid conjugations of host bile acids that were used to produce phenylalanocholic acid, tyrosocholic acid and leucocholic acid, which have not previously been characterized despite extensive research on bile-acid chemistry14. These bile-acid conjugates were also found in humans, and were enriched in patients with inflammatory bowel disease or cystic fibrosis. These compounds agonized the farnesoid X receptor in vitro, and mice gavaged with the compounds showed reduced expression of bile-acid synthesis genes in vivo. Further studies are required to confirm whether these compounds have a physiological role in the host, and whether they contribute to gut diseases that are associated with microbiome dysbiosis.","author":[{"dropping-particle":"","family":"Quinn","given":"Robert A.","non-dropping-particle":"","parse-names":false,"suffix":""},{"dropping-particle":"V.","family":"Melnik","given":"Alexey","non-dropping-particle":"","parse-names":false,"suffix":""},{"dropping-particle":"","family":"Vrbanac","given":"Alison","non-dropping-particle":"","parse-names":false,"suffix":""},{"dropping-particle":"","family":"Fu","given":"Ting","non-dropping-particle":"","parse-names":false,"suffix":""},{"dropping-particle":"","family":"Patras","given":"Kathryn A.","non-dropping-particle":"","parse-names":false,"suffix":""},{"dropping-particle":"","family":"Christy","given":"Mitchell P.","non-dropping-particle":"","parse-names":false,"suffix":""},{"dropping-particle":"","family":"Bodai","given":"Zsolt","non-dropping-particle":"","parse-names":false,"suffix":""},{"dropping-particle":"","family":"Belda-Ferre","given":"Pedro","non-dropping-particle":"","parse-names":false,"suffix":""},{"dropping-particle":"","family":"Tripathi","given":"Anupriya","non-dropping-particle":"","parse-names":false,"suffix":""},{"dropping-particle":"","family":"Chung","given":"Lawton K.","non-dropping-particle":"","parse-names":false,"suffix":""},{"dropping-particle":"","family":"Downes","given":"Michael","non-dropping-particle":"","parse-names":false,"suffix":""},{"dropping-particle":"","family":"Welch","given":"Ryan D.","non-dropping-particle":"","parse-names":false,"suffix":""},{"dropping-particle":"","family":"Quinn","given":"Melissa","non-dropping-particle":"","parse-names":false,"suffix":""},{"dropping-particle":"","family":"Humphrey","given":"Greg","non-dropping-particle":"","parse-names":false,"suffix":""},{"dropping-particle":"","family":"Panitchpakdi","given":"Morgan","non-dropping-particle":"","parse-names":false,"suffix":""},{"dropping-particle":"","family":"Weldon","given":"Kelly C.","non-dropping-particle":"","parse-names":false,"suffix":""},{"dropping-particle":"","family":"Aksenov","given":"Alexander","non-dropping-particle":"","parse-names":false,"suffix":""},{"dropping-particle":"","family":"Silva","given":"Ricardo","non-dropping-particle":"da","parse-names":false,"suffix":""},{"dropping-particle":"","family":"Avila-Pacheco","given":"Julian","non-dropping-particle":"","parse-names":false,"suffix":""},{"dropping-particle":"","family":"Clish","given":"Clary","non-dropping-particle":"","parse-names":false,"suffix":""},{"dropping-particle":"","family":"Bae","given":"Sena","non-dropping-particle":"","parse-names":false,"suffix":""},{"dropping-particle":"","family":"Mallick","given":"Himel","non-dropping-particle":"","parse-names":false,"suffix":""},{"dropping-particle":"","family":"Franzosa","given":"Eric A.","non-dropping-particle":"","parse-names":false,"suffix":""},{"dropping-particle":"","family":"Lloyd-Price","given":"Jason","non-dropping-particle":"","parse-names":false,"suffix":""},{"dropping-particle":"","family":"Bussell","given":"Robert","non-dropping-particle":"","parse-names":false,"suffix":""},{"dropping-particle":"","family":"Thron","given":"Taren","non-dropping-particle":"","parse-names":false,"suffix":""},{"dropping-particle":"","family":"Nelson","given":"Andrew T.","non-dropping-particle":"","parse-names":false,"suffix":""},{"dropping-particle":"","family":"Wang","given":"Mingxun","non-dropping-particle":"","parse-names":false,"suffix":""},{"dropping-particle":"","family":"Leszczynski","given":"Eric","non-dropping-particle":"","parse-names":false,"suffix":""},{"dropping-particle":"","family":"Vargas","given":"Fernando","non-dropping-particle":"","parse-names":false,"suffix":""},{"dropping-particle":"","family":"Gauglitz","given":"Julia M.","non-dropping-particle":"","parse-names":false,"suffix":""},{"dropping-particle":"","family":"Meehan","given":"Michael J.","non-dropping-particle":"","parse-names":false,"suffix":""},{"dropping-particle":"","family":"Gentry","given":"Emily","non-dropping-particle":"","parse-names":false,"suffix":""},{"dropping-particle":"","family":"Arthur","given":"Timothy D.","non-dropping-particle":"","parse-names":false,"suffix":""},{"dropping-particle":"","family":"Komor","given":"Alexis C.","non-dropping-particle":"","parse-names":false,"suffix":""},{"dropping-particle":"","family":"Poulsen","given":"Orit","non-dropping-particle":"","parse-names":false,"suffix":""},{"dropping-particle":"","family":"Boland","given":"Brigid S.","non-dropping-particle":"","parse-names":false,"suffix":""},{"dropping-particle":"","family":"Chang","given":"John T.","non-dropping-particle":"","parse-names":false,"suffix":""},{"dropping-particle":"","family":"Sandborn","given":"William J.","non-dropping-particle":"","parse-names":false,"suffix":""},{"dropping-particle":"","family":"Lim","given":"Meerana","non-dropping-particle":"","parse-names":false,"suffix":""},{"dropping-particle":"","family":"Garg","given":"Neha","non-dropping-particle":"","parse-names":false,"suffix":""},{"dropping-particle":"","family":"Lumeng","given":"Julie C.","non-dropping-particle":"","parse-names":false,"suffix":""},{"dropping-particle":"","family":"Xavier","given":"Ramnik J.","non-dropping-particle":"","parse-names":false,"suffix":""},{"dropping-particle":"","family":"Kazmierczak","given":"Barbara I.","non-dropping-particle":"","parse-names":false,"suffix":""},{"dropping-particle":"","family":"Jain","given":"Ruchi","non-dropping-particle":"","parse-names":false,"suffix":""},{"dropping-particle":"","family":"Egan","given":"Marie","non-dropping-particle":"","parse-names":false,"suffix":""},{"dropping-particle":"","family":"Rhee","given":"Kyung E.","non-dropping-particle":"","parse-names":false,"suffix":""},{"dropping-particle":"","family":"Ferguson","given":"David","non-dropping-particle":"","parse-names":false,"suffix":""},{"dropping-particle":"","family":"Raffatellu","given":"Manuela","non-dropping-particle":"","parse-names":false,"suffix":""},{"dropping-particle":"","family":"Vlamakis","given":"Hera","non-dropping-particle":"","parse-names":false,"suffix":""},{"dropping-particle":"","family":"Haddad","given":"Gabriel G.","non-dropping-particle":"","parse-names":false,"suffix":""},{"dropping-particle":"","family":"Siegel","given":"Dionicio","non-dropping-particle":"","parse-names":false,"suffix":""},{"dropping-particle":"","family":"Huttenhower","given":"Curtis","non-dropping-particle":"","parse-names":false,"suffix":""},{"dropping-particle":"","family":"Mazmanian","given":"Sarkis K.","non-dropping-particle":"","parse-names":false,"suffix":""},{"dropping-particle":"","family":"Evans","given":"Ronald M.","non-dropping-particle":"","parse-names":false,"suffix":""},{"dropping-particle":"","family":"Nizet","given":"Victor","non-dropping-particle":"","parse-names":false,"suffix":""},{"dropping-particle":"","family":"Knight","given":"Rob","non-dropping-particle":"","parse-names":false,"suffix":""},{"dropping-particle":"","family":"Dorrestein","given":"Pieter C.","non-dropping-particle":"","parse-names":false,"suffix":""}],"container-title":"Nature","id":"ITEM-1","issue":"7797","issued":{"date-parts":[["2020"]]},"note":"Conjugated bile acids paper -- critical for ours","page":"123-129","publisher":"Springer US","title":"Global chemical effects of the microbiome include new bile-acid conjugations","type":"article-journal","volume":"579"},"uris":["http://www.mendeley.com/documents/?uuid=e63426d4-0f32-40d5-a3c4-074f017d8998"]}],"mendeley":{"formattedCitation":"&lt;sup&gt;30&lt;/sup&gt;","plainTextFormattedCitation":"30","previouslyFormattedCitation":"&lt;sup&gt;30&lt;/sup&gt;"},"properties":{"noteIndex":0},"schema":"https://github.com/citation-style-language/schema/raw/master/csl-citation.json"}</w:instrText>
      </w:r>
      <w:r w:rsidR="00A550D3" w:rsidRPr="00901194">
        <w:rPr>
          <w:rFonts w:cs="Times New Roman"/>
          <w:szCs w:val="24"/>
        </w:rPr>
        <w:fldChar w:fldCharType="separate"/>
      </w:r>
      <w:r w:rsidR="00AB5632" w:rsidRPr="00901194">
        <w:rPr>
          <w:rFonts w:cs="Times New Roman"/>
          <w:noProof/>
          <w:szCs w:val="24"/>
          <w:vertAlign w:val="superscript"/>
        </w:rPr>
        <w:t>30</w:t>
      </w:r>
      <w:r w:rsidR="00A550D3" w:rsidRPr="00901194">
        <w:rPr>
          <w:rFonts w:cs="Times New Roman"/>
          <w:szCs w:val="24"/>
        </w:rPr>
        <w:fldChar w:fldCharType="end"/>
      </w:r>
      <w:r w:rsidR="00A550D3" w:rsidRPr="00901194">
        <w:rPr>
          <w:rFonts w:cs="Times New Roman"/>
          <w:szCs w:val="24"/>
        </w:rPr>
        <w:t xml:space="preserve">, characterizing traditional human fecal metabolomes </w:t>
      </w:r>
      <w:r w:rsidR="004B53E8" w:rsidRPr="00901194">
        <w:rPr>
          <w:rFonts w:cs="Times New Roman"/>
          <w:szCs w:val="24"/>
        </w:rPr>
        <w:t xml:space="preserve">by association to </w:t>
      </w:r>
      <w:r w:rsidR="00A550D3" w:rsidRPr="00901194">
        <w:rPr>
          <w:rFonts w:cs="Times New Roman"/>
          <w:szCs w:val="24"/>
        </w:rPr>
        <w:t>host microbiome</w:t>
      </w:r>
      <w:r w:rsidR="00A550D3" w:rsidRPr="00901194">
        <w:rPr>
          <w:rFonts w:cs="Times New Roman"/>
          <w:szCs w:val="24"/>
        </w:rPr>
        <w:fldChar w:fldCharType="begin" w:fldLock="1"/>
      </w:r>
      <w:r w:rsidR="000A1931" w:rsidRPr="00901194">
        <w:rPr>
          <w:rFonts w:cs="Times New Roman"/>
          <w:szCs w:val="24"/>
        </w:rPr>
        <w:instrText>ADDIN CSL_CITATION {"citationItems":[{"id":"ITEM-1","itemData":{"DOI":"10.1016/j.cub.2015.10.060","ISBN":"0000287431","ISSN":"09609822","PMID":"26671671","abstract":"Existing studies characterizing gut microbiome variation in the United States suffer from population ascertainment biases, with individuals of American Indian ancestry being among the most underrepresented. Here, we describe the first gut microbiome diversity study of an American Indian community. We partnered with the Cheyenne and Arapaho (C&amp;A), federally recognized American Indian tribes in Oklahoma, and compared gut microbiome diversity and metabolic function of C&amp;A participants to individuals of non-native ancestry in Oklahoma (NNIs). While the C&amp;A and NNI participants share microbiome features common to industrialized populations, the C&amp;A participants had taxonomic profiles characterized by a reduced abundance of the anti-inflammatory bacterial genus Faecalibacterium, along with a fecal metabolite profile similar to dysbiotic states described for metabolic disorders. American Indians are known to be at elevated risk for metabolic disorders. While many aspects of this health disparity remain poorly understood, our results support the need to further study the microbiome as a contributing factor. As the field of microbiome research transitions to therapeutic interventions, it raises concerns that the continued exclusion and lack of participation of American Indian communities in these studies will further exacerbate health disparities. To increase momentum in fostering these much needed partnerships, it is essential that the scientific community actively engage in and recruit these vulnerable populations in basic research through a strategy that promotes mutual trust and understanding, as outlined in this study.","author":[{"dropping-particle":"","family":"Sankaranarayanan","given":"Krithivasan","non-dropping-particle":"","parse-names":false,"suffix":""},{"dropping-particle":"","family":"Ozga","given":"Andrew T.","non-dropping-particle":"","parse-names":false,"suffix":""},{"dropping-particle":"","family":"Warinner","given":"Christina","non-dropping-particle":"","parse-names":false,"suffix":""},{"dropping-particle":"","family":"Tito","given":"Raul Y.","non-dropping-particle":"","parse-names":false,"suffix":""},{"dropping-particle":"","family":"Obregon-Tito","given":"Alexandra J.","non-dropping-particle":"","parse-names":false,"suffix":""},{"dropping-particle":"","family":"Xu","given":"Jiawu","non-dropping-particle":"","parse-names":false,"suffix":""},{"dropping-particle":"","family":"Gaffney","given":"Patrick M.","non-dropping-particle":"","parse-names":false,"suffix":""},{"dropping-particle":"","family":"Jervis","given":"Lori L.","non-dropping-particle":"","parse-names":false,"suffix":""},{"dropping-particle":"","family":"Cox","given":"Derrell","non-dropping-particle":"","parse-names":false,"suffix":""},{"dropping-particle":"","family":"Stephens","given":"Lancer","non-dropping-particle":"","parse-names":false,"suffix":""},{"dropping-particle":"","family":"Foster","given":"Morris","non-dropping-particle":"","parse-names":false,"suffix":""},{"dropping-particle":"","family":"Tallbull","given":"Gloria","non-dropping-particle":"","parse-names":false,"suffix":""},{"dropping-particle":"","family":"Spicer","given":"Paul","non-dropping-particle":"","parse-names":false,"suffix":""},{"dropping-particle":"","family":"Lewis","given":"Cecil M.","non-dropping-particle":"","parse-names":false,"suffix":""}],"container-title":"Current Biology","id":"ITEM-1","issue":"24","issued":{"date-parts":[["2015"]]},"note":"Use as reference for Anths doing metabolomics work","page":"3161-3169","publisher":"Elsevier Ltd","title":"Gut Microbiome Diversity among Cheyenne and Arapaho Individuals from Western Oklahoma","type":"article-journal","volume":"25"},"uris":["http://www.mendeley.com/documents/?uuid=a841ca99-1dd7-43d7-8d13-a087024f4049"]},{"id":"ITEM-2","itemData":{"DOI":"10.1038/srep32826","author":[{"dropping-particle":"","family":"Turroni","given":"Silvia","non-dropping-particle":"","parse-names":false,"suffix":""},{"dropping-particle":"","family":"Fiori","given":"Jessica","non-dropping-particle":"","parse-names":false,"suffix":""},{"dropping-particle":"","family":"Rampelli","given":"Simone","non-dropping-particle":"","parse-names":false,"suffix":""},{"dropping-particle":"","family":"Schnorr","given":"Stephanie L.","non-dropping-particle":"","parse-names":false,"suffix":""},{"dropping-particle":"","family":"Consolandi","given":"Clarissa","non-dropping-particle":"","parse-names":false,"suffix":""},{"dropping-particle":"","family":"Barone","given":"Monica","non-dropping-particle":"","parse-names":false,"suffix":""},{"dropping-particle":"","family":"Biagi","given":"Elena","non-dropping-particle":"","parse-names":false,"suffix":""},{"dropping-particle":"","family":"Fanelli","given":"Flaminia","non-dropping-particle":"","parse-names":false,"suffix":""},{"dropping-particle":"","family":"Mezzullo","given":"Marco","non-dropping-particle":"","parse-names":false,"suffix":""},{"dropping-particle":"","family":"Crittenden","given":"Alyssa N.","non-dropping-particle":"","parse-names":false,"suffix":""},{"dropping-particle":"","family":"Henry","given":"Amanda G.","non-dropping-particle":"","parse-names":false,"suffix":""},{"dropping-particle":"","family":"Brigidi","given":"Patrizia","non-dropping-particle":"","parse-names":false,"suffix":""},{"dropping-particle":"","family":"Candela","given":"Marco","non-dropping-particle":"","parse-names":false,"suffix":""}],"container-title":"Scientific Reports","id":"ITEM-2","issue":"1","issued":{"date-parts":[["2016"]]},"note":"Targeted","page":"1-9","publisher":"Nature Publishing Group","title":"Fecal metabolome of the Hadza hunter-gatherers: a host-microbiome integrative view","type":"article-journal","volume":"6"},"uris":["http://www.mendeley.com/documents/?uuid=91b4d94a-3657-4bf6-9095-53b2a78e6bf6"]}],"mendeley":{"formattedCitation":"&lt;sup&gt;50,55&lt;/sup&gt;","plainTextFormattedCitation":"50,55","previouslyFormattedCitation":"&lt;sup&gt;50,55&lt;/sup&gt;"},"properties":{"noteIndex":0},"schema":"https://github.com/citation-style-language/schema/raw/master/csl-citation.json"}</w:instrText>
      </w:r>
      <w:r w:rsidR="00A550D3" w:rsidRPr="00901194">
        <w:rPr>
          <w:rFonts w:cs="Times New Roman"/>
          <w:szCs w:val="24"/>
        </w:rPr>
        <w:fldChar w:fldCharType="separate"/>
      </w:r>
      <w:r w:rsidR="00AB5632" w:rsidRPr="00901194">
        <w:rPr>
          <w:rFonts w:cs="Times New Roman"/>
          <w:noProof/>
          <w:szCs w:val="24"/>
          <w:vertAlign w:val="superscript"/>
        </w:rPr>
        <w:t>50,55</w:t>
      </w:r>
      <w:r w:rsidR="00A550D3" w:rsidRPr="00901194">
        <w:rPr>
          <w:rFonts w:cs="Times New Roman"/>
          <w:szCs w:val="24"/>
        </w:rPr>
        <w:fldChar w:fldCharType="end"/>
      </w:r>
      <w:r w:rsidR="00363853" w:rsidRPr="00901194">
        <w:rPr>
          <w:rFonts w:cs="Times New Roman"/>
          <w:szCs w:val="24"/>
        </w:rPr>
        <w:t>,</w:t>
      </w:r>
      <w:r w:rsidR="00363853" w:rsidRPr="00901194">
        <w:rPr>
          <w:rFonts w:cs="Times New Roman"/>
          <w:b/>
          <w:bCs/>
          <w:szCs w:val="24"/>
        </w:rPr>
        <w:t xml:space="preserve"> </w:t>
      </w:r>
      <w:r w:rsidR="00615397" w:rsidRPr="00901194">
        <w:rPr>
          <w:rFonts w:cs="Times New Roman"/>
          <w:szCs w:val="24"/>
        </w:rPr>
        <w:t>and</w:t>
      </w:r>
      <w:r w:rsidR="00615397" w:rsidRPr="00901194">
        <w:rPr>
          <w:rFonts w:cs="Times New Roman"/>
          <w:b/>
          <w:bCs/>
          <w:szCs w:val="24"/>
        </w:rPr>
        <w:t xml:space="preserve"> </w:t>
      </w:r>
      <w:r w:rsidR="00615397" w:rsidRPr="00901194">
        <w:rPr>
          <w:rFonts w:cs="Times New Roman"/>
          <w:szCs w:val="24"/>
        </w:rPr>
        <w:t>comparing</w:t>
      </w:r>
      <w:r w:rsidR="00615397" w:rsidRPr="00901194">
        <w:rPr>
          <w:rFonts w:cs="Times New Roman"/>
          <w:b/>
          <w:bCs/>
          <w:szCs w:val="24"/>
        </w:rPr>
        <w:t xml:space="preserve"> </w:t>
      </w:r>
      <w:r w:rsidR="00615397" w:rsidRPr="00901194">
        <w:rPr>
          <w:rFonts w:cs="Times New Roman"/>
          <w:szCs w:val="24"/>
        </w:rPr>
        <w:t>ancient and modern human oral microbiome profiles with integrated metabolomics data</w:t>
      </w:r>
      <w:r w:rsidR="00615397" w:rsidRPr="00901194">
        <w:rPr>
          <w:rFonts w:cs="Times New Roman"/>
          <w:szCs w:val="24"/>
        </w:rPr>
        <w:fldChar w:fldCharType="begin" w:fldLock="1"/>
      </w:r>
      <w:r w:rsidR="000A1931" w:rsidRPr="00901194">
        <w:rPr>
          <w:rFonts w:cs="Times New Roman"/>
          <w:szCs w:val="24"/>
        </w:rPr>
        <w:instrText>ADDIN CSL_CITATION {"citationItems":[{"id":"ITEM-1","itemData":{"DOI":"10.1186/s40168-019-0717-3","ISBN":"4016801907","ISSN":"20492618","abstract":"Background: Dental calculus, calcified oral plaque biofilm, contains microbial and host biomolecules that can be used to study historic microbiome communities and host responses. Dental calculus does not typically accumulate as much today as historically, and clinical oral microbiome research studies focus primarily on living dental plaque biofilm. However, plaque and calculus reflect different conditions of the oral biofilm, and the differences in microbial characteristics between the sample types have not yet been systematically explored. Here, we compare the microbial profiles of modern dental plaque, modern dental calculus, and historic dental calculus to establish expected differences between these substrates. Results: Metagenomic data was generated from modern and historic calculus samples, and dental plaque metagenomic data was downloaded from the Human Microbiome Project. Microbial composition and functional profile were assessed. Metaproteomic data was obtained from a subset of historic calculus samples. Comparisons between microbial, protein, and metabolomic profiles revealed distinct taxonomic and metabolic functional profiles between plaque, modern calculus, and historic calculus, but not between calculus collected from healthy teeth and periodontal disease-affected teeth. Species co-exclusion was related to biofilm environment. Proteomic profiling revealed that healthy tooth samples contain low levels of bacterial virulence proteins and a robust innate immune response. Correlations between proteomic and metabolomic profiles suggest co-preservation of bacterial lipid membranes and membrane-associated proteins. Conclusions: Overall, we find that there are systematic microbial differences between plaque and calculus related to biofilm physiology, and recognizing these differences is important for accurate data interpretation in studies comparing dental plaque and calculus.","author":[{"dropping-particle":"","family":"Velsko","given":"Irina M.","non-dropping-particle":"","parse-names":false,"suffix":""},{"dropping-particle":"","family":"Fellows Yates","given":"James A.","non-dropping-particle":"","parse-names":false,"suffix":""},{"dropping-particle":"","family":"Aron","given":"Franziska","non-dropping-particle":"","parse-names":false,"suffix":""},{"dropping-particle":"","family":"Hagan","given":"Richard W.","non-dropping-particle":"","parse-names":false,"suffix":""},{"dropping-particle":"","family":"Frantz","given":"Laurent A.F.","non-dropping-particle":"","parse-names":false,"suffix":""},{"dropping-particle":"","family":"Loe","given":"Louise","non-dropping-particle":"","parse-names":false,"suffix":""},{"dropping-particle":"","family":"Martinez","given":"Juan Bautista Rodriguez","non-dropping-particle":"","parse-names":false,"suffix":""},{"dropping-particle":"","family":"Chaves","given":"Eros","non-dropping-particle":"","parse-names":false,"suffix":""},{"dropping-particle":"","family":"Gosden","given":"Chris","non-dropping-particle":"","parse-names":false,"suffix":""},{"dropping-particle":"","family":"Larson","given":"Greger","non-dropping-particle":"","parse-names":false,"suffix":""},{"dropping-particle":"","family":"Warinner","given":"Christina","non-dropping-particle":"","parse-names":false,"suffix":""}],"container-title":"Microbiome","id":"ITEM-1","issue":"1","issued":{"date-parts":[["2019"]]},"note":"good for comparisons","page":"1-20","publisher":"Microbiome","title":"Microbial differences between dental plaque and historic dental calculus are related to oral biofilm maturation stage","type":"article-journal","volume":"7"},"uris":["http://www.mendeley.com/documents/?uuid=8c988113-ab9c-48d2-b67f-15c9ea85b62a"]}],"mendeley":{"formattedCitation":"&lt;sup&gt;56&lt;/sup&gt;","plainTextFormattedCitation":"56","previouslyFormattedCitation":"&lt;sup&gt;56&lt;/sup&gt;"},"properties":{"noteIndex":0},"schema":"https://github.com/citation-style-language/schema/raw/master/csl-citation.json"}</w:instrText>
      </w:r>
      <w:r w:rsidR="00615397" w:rsidRPr="00901194">
        <w:rPr>
          <w:rFonts w:cs="Times New Roman"/>
          <w:szCs w:val="24"/>
        </w:rPr>
        <w:fldChar w:fldCharType="separate"/>
      </w:r>
      <w:r w:rsidR="00AB5632" w:rsidRPr="00901194">
        <w:rPr>
          <w:rFonts w:cs="Times New Roman"/>
          <w:noProof/>
          <w:szCs w:val="24"/>
          <w:vertAlign w:val="superscript"/>
        </w:rPr>
        <w:t>56</w:t>
      </w:r>
      <w:r w:rsidR="00615397" w:rsidRPr="00901194">
        <w:rPr>
          <w:rFonts w:cs="Times New Roman"/>
          <w:szCs w:val="24"/>
        </w:rPr>
        <w:fldChar w:fldCharType="end"/>
      </w:r>
      <w:r w:rsidR="00615397" w:rsidRPr="00901194">
        <w:rPr>
          <w:rFonts w:cs="Times New Roman"/>
          <w:szCs w:val="24"/>
        </w:rPr>
        <w:t xml:space="preserve">. </w:t>
      </w:r>
      <w:r w:rsidR="0075416B" w:rsidRPr="00901194">
        <w:rPr>
          <w:rFonts w:cs="Times New Roman"/>
          <w:szCs w:val="24"/>
        </w:rPr>
        <w:t xml:space="preserve">These studies made strides towards better integrating MS-based metabolomics with biological and molecular anthropology, but there is still capacity for growth. </w:t>
      </w:r>
    </w:p>
    <w:p w14:paraId="5D79F9BC" w14:textId="6FAACF6D" w:rsidR="0027795B" w:rsidRPr="00901194" w:rsidRDefault="007E3305" w:rsidP="0027795B">
      <w:pPr>
        <w:ind w:firstLine="360"/>
        <w:rPr>
          <w:rFonts w:cs="Times New Roman"/>
          <w:b/>
          <w:bCs/>
        </w:rPr>
      </w:pPr>
      <w:r w:rsidRPr="00901194">
        <w:rPr>
          <w:rFonts w:cs="Times New Roman"/>
        </w:rPr>
        <w:lastRenderedPageBreak/>
        <w:t>T</w:t>
      </w:r>
      <w:r w:rsidR="007E550F" w:rsidRPr="00901194">
        <w:rPr>
          <w:rFonts w:cs="Times New Roman"/>
        </w:rPr>
        <w:t>he bulk of</w:t>
      </w:r>
      <w:r w:rsidR="0027795B" w:rsidRPr="00901194">
        <w:rPr>
          <w:rFonts w:cs="Times New Roman"/>
        </w:rPr>
        <w:t xml:space="preserve"> </w:t>
      </w:r>
      <w:r w:rsidR="007E550F" w:rsidRPr="00901194">
        <w:rPr>
          <w:rFonts w:cs="Times New Roman"/>
        </w:rPr>
        <w:t xml:space="preserve">anthropological </w:t>
      </w:r>
      <w:r w:rsidR="0027795B" w:rsidRPr="00901194">
        <w:rPr>
          <w:rFonts w:cs="Times New Roman"/>
        </w:rPr>
        <w:t xml:space="preserve">MS-based metabolomics </w:t>
      </w:r>
      <w:r w:rsidR="007E550F" w:rsidRPr="00901194">
        <w:rPr>
          <w:rFonts w:cs="Times New Roman"/>
        </w:rPr>
        <w:t xml:space="preserve">studies involve </w:t>
      </w:r>
      <w:r w:rsidR="0027795B" w:rsidRPr="00901194">
        <w:rPr>
          <w:rFonts w:cs="Times New Roman"/>
        </w:rPr>
        <w:t>organic residue analysis, a common archaeological technique. Residue analysis investigates the biomolecules found in organic residues preserved on archaeological samples</w:t>
      </w:r>
      <w:r w:rsidR="00034F8D" w:rsidRPr="00901194">
        <w:rPr>
          <w:rFonts w:cs="Times New Roman"/>
        </w:rPr>
        <w:t xml:space="preserve">. The </w:t>
      </w:r>
      <w:r w:rsidR="0027795B" w:rsidRPr="00901194">
        <w:rPr>
          <w:rFonts w:cs="Times New Roman"/>
        </w:rPr>
        <w:t xml:space="preserve">detection and </w:t>
      </w:r>
      <w:r w:rsidR="00A96B9E" w:rsidRPr="00901194">
        <w:rPr>
          <w:rFonts w:cs="Times New Roman"/>
        </w:rPr>
        <w:t xml:space="preserve">chemical </w:t>
      </w:r>
      <w:r w:rsidR="0027795B" w:rsidRPr="00901194">
        <w:rPr>
          <w:rFonts w:cs="Times New Roman"/>
        </w:rPr>
        <w:t xml:space="preserve">identity </w:t>
      </w:r>
      <w:r w:rsidR="00034F8D" w:rsidRPr="00901194">
        <w:rPr>
          <w:rFonts w:cs="Times New Roman"/>
        </w:rPr>
        <w:t xml:space="preserve">of these molecules on archaeological objects </w:t>
      </w:r>
      <w:r w:rsidR="0027795B" w:rsidRPr="00901194">
        <w:rPr>
          <w:rFonts w:cs="Times New Roman"/>
        </w:rPr>
        <w:t>provide information about past human cultural behavior</w:t>
      </w:r>
      <w:r w:rsidR="0027795B" w:rsidRPr="00901194">
        <w:rPr>
          <w:rFonts w:cs="Times New Roman"/>
        </w:rPr>
        <w:fldChar w:fldCharType="begin" w:fldLock="1"/>
      </w:r>
      <w:r w:rsidR="000A1931" w:rsidRPr="00901194">
        <w:rPr>
          <w:rFonts w:cs="Times New Roman"/>
        </w:rPr>
        <w:instrText>ADDIN CSL_CITATION {"citationItems":[{"id":"ITEM-1","itemData":{"DOI":"10.1111/j.1475-4754.2008.00446.x","ISBN":"0003-813X","ISSN":"0003813X","PMID":"18787261","abstract":"Organic residue analysis utilizes analytical organic chemical techniques to identify the nature and origins of organic remains that cannot be characterized using traditional techniques of archaeological investigation (because they are either amorphous or invisible). The field is founded upon the principle that the biomolecular, or biochemical, components of organic materials associated with human activity survive in a wide variety of locations and deposits at archaeological sites. The archaeological information contained in organic residues is represented by the biomolecular components of the natural products that contribute to the formation of a given residue. By applying appropriate separation (chromatographic) and identification (mass spectrometric) techniques, the preserved, and altered, biomolecular components of such residues can be revealed. Once identified, the Archaeological Biomarker Concept can be applied, wherein the structure and even isotopic composition(s) of a given biomolecule or suite of biomolecules (the ‘chemical fingerprint’) can be related to the compositions of organisms exploited by humans in the past. As the organic residue field emerges from its pre-paradigmatic phase, and the organic residue revolution gathers pace, the way is open for challenging many long-held archaeological hypotheses and offering new perspectives on the study of human activity in the past.","author":[{"dropping-particle":"","family":"Evershed","given":"R. P.","non-dropping-particle":"","parse-names":false,"suffix":""}],"container-title":"Archaeometry","id":"ITEM-1","issue":"6","issued":{"date-parts":[["2008"]]},"note":"Good review of residue analysis\n\nCovers different sample types/materials and the common biomarkers and chemical classes associated w/ these different materials\n\nReview article discussing archaeological organic residue analysis, focusing on major approaches (biomarker approach and metabolic fingerprinting), molecular preservation, and variations across different archaeological materials/environments. Emphasis the biomarker approach should be driven by specific hypotheses and used to complement other archaeological evidence","page":"895-924","title":"Organic residue analysis in archaeology: The archaeological biomarker revolution","type":"article-journal","volume":"50"},"uris":["http://www.mendeley.com/documents/?uuid=c1e02908-6139-42c6-856d-c0c20d1e6141"]},{"id":"ITEM-2","itemData":{"DOI":"10.1007/s10816-015-9253-z","ISBN":"1072-5369 1573-7764","ISSN":"15737764","abstract":"Working hypotheses, which draw upon as many relevant disciplines as possible to derive the maximum information from a very limited database, are key to the highly interdisciplinary field of organic residue analysis in archaeology, a branch of biomolecular archaeology. Archaeology and chemistry are most important for effectively developing and testing such hypotheses, but botany, zoology, geology, etc. also need to be taken into account. Archaeologically, the goal is to obtain as many relevant samples as possible from the best preserved and dated contexts, which have been subjected to the least degradation and disturbance by later natural processes and human handling, including washing and conservation treatment. Chemically, molecular biomarkers of natural products need to be defined and identified by the best and most appropriate techniques, together with bioinformatics searches and assessment of degradation. With ever-improving techniques and new data, previously analyzed samples need to be retested and hypotheses possibly reformulated. Consideration of three case studies illustrates this holistic approach to inductive hypothesis generation and deductive testing: (1) new chemical findings that attest to grape wine in amphoras on board the 14th c. B.C. Uluburun ship, the earliest recorded Mediterranean wreck; (2) recently published research on beeswax/mead in Chalcolithic Israel and Neolithic China and Poland; and (3) recent articles on milk products from 2nd millennium B.C. Central Asia and Neolithic Poland. Potential pitfalls leading to weak hypotheses and mistaken conclusions are described, and a more productive approach is proposed.","author":[{"dropping-particle":"","family":"McGovern","given":"Patrick E.","non-dropping-particle":"","parse-names":false,"suffix":""},{"dropping-particle":"","family":"Hall","given":"Gretchen R.","non-dropping-particle":"","parse-names":false,"suffix":""}],"container-title":"Journal of Archaeological Method and Theory","id":"ITEM-2","issue":"2","issued":{"date-parts":[["2016"]]},"note":"Summary: Part review and part case study, covering where the field of residue analysis is in terms of theories, methods, and challenges. Emphasize that data must be re-examined with specific working hypotheses, the biomarker approach is useful in some contexts and not others, and some best practices for methods (specific hypotheses, use controls/standards and multiple samples, be wary of database matches, etc.). Present 3 case studies highlighting the strengths and pitfalls of current residue analysis: 1. Wine residues in amphora from Uluburun shipwreck (bad); 2. Determining beeswax, honey, and/or mead in Chalcolithic Israeli pottery (decent); 3. Ancient milk and cheese bomarkers in mummies from ancient China (mixed feelings)\nAssessment: Good for background about approaches and methods -- present good critiques of the biomarker approach and efficacy of different methods, and their case studies demonstrate the necessity of clear research-oriented hypotheses from the ground-up in a project.\n\n\nProvides an update with where organic residue analysis is at in the field, and uses 3 case studies as examples of how to generate inductive hypotheses and deductive testing\n\nOutlines 12 specific criteria for dvlp'ing and testing working hypotheses for residue analysis: 1. Utilize other arch data (oral traditions, geography, ewritten text, etc.); 2. Experimental arch; 3. Absolute certainty or rejection of a hypothesis is impossible; 4. Must consider how residues are altered by humans; 5. Artifacts/residues should be dated as precisely as possible; 6. Large databases are good, but only if data is high quality; 7. Working hypotheses should be constantly reevaluated; 8. Method dvlp't is crucial; 9 Discovering unique, well-preserved biomarkers is crucial; 10. Biomarkers should be specific to their context; 11. Control samples must be used; 12. Use multiple techniques if possible","page":"592-622","title":"Charting a Future Course for Organic Residue Analysis in Archaeology","type":"article-journal","volume":"23"},"uris":["http://www.mendeley.com/documents/?uuid=eb26e7ea-f518-4644-b884-6cbad51f33db"]}],"mendeley":{"formattedCitation":"&lt;sup&gt;21,57&lt;/sup&gt;","plainTextFormattedCitation":"21,57","previouslyFormattedCitation":"&lt;sup&gt;21,57&lt;/sup&gt;"},"properties":{"noteIndex":0},"schema":"https://github.com/citation-style-language/schema/raw/master/csl-citation.json"}</w:instrText>
      </w:r>
      <w:r w:rsidR="0027795B" w:rsidRPr="00901194">
        <w:rPr>
          <w:rFonts w:cs="Times New Roman"/>
        </w:rPr>
        <w:fldChar w:fldCharType="separate"/>
      </w:r>
      <w:r w:rsidR="00AB5632" w:rsidRPr="00901194">
        <w:rPr>
          <w:rFonts w:cs="Times New Roman"/>
          <w:noProof/>
          <w:vertAlign w:val="superscript"/>
        </w:rPr>
        <w:t>21,57</w:t>
      </w:r>
      <w:r w:rsidR="0027795B" w:rsidRPr="00901194">
        <w:rPr>
          <w:rFonts w:cs="Times New Roman"/>
        </w:rPr>
        <w:fldChar w:fldCharType="end"/>
      </w:r>
      <w:r w:rsidR="0027795B" w:rsidRPr="00901194">
        <w:rPr>
          <w:rFonts w:cs="Times New Roman"/>
        </w:rPr>
        <w:t>.</w:t>
      </w:r>
      <w:r w:rsidR="00034F8D" w:rsidRPr="00901194">
        <w:rPr>
          <w:rFonts w:cs="Times New Roman"/>
        </w:rPr>
        <w:t xml:space="preserve"> While a wide variety of techniques for residue analysis exist, metabolomics-like analyses</w:t>
      </w:r>
      <w:r w:rsidR="00F51993" w:rsidRPr="00901194">
        <w:rPr>
          <w:rFonts w:cs="Times New Roman"/>
        </w:rPr>
        <w:t xml:space="preserve"> using mass spectrometry </w:t>
      </w:r>
      <w:r w:rsidR="008E2A81" w:rsidRPr="00901194">
        <w:rPr>
          <w:rFonts w:cs="Times New Roman"/>
        </w:rPr>
        <w:t xml:space="preserve">are </w:t>
      </w:r>
      <w:r w:rsidR="00EE785E" w:rsidRPr="00901194">
        <w:rPr>
          <w:rFonts w:cs="Times New Roman"/>
        </w:rPr>
        <w:t>the most common</w:t>
      </w:r>
      <w:r w:rsidR="006660D5" w:rsidRPr="00901194">
        <w:rPr>
          <w:rFonts w:cs="Times New Roman"/>
        </w:rPr>
        <w:fldChar w:fldCharType="begin" w:fldLock="1"/>
      </w:r>
      <w:r w:rsidR="000A1931" w:rsidRPr="00901194">
        <w:rPr>
          <w:rFonts w:cs="Times New Roman"/>
        </w:rPr>
        <w:instrText>ADDIN CSL_CITATION {"citationItems":[{"id":"ITEM-1","itemData":{"ISBN":"10431691","author":[{"dropping-particle":"","family":"Heron","given":"Carl","non-dropping-particle":"","parse-names":false,"suffix":""},{"dropping-particle":"","family":"Evershed","given":"Richard P","non-dropping-particle":"","parse-names":false,"suffix":""}],"container-title":"Archaeological Method and Theory","id":"ITEM-1","issue":"1993","issued":{"date-parts":[["1993"]]},"note":"Summary: Research article providing basic overview of residue analysis like terminology, concepts (function=/=use), theories, etc. Also addresses concerns with differential molecular preservation (some don't preserve well), integration with archaeological data (need specific research-driven hypotheses informed by other archaeological analyses before analyzing reisudes), firing processes and their effects on preserved molecules, etc.\nAssessment: Good review, but outdated now (in terms of methods). Still very influential for its discussion on residue analysis as a whole.\n\nPaper is largely a lit review of organic residue work in Ceramics thus far\n\nFunction =/= use\n\nOrganic residues can tell us about use, which can infer function, but do not decidedly tell us about function","page":"247-284","title":"The Analysis of Organic Residues and the Study of Pottery Use","type":"article-journal","volume":"5"},"uris":["http://www.mendeley.com/documents/?uuid=fb1cc761-17e7-490b-b62b-000a1daf6bdf"]},{"id":"ITEM-2","itemData":{"DOI":"10.1111/j.1475-4754.2008.00446.x","ISBN":"0003-813X","ISSN":"0003813X","PMID":"18787261","abstract":"Organic residue analysis utilizes analytical organic chemical techniques to identify the nature and origins of organic remains that cannot be characterized using traditional techniques of archaeological investigation (because they are either amorphous or invisible). The field is founded upon the principle that the biomolecular, or biochemical, components of organic materials associated with human activity survive in a wide variety of locations and deposits at archaeological sites. The archaeological information contained in organic residues is represented by the biomolecular components of the natural products that contribute to the formation of a given residue. By applying appropriate separation (chromatographic) and identification (mass spectrometric) techniques, the preserved, and altered, biomolecular components of such residues can be revealed. Once identified, the Archaeological Biomarker Concept can be applied, wherein the structure and even isotopic composition(s) of a given biomolecule or suite of biomolecules (the ‘chemical fingerprint’) can be related to the compositions of organisms exploited by humans in the past. As the organic residue field emerges from its pre-paradigmatic phase, and the organic residue revolution gathers pace, the way is open for challenging many long-held archaeological hypotheses and offering new perspectives on the study of human activity in the past.","author":[{"dropping-particle":"","family":"Evershed","given":"R. P.","non-dropping-particle":"","parse-names":false,"suffix":""}],"container-title":"Archaeometry","id":"ITEM-2","issue":"6","issued":{"date-parts":[["2008"]]},"note":"Good review of residue analysis\n\nCovers different sample types/materials and the common biomarkers and chemical classes associated w/ these different materials\n\nReview article discussing archaeological organic residue analysis, focusing on major approaches (biomarker approach and metabolic fingerprinting), molecular preservation, and variations across different archaeological materials/environments. Emphasis the biomarker approach should be driven by specific hypotheses and used to complement other archaeological evidence","page":"895-924","title":"Organic residue analysis in archaeology: The archaeological biomarker revolution","type":"article-journal","volume":"50"},"uris":["http://www.mendeley.com/documents/?uuid=c1e02908-6139-42c6-856d-c0c20d1e6141"]},{"id":"ITEM-3","itemData":{"DOI":"10.1016/j.jas.2021.105397","ISSN":"10959238","abstract":"The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Science","id":"ITEM-3","issue":"August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mendeley":{"formattedCitation":"&lt;sup&gt;21,23,58&lt;/sup&gt;","plainTextFormattedCitation":"21,23,58","previouslyFormattedCitation":"&lt;sup&gt;21,23,58&lt;/sup&gt;"},"properties":{"noteIndex":0},"schema":"https://github.com/citation-style-language/schema/raw/master/csl-citation.json"}</w:instrText>
      </w:r>
      <w:r w:rsidR="006660D5" w:rsidRPr="00901194">
        <w:rPr>
          <w:rFonts w:cs="Times New Roman"/>
        </w:rPr>
        <w:fldChar w:fldCharType="separate"/>
      </w:r>
      <w:r w:rsidR="00AB5632" w:rsidRPr="00901194">
        <w:rPr>
          <w:rFonts w:cs="Times New Roman"/>
          <w:noProof/>
          <w:vertAlign w:val="superscript"/>
        </w:rPr>
        <w:t>21,23,58</w:t>
      </w:r>
      <w:r w:rsidR="006660D5" w:rsidRPr="00901194">
        <w:rPr>
          <w:rFonts w:cs="Times New Roman"/>
        </w:rPr>
        <w:fldChar w:fldCharType="end"/>
      </w:r>
      <w:r w:rsidR="00EE785E" w:rsidRPr="00901194">
        <w:rPr>
          <w:rFonts w:cs="Times New Roman"/>
        </w:rPr>
        <w:t xml:space="preserve">. </w:t>
      </w:r>
      <w:r w:rsidR="00896A27" w:rsidRPr="00901194">
        <w:rPr>
          <w:rFonts w:cs="Times New Roman"/>
        </w:rPr>
        <w:t xml:space="preserve">Such metabolomics-like residue analyses </w:t>
      </w:r>
      <w:r w:rsidR="002C6A34" w:rsidRPr="00901194">
        <w:rPr>
          <w:rFonts w:cs="Times New Roman"/>
        </w:rPr>
        <w:t>report</w:t>
      </w:r>
      <w:r w:rsidR="004031D9" w:rsidRPr="00901194">
        <w:rPr>
          <w:rFonts w:cs="Times New Roman"/>
        </w:rPr>
        <w:t>ed</w:t>
      </w:r>
      <w:r w:rsidR="002C6A34" w:rsidRPr="00901194">
        <w:rPr>
          <w:rFonts w:cs="Times New Roman"/>
        </w:rPr>
        <w:t xml:space="preserve"> the molecular components of preserved residues, such as identifying botanical origins for historic ritual drinks</w:t>
      </w:r>
      <w:r w:rsidR="002C6A34" w:rsidRPr="00901194">
        <w:rPr>
          <w:rFonts w:cs="Times New Roman"/>
        </w:rPr>
        <w:fldChar w:fldCharType="begin" w:fldLock="1"/>
      </w:r>
      <w:r w:rsidR="000A1931" w:rsidRPr="00901194">
        <w:rPr>
          <w:rFonts w:cs="Times New Roman"/>
        </w:rPr>
        <w:instrText>ADDIN CSL_CITATION {"citationItems":[{"id":"ITEM-1","itemData":{"DOI":"10.1073/pnas.1511799112","ISSN":"0027-8424","PMID":"26372965","abstract":"Chemical analyses of organic residues in fragments of pottery from 18 sites in the US Southwest and Mexican Northwest reveal combinations of methylxanthines (caffeine, theobromine, and theophylline) indicative of stimulant drinks, probably concocted using either cacao or holly leaves and twigs. The results cover a time period from around A.D. 750-1400, and a spatial distribution from southern Colorado to northern Chihuahua. As with populations located throughout much of North and South America, groups in the US Southwest and Mexican Northwest likely consumed stimulant drinks in communal, ritual gatherings. The results have implications for economic and social relations among North American populations.","author":[{"dropping-particle":"","family":"Crown","given":"Patricia L.","non-dropping-particle":"","parse-names":false,"suffix":""},{"dropping-particle":"","family":"Gu","given":"Jiyan","non-dropping-particle":"","parse-names":false,"suffix":""},{"dropping-particle":"","family":"Hurst","given":"W. Jeffrey","non-dropping-particle":"","parse-names":false,"suffix":""},{"dropping-particle":"","family":"Ward","given":"Timothy J.","non-dropping-particle":"","parse-names":false,"suffix":""},{"dropping-particle":"","family":"Bravenec","given":"Ardith D.","non-dropping-particle":"","parse-names":false,"suffix":""},{"dropping-particle":"","family":"Ali","given":"Syed","non-dropping-particle":"","parse-names":false,"suffix":""},{"dropping-particle":"","family":"Kebert","given":"Laura","non-dropping-particle":"","parse-names":false,"suffix":""},{"dropping-particle":"","family":"Berch","given":"Marlaina","non-dropping-particle":"","parse-names":false,"suffix":""},{"dropping-particle":"","family":"Redman","given":"Erin","non-dropping-particle":"","parse-names":false,"suffix":""},{"dropping-particle":"","family":"Lyons","given":"Patrick D.","non-dropping-particle":"","parse-names":false,"suffix":""},{"dropping-particle":"","family":"Merewether","given":"Jamie","non-dropping-particle":"","parse-names":false,"suffix":""},{"dropping-particle":"","family":"Phillips","given":"David A.","non-dropping-particle":"","parse-names":false,"suffix":""},{"dropping-particle":"","family":"Reed","given":"Lori S.","non-dropping-particle":"","parse-names":false,"suffix":""},{"dropping-particle":"","family":"Woodson","given":"Kyle","non-dropping-particle":"","parse-names":false,"suffix":""}],"container-title":"Proceedings of the National Academy of Sciences","id":"ITEM-1","issue":"37","issued":{"date-parts":[["2015"]]},"note":"Summary: Case study examining residues of 177 pottery samples (most samples were stored in museum, but some were collected in-field) from 18 sites in US Southwest and Mexican Northwest. Authors used LC-MS/MS to detect methylxanthines, with their results demonstrating cacao and holly-based residues. Use these results to suggest cacao and holly-based caffeinated drinks were part of communal ritualistic cermonies and evidence for social/economic networks.\nAssessment: Decent case study. Methods seem generally good (although their wording makes it sound like they injected caffeine and theobromine standards with their samples to test for caffeine/theobromine; they might have done this to get specific concentrations to compare, but the explanation here is poor), but don't provide much MS data or standard comparisons. They also make a lot of broad archaeological interpretations from small sample sizes and minimal residues with little discussion of contamination (other than saying they're confident there was none). While I find their broader archaeological conclusions somewhat lacking, I appreciate their approach of comparing concentrations of biomarkers in addition to presence/absence.\n\nLC-MS\n\nxanine = purine base. Many stimulants are derived from it. Naturally occurring.\n\nUse data from residue to make claims about exchange systems in these regions","page":"11436-11442","title":"Ritual drinks in the pre-Hispanic US Southwest and Mexican Northwest","type":"article-journal","volume":"112"},"uris":["http://www.mendeley.com/documents/?uuid=eeff689e-7515-461a-8767-86a4aa750686"]}],"mendeley":{"formattedCitation":"&lt;sup&gt;59&lt;/sup&gt;","plainTextFormattedCitation":"59","previouslyFormattedCitation":"&lt;sup&gt;59&lt;/sup&gt;"},"properties":{"noteIndex":0},"schema":"https://github.com/citation-style-language/schema/raw/master/csl-citation.json"}</w:instrText>
      </w:r>
      <w:r w:rsidR="002C6A34" w:rsidRPr="00901194">
        <w:rPr>
          <w:rFonts w:cs="Times New Roman"/>
        </w:rPr>
        <w:fldChar w:fldCharType="separate"/>
      </w:r>
      <w:r w:rsidR="00AB5632" w:rsidRPr="00901194">
        <w:rPr>
          <w:rFonts w:cs="Times New Roman"/>
          <w:noProof/>
          <w:vertAlign w:val="superscript"/>
        </w:rPr>
        <w:t>59</w:t>
      </w:r>
      <w:r w:rsidR="002C6A34" w:rsidRPr="00901194">
        <w:rPr>
          <w:rFonts w:cs="Times New Roman"/>
        </w:rPr>
        <w:fldChar w:fldCharType="end"/>
      </w:r>
      <w:r w:rsidR="002C6A34" w:rsidRPr="00901194">
        <w:rPr>
          <w:rFonts w:cs="Times New Roman"/>
        </w:rPr>
        <w:t xml:space="preserve">, </w:t>
      </w:r>
      <w:r w:rsidR="002253B3" w:rsidRPr="00901194">
        <w:rPr>
          <w:rFonts w:cs="Times New Roman"/>
        </w:rPr>
        <w:t>characterizing ancient wine residues</w:t>
      </w:r>
      <w:r w:rsidR="0077499E" w:rsidRPr="00901194">
        <w:rPr>
          <w:rFonts w:cs="Times New Roman"/>
        </w:rPr>
        <w:t xml:space="preserve"> and potential source regions</w:t>
      </w:r>
      <w:r w:rsidR="002253B3" w:rsidRPr="00901194">
        <w:rPr>
          <w:rFonts w:cs="Times New Roman"/>
        </w:rPr>
        <w:fldChar w:fldCharType="begin" w:fldLock="1"/>
      </w:r>
      <w:r w:rsidR="000A1931" w:rsidRPr="00901194">
        <w:rPr>
          <w:rFonts w:cs="Times New Roman"/>
        </w:rPr>
        <w:instrText>ADDIN CSL_CITATION {"citationItems":[{"id":"ITEM-1","itemData":{"DOI":"10.1016/j.jas.2005.06.013","ISBN":"0305-4403","ISSN":"10959238","abstract":"Ancient Egyptians were buried with the most precious food and drink as sustenance for their afterlife. One of these was Shedeh, the most valued and appreciated beverage in ancient Egypt. The botanic origin of Shedeh remains unclear as no mention of its raw material has survived. Some scholars have proposed that Shedeh was a pomegranate wine, while others, a grape wine. Presented here is the first ever analytical evidence of Shedeh's origin through the analysis of a sample of a residue from an extraordinarily well preserved Shedeh amphora from King Tutankhamun's collection. The previously developed LC/MS/MS wine markers method for archaeological samples was used and our results reveal Shedeh had a red grape origin. © 2005 Elsevier Ltd. All rights reserved.","author":[{"dropping-particle":"","family":"Guasch-Jané","given":"Maria Rosa","non-dropping-particle":"","parse-names":false,"suffix":""},{"dropping-particle":"","family":"Andrés-Lacueva","given":"Cristina","non-dropping-particle":"","parse-names":false,"suffix":""},{"dropping-particle":"","family":"Járegui","given":"Olga","non-dropping-particle":"","parse-names":false,"suffix":""},{"dropping-particle":"","family":"Lamuela-Raventós","given":"Rosa M.","non-dropping-particle":"","parse-names":false,"suffix":""}],"container-title":"Journal of Archaeological Science","id":"ITEM-1","issue":"1","issued":{"date-parts":[["2006"]]},"note":"LC-MS-MS\n\nUsed only actual residue - scraped off\nDetails vague on prep, but see pg. 100 for methods\n\nTargeted approach - looked for specific biomarkers\n\nSummary: Targeted LC-MS/MS study looking at wine biomarkers of an ancient Egyptian amphora, trying to determine the botanical origin of the wine. Based on matching to standards, authors concluded the wine was from red grapes\nAssessment: Generally good -- one of few LC-MS/MS residue studies, informed by archaeologically-driven hypotheses, used authentic standards, but minimal methods and only used residue from a single sample (although this sample was archaeologically linked to the wine)","page":"98-101","title":"The origin of the ancient Egyptian drink Shedeh revealed using LC/MS/MS","type":"article-journal","volume":"33"},"uris":["http://www.mendeley.com/documents/?uuid=d315dddf-5118-4701-b003-1fffbbe23c5e"]},{"id":"ITEM-2","itemData":{"DOI":"10.1016/j.jas.2012.05.001","ISBN":"0305-4403","ISSN":"10959238","abstract":"The identification of the organic residues preserved in archaeological materials yields good insights into understanding food production, trade and consumption. Wine is one of the most important beverages produced, traded and consumed in the Mediterranean area. Consequently, it is important to identify its presence in ancient materials. Nevertheless, the identification of wine markers is still an object of discussion. We present here the results obtained from analysing different materials using gas chromatography/mass spectrometry (GC/MS), which allowed for the identification of tartaric acid and other markers of wine. The method was first tested on experimental and traditional materials that have been used until recently to store and/or produce wine and was then used for investigating archaeological materials. The experiments also involved the degradation of wine through cooking, drastic heating and burial for seven years. The results from the analysis of ceramic and plaster materials are discussed. The importance of the proposed methodology is that it allows the identification of traces of wine using the same facilities that are usually employed for the study of the organic residues preserved in archaeological samples (GC/MS), with no need for HPLC, LC/MS/MS or THM/GC/MS, thus allowing a larger number of laboratories to detect traces of wine. © 2012 Elsevier Ltd.","author":[{"dropping-particle":"","family":"Pecci","given":"Alessandra","non-dropping-particle":"","parse-names":false,"suffix":""},{"dropping-particle":"","family":"Giorgi","given":"Gianluca","non-dropping-particle":"","parse-names":false,"suffix":""},{"dropping-particle":"","family":"Salvini","given":"Laura","non-dropping-particle":"","parse-names":false,"suffix":""},{"dropping-particle":"","family":"Cau Ontiveros","given":"Miguel Ángel","non-dropping-particle":"","parse-names":false,"suffix":""}],"container-title":"Journal of Archaeological Science","id":"ITEM-2","issue":"1","issued":{"date-parts":[["2013"]]},"note":"Summary: Case study interested in recovering tartaric wine (e.g., wine biomarker) from experimental, traditional, and archaeological materials through GC-MS. Authors were able to recover multiple wine products from their test ceramics, archaeological ceramics, and materials from where wine was produced (e.g., floor, vinegar container, etc.) through GC-MS. Authors report this method as a new way of testing for wine.\nAssessment: Decent case study. Reported methods are detailed and they provide MS chromatograms, but could not find mentions of chemical standards or sample sizes. Plus they also ran samples on different MS instruments on different times, which makes batch effects a concern.\n\n\nDid not run all samples in same MS or at same time\nUnclear about sample sizes","page":"109-115","publisher":"Elsevier Ltd","title":"Identifying wine markers in ceramics and plasters using gas chromatography-mass spectrometry. Experimental and archaeological materials","type":"article-journal","volume":"40"},"uris":["http://www.mendeley.com/documents/?uuid=2e5e5c61-220f-4d22-9208-7a0aad66c31a"]}],"mendeley":{"formattedCitation":"&lt;sup&gt;22,60&lt;/sup&gt;","plainTextFormattedCitation":"22,60","previouslyFormattedCitation":"&lt;sup&gt;22,60&lt;/sup&gt;"},"properties":{"noteIndex":0},"schema":"https://github.com/citation-style-language/schema/raw/master/csl-citation.json"}</w:instrText>
      </w:r>
      <w:r w:rsidR="002253B3" w:rsidRPr="00901194">
        <w:rPr>
          <w:rFonts w:cs="Times New Roman"/>
        </w:rPr>
        <w:fldChar w:fldCharType="separate"/>
      </w:r>
      <w:r w:rsidR="00AB5632" w:rsidRPr="00901194">
        <w:rPr>
          <w:rFonts w:cs="Times New Roman"/>
          <w:noProof/>
          <w:vertAlign w:val="superscript"/>
        </w:rPr>
        <w:t>22,60</w:t>
      </w:r>
      <w:r w:rsidR="002253B3" w:rsidRPr="00901194">
        <w:rPr>
          <w:rFonts w:cs="Times New Roman"/>
        </w:rPr>
        <w:fldChar w:fldCharType="end"/>
      </w:r>
      <w:r w:rsidR="002253B3" w:rsidRPr="00901194">
        <w:rPr>
          <w:rFonts w:cs="Times New Roman"/>
        </w:rPr>
        <w:t xml:space="preserve">, </w:t>
      </w:r>
      <w:r w:rsidR="00161E80" w:rsidRPr="00901194">
        <w:rPr>
          <w:rFonts w:cs="Times New Roman"/>
        </w:rPr>
        <w:t xml:space="preserve">describing chemical components of ancient </w:t>
      </w:r>
      <w:r w:rsidR="00200E55" w:rsidRPr="00901194">
        <w:rPr>
          <w:rFonts w:cs="Times New Roman"/>
        </w:rPr>
        <w:t>Egyptian canopic jars</w:t>
      </w:r>
      <w:r w:rsidR="00200E55" w:rsidRPr="00901194">
        <w:rPr>
          <w:rFonts w:cs="Times New Roman"/>
        </w:rPr>
        <w:fldChar w:fldCharType="begin" w:fldLock="1"/>
      </w:r>
      <w:r w:rsidR="000A1931" w:rsidRPr="00901194">
        <w:rPr>
          <w:rFonts w:cs="Times New Roman"/>
        </w:rPr>
        <w:instrText>ADDIN CSL_CITATION {"citationItems":[{"id":"ITEM-1","itemData":{"DOI":"10.1039/c8an01288a","ISSN":"13645528","PMID":"30168542","abstract":"In Ancient Egypt it was common practice to embalm corpses and specific internal organs to ensure eternal life. The exact nature of the employed embalming fluids, particularly for organ preservation within the canopic jars, is debated. Therefore, the aim of the current study, was to chemically characterize and differentiate canopic jars (n = 28) and mummies (n = 6) using gas chromatography-high resolution mass spectrometry (GC-HR MS) with a new untargeted metabolomics-like screening approach; as part of a larger minimal-invasive transdisciplinary study on Ancient Egyptian human tissues. Post-analytical data processing included deconvolution, screening against the NIST 14 spectral database as well as a high resolution metabolomics library, and positive peak evaluation. In the majority of samples the presence of a coniferous resin was indicated by the detection of longiborneol in combination with abietadiene acid derivatives and guajacol. Beeswax, proposedly used for symbolic reasons and/or as a binding agent, was detected in 10 samples. Previously not mentioned in the literature, but identified in the current sample set, were medical-related substances like aniseed constituents, salicylic acid, chamazulene and jacobine. By applying an untargeted metabolomics-like approach to archaeological samples for the first time, extensive statistical analysis was made possible (using both identified and non-identified features; adding up to 4381 features), which showed significant differences in the overall chemical composition of canopic jar and mummy samples using principle component analysis (PCA) and partial least square-discriminant analysis (PLS-DA). This emphasizes the necessity for more extensive canopic jar studies in the future in order to interpret findings correctly.","author":[{"dropping-particle":"","family":"Brockbals","given":"Lana","non-dropping-particle":"","parse-names":false,"suffix":""},{"dropping-particle":"","family":"Habicht","given":"Michael","non-dropping-particle":"","parse-names":false,"suffix":""},{"dropping-particle":"","family":"Hajdas","given":"Irka","non-dropping-particle":"","parse-names":false,"suffix":""},{"dropping-particle":"","family":"Galassi","given":"Francesco M.","non-dropping-particle":"","parse-names":false,"suffix":""},{"dropping-particle":"","family":"Rühli","given":"Frank J.","non-dropping-particle":"","parse-names":false,"suffix":""},{"dropping-particle":"","family":"Kraemer","given":"Thomas","non-dropping-particle":"","parse-names":false,"suffix":""}],"container-title":"Analyst","id":"ITEM-1","issue":"18","issued":{"date-parts":[["2018"]]},"note":"Look into this article later -- they're doing what we are basically\n\nEven call it a metabolomics-like approach\n\n\nCase study using GC-MS to perform untargeted analysis of ancient Egyptian canopic jars and mummies. Low sample sizes, but detected molecules commonly associated with Egyptian embalming (beeswax, terpenoids, fatty acids, etc.) as well as molecules not previously-associated with embalming process (plant biomarkers like mequinol and salicyclic acid).\nGood case study, but unclear about some of their methods -- like confirming annotations with authentic standard.","page":"4503-4512","publisher":"Royal Society of Chemistry","title":"Untargeted metabolomics-like screening approach for chemical characterization and differentiation of canopic jar and mummy samples from Ancient Egypt using GC-high resolution MS","type":"article-journal","volume":"143"},"uris":["http://www.mendeley.com/documents/?uuid=17700788-e98a-477c-b553-d82c94d4648d"]}],"mendeley":{"formattedCitation":"&lt;sup&gt;20&lt;/sup&gt;","plainTextFormattedCitation":"20","previouslyFormattedCitation":"&lt;sup&gt;20&lt;/sup&gt;"},"properties":{"noteIndex":0},"schema":"https://github.com/citation-style-language/schema/raw/master/csl-citation.json"}</w:instrText>
      </w:r>
      <w:r w:rsidR="00200E55" w:rsidRPr="00901194">
        <w:rPr>
          <w:rFonts w:cs="Times New Roman"/>
        </w:rPr>
        <w:fldChar w:fldCharType="separate"/>
      </w:r>
      <w:r w:rsidR="00AB5632" w:rsidRPr="00901194">
        <w:rPr>
          <w:rFonts w:cs="Times New Roman"/>
          <w:noProof/>
          <w:vertAlign w:val="superscript"/>
        </w:rPr>
        <w:t>20</w:t>
      </w:r>
      <w:r w:rsidR="00200E55" w:rsidRPr="00901194">
        <w:rPr>
          <w:rFonts w:cs="Times New Roman"/>
        </w:rPr>
        <w:fldChar w:fldCharType="end"/>
      </w:r>
      <w:r w:rsidR="00A11F03" w:rsidRPr="00901194">
        <w:rPr>
          <w:rFonts w:cs="Times New Roman"/>
        </w:rPr>
        <w:t xml:space="preserve">, </w:t>
      </w:r>
      <w:r w:rsidR="00F109A8" w:rsidRPr="00901194">
        <w:rPr>
          <w:rFonts w:cs="Times New Roman"/>
        </w:rPr>
        <w:t xml:space="preserve">and </w:t>
      </w:r>
      <w:r w:rsidR="0077499E" w:rsidRPr="00901194">
        <w:rPr>
          <w:rFonts w:cs="Times New Roman"/>
        </w:rPr>
        <w:t>detecting</w:t>
      </w:r>
      <w:r w:rsidR="00F109A8" w:rsidRPr="00901194">
        <w:rPr>
          <w:rFonts w:cs="Times New Roman"/>
        </w:rPr>
        <w:t xml:space="preserve"> </w:t>
      </w:r>
      <w:r w:rsidR="0077499E" w:rsidRPr="00901194">
        <w:rPr>
          <w:rFonts w:cs="Times New Roman"/>
        </w:rPr>
        <w:t xml:space="preserve">nicotine </w:t>
      </w:r>
      <w:r w:rsidR="00F109A8" w:rsidRPr="00901194">
        <w:rPr>
          <w:rFonts w:cs="Times New Roman"/>
        </w:rPr>
        <w:t>in smoking pipe fragments</w:t>
      </w:r>
      <w:r w:rsidR="00F109A8" w:rsidRPr="00901194">
        <w:rPr>
          <w:rFonts w:cs="Times New Roman"/>
        </w:rPr>
        <w:fldChar w:fldCharType="begin" w:fldLock="1"/>
      </w:r>
      <w:r w:rsidR="000A1931" w:rsidRPr="00901194">
        <w:rPr>
          <w:rFonts w:cs="Times New Roman"/>
        </w:rPr>
        <w:instrText>ADDIN CSL_CITATION {"citationItems":[{"id":"ITEM-1","itemData":{"DOI":"10.1016/j.jasrep.2017.12.011","ISSN":"2352409X","abstract":"The practice of pipe smoking was commonplace among indigenous cultures of the Eastern Woodlands of North America. However, many questions remain concerning what materials were smoked and when tobacco first became a part of this smoking tradition. Chemical analysis of organic residues extracted from archaeological smoking pipes is an encouraging avenue of research into answering questions regarding the development of a smoking complex within indigenous cultures of the Eastern Woodlands. In the right environmental conditions, absorbed organic compounds within artifacts can remain structurally stable for millennia, allowing analyses of organic matter to be performed on relics of advanced age. In this study, organic matter from six pipe fragments derived from the prehistoric Feltus site in Mississippi was extracted and analyzed via GC-MS, a process that allows for the identification of compounds in a complex mixture. Preliminary experiments tested the effects of pH on the efficacy of our extraction solvent to maximize the detectability of alkaloids such as nicotine. Several notable compounds were identified, including nicotine, which serves as a biomarker for tobacco.","author":[{"dropping-particle":"","family":"Carmody","given":"Stephen B.","non-dropping-particle":"","parse-names":false,"suffix":""},{"dropping-particle":"","family":"Kassabaum","given":"Megan C.","non-dropping-particle":"","parse-names":false,"suffix":""},{"dropping-particle":"","family":"Hunt","given":"Ryan K.","non-dropping-particle":"","parse-names":false,"suffix":""},{"dropping-particle":"","family":"Prodanovich","given":"Natalie","non-dropping-particle":"","parse-names":false,"suffix":""},{"dropping-particle":"","family":"Elliott","given":"Hope","non-dropping-particle":"","parse-names":false,"suffix":""},{"dropping-particle":"","family":"Russ","given":"Jon","non-dropping-particle":"","parse-names":false,"suffix":""}],"container-title":"Journal of Archaeological Science: Reports","id":"ITEM-1","issue":"August 2017","issued":{"date-parts":[["2018"]]},"note":"GC-MS\n\nSorta do experimental arch. - look at recently harvested leaves and residues left behind in pipes in the lab to compare to artifacts\n\nSample methods on page 645\n\nTargeted - goal was to check for nicotine\n\n\nCase study using targeted GC-MS to explore tobacco (ie., nicotine) presence in six pipe fragments. Also did experimental archaeology testing tobacco leaves and experimentally smoking them to compare with ancient samples. Detected nicotine and other plant products on pipes, sugesting aspects of ancient plant use\nModerately good case study -- used standards, experimental archaeology, and provided MS data, but low sample sizes and used multiple GC systems (batch effects)","page":"640-649","publisher":"Elsevier","title":"Residue analysis of smoking pipe fragments from the Feltus archaeological site, Southeastern North America","type":"article-journal","volume":"17"},"uris":["http://www.mendeley.com/documents/?uuid=4c211362-6b1a-46bc-aee9-a051700b2584"]},{"id":"ITEM-2","itemData":{"DOI":"10.3389/fmolb.2020.00133","ISSN":"2296889X","abstract":"Residues from ancient artifacts can help identify which plant species were used for their psychoactive properties, providing important information regarding the deep-time co-evolutionary relationship between plants and humans. However, relying on the presence or absence of one or several biomarkers has limited the ability to confidently connect residues to particular plants. We describe a comprehensive metabolomics-based approach that can distinguish closely related species and provide greater confidence in species use determinations. An ~1430-year-old pipe from central Washington State not only contained nicotine, but also had strong evidence for the smoking of Nicotiana quadrivalvis and Rhus glabra, as opposed to several other species in this pre-contact pipe. Analysis of a post-contact pipe suggested use of different plants, including the introduced trade tobacco, Nicotiana rustica. Ancient residue metabolomics provides a new frontier in archaeo-chemistry, with greater precision to investigate the evolution of drug use and similar plant-human co-evolutionary dynamics.","author":[{"dropping-particle":"","family":"Brownstein","given":"Korey J.","non-dropping-particle":"","parse-names":false,"suffix":""},{"dropping-particle":"","family":"Tushingham","given":"Shannon","non-dropping-particle":"","parse-names":false,"suffix":""},{"dropping-particle":"","family":"Damitio","given":"William J.","non-dropping-particle":"","parse-names":false,"suffix":""},{"dropping-particle":"","family":"Nguyen","given":"Tung","non-dropping-particle":"","parse-names":false,"suffix":""},{"dropping-particle":"","family":"Gang","given":"David R.","non-dropping-particle":"","parse-names":false,"suffix":""}],"container-title":"Frontiers in Molecular Biosciences","id":"ITEM-2","issue":"June","issued":{"date-parts":[["2020"]]},"note":"Brownstein article -- ancient residue metabolomics\n\nCase study focused on developing a targeted metabolomics-like LC-MS approach to distinguish closely-related plant species found in archaeological pipes. Proposed method involves multiple washing/sonication steps with extractions to improve residue recovery without harming ceramic vessel. Also did experimental archaeology\nGreat case study -- used authentic standards, provided MS1 and MS2 data, proper methods, etc.","page":"1-14","title":"An Ancient Residue Metabolomics-Based Method to Distinguish Use of Closely Related Plant Species in Ancient Pipes","type":"article-journal","volume":"7"},"uris":["http://www.mendeley.com/documents/?uuid=c3aa1444-6558-4c93-ad18-b95b835c104d"]}],"mendeley":{"formattedCitation":"&lt;sup&gt;61,62&lt;/sup&gt;","plainTextFormattedCitation":"61,62","previouslyFormattedCitation":"&lt;sup&gt;61,62&lt;/sup&gt;"},"properties":{"noteIndex":0},"schema":"https://github.com/citation-style-language/schema/raw/master/csl-citation.json"}</w:instrText>
      </w:r>
      <w:r w:rsidR="00F109A8" w:rsidRPr="00901194">
        <w:rPr>
          <w:rFonts w:cs="Times New Roman"/>
        </w:rPr>
        <w:fldChar w:fldCharType="separate"/>
      </w:r>
      <w:r w:rsidR="00AB5632" w:rsidRPr="00901194">
        <w:rPr>
          <w:rFonts w:cs="Times New Roman"/>
          <w:noProof/>
          <w:vertAlign w:val="superscript"/>
        </w:rPr>
        <w:t>61,62</w:t>
      </w:r>
      <w:r w:rsidR="00F109A8" w:rsidRPr="00901194">
        <w:rPr>
          <w:rFonts w:cs="Times New Roman"/>
        </w:rPr>
        <w:fldChar w:fldCharType="end"/>
      </w:r>
      <w:r w:rsidR="00F109A8" w:rsidRPr="00901194">
        <w:rPr>
          <w:rFonts w:cs="Times New Roman"/>
        </w:rPr>
        <w:t>.</w:t>
      </w:r>
      <w:r w:rsidR="0077499E" w:rsidRPr="00901194">
        <w:rPr>
          <w:rFonts w:cs="Times New Roman"/>
        </w:rPr>
        <w:t xml:space="preserve"> </w:t>
      </w:r>
      <w:r w:rsidR="004031D9" w:rsidRPr="00901194">
        <w:rPr>
          <w:rFonts w:cs="Times New Roman"/>
        </w:rPr>
        <w:t>While archaeology has used MS-based metabolomics approaches via residue analysis for decades, the explicit association with metabolomics is relatively new</w:t>
      </w:r>
      <w:r w:rsidR="004031D9" w:rsidRPr="00901194">
        <w:rPr>
          <w:rFonts w:cs="Times New Roman"/>
        </w:rPr>
        <w:fldChar w:fldCharType="begin" w:fldLock="1"/>
      </w:r>
      <w:r w:rsidR="000A1931" w:rsidRPr="00901194">
        <w:rPr>
          <w:rFonts w:cs="Times New Roman"/>
        </w:rPr>
        <w:instrText>ADDIN CSL_CITATION {"citationItems":[{"id":"ITEM-1","itemData":{"DOI":"10.1038/s41598-021-81158-y","ISBN":"0123456789","ISSN":"2045-2322","author":[{"dropping-particle":"","family":"Zimmermann","given":"Mario","non-dropping-particle":"","parse-names":false,"suffix":""},{"dropping-particle":"","family":"Brownstein","given":"Korey J","non-dropping-particle":"","parse-names":false,"suffix":""},{"dropping-particle":"","family":"Díaz","given":"Luis Pantoja","non-dropping-particle":"","parse-names":false,"suffix":""},{"dropping-particle":"","family":"Aragón","given":"Iliana Ancona","non-dropping-particle":"","parse-names":false,"suffix":""},{"dropping-particle":"","family":"Hutson","given":"Scott","non-dropping-particle":"","parse-names":false,"suffix":""},{"dropping-particle":"","family":"Kidder","given":"Barry","non-dropping-particle":"","parse-names":false,"suffix":""},{"dropping-particle":"","family":"Tushingham","given":"Shannon","non-dropping-particle":"","parse-names":false,"suffix":""},{"dropping-particle":"","family":"Gang","given":"David R","non-dropping-particle":"","parse-names":false,"suffix":""}],"container-title":"Scientific Reports","id":"ITEM-1","issued":{"date-parts":[["2021"]]},"page":"1-11","publisher":"Nature Publishing Group UK","title":"Metabolomics ‑based analysis of miniature flask contents identifies tobacco mixture use among the ancient Maya","type":"article-journal"},"uris":["http://www.mendeley.com/documents/?uuid=31cf1aff-08bc-4488-9abe-71cf38b7ec91"]},{"id":"ITEM-2","itemData":{"DOI":"10.1039/c8an01288a","ISSN":"13645528","PMID":"30168542","abstract":"In Ancient Egypt it was common practice to embalm corpses and specific internal organs to ensure eternal life. The exact nature of the employed embalming fluids, particularly for organ preservation within the canopic jars, is debated. Therefore, the aim of the current study, was to chemically characterize and differentiate canopic jars (n = 28) and mummies (n = 6) using gas chromatography-high resolution mass spectrometry (GC-HR MS) with a new untargeted metabolomics-like screening approach; as part of a larger minimal-invasive transdisciplinary study on Ancient Egyptian human tissues. Post-analytical data processing included deconvolution, screening against the NIST 14 spectral database as well as a high resolution metabolomics library, and positive peak evaluation. In the majority of samples the presence of a coniferous resin was indicated by the detection of longiborneol in combination with abietadiene acid derivatives and guajacol. Beeswax, proposedly used for symbolic reasons and/or as a binding agent, was detected in 10 samples. Previously not mentioned in the literature, but identified in the current sample set, were medical-related substances like aniseed constituents, salicylic acid, chamazulene and jacobine. By applying an untargeted metabolomics-like approach to archaeological samples for the first time, extensive statistical analysis was made possible (using both identified and non-identified features; adding up to 4381 features), which showed significant differences in the overall chemical composition of canopic jar and mummy samples using principle component analysis (PCA) and partial least square-discriminant analysis (PLS-DA). This emphasizes the necessity for more extensive canopic jar studies in the future in order to interpret findings correctly.","author":[{"dropping-particle":"","family":"Brockbals","given":"Lana","non-dropping-particle":"","parse-names":false,"suffix":""},{"dropping-particle":"","family":"Habicht","given":"Michael","non-dropping-particle":"","parse-names":false,"suffix":""},{"dropping-particle":"","family":"Hajdas","given":"Irka","non-dropping-particle":"","parse-names":false,"suffix":""},{"dropping-particle":"","family":"Galassi","given":"Francesco M.","non-dropping-particle":"","parse-names":false,"suffix":""},{"dropping-particle":"","family":"Rühli","given":"Frank J.","non-dropping-particle":"","parse-names":false,"suffix":""},{"dropping-particle":"","family":"Kraemer","given":"Thomas","non-dropping-particle":"","parse-names":false,"suffix":""}],"container-title":"Analyst","id":"ITEM-2","issue":"18","issued":{"date-parts":[["2018"]]},"note":"Look into this article later -- they're doing what we are basically\n\nEven call it a metabolomics-like approach\n\n\nCase study using GC-MS to perform untargeted analysis of ancient Egyptian canopic jars and mummies. Low sample sizes, but detected molecules commonly associated with Egyptian embalming (beeswax, terpenoids, fatty acids, etc.) as well as molecules not previously-associated with embalming process (plant biomarkers like mequinol and salicyclic acid).\nGood case study, but unclear about some of their methods -- like confirming annotations with authentic standard.","page":"4503-4512","publisher":"Royal Society of Chemistry","title":"Untargeted metabolomics-like screening approach for chemical characterization and differentiation of canopic jar and mummy samples from Ancient Egypt using GC-high resolution MS","type":"article-journal","volume":"143"},"uris":["http://www.mendeley.com/documents/?uuid=17700788-e98a-477c-b553-d82c94d4648d"]},{"id":"ITEM-3","itemData":{"DOI":"10.1016/j.jasrep.2021.103206","ISSN":"2352-409X","author":[{"dropping-particle":"","family":"Garnier","given":"Nicolas","non-dropping-particle":"","parse-names":false,"suffix":""},{"dropping-particle":"","family":"Vedeler","given":"Marianne","non-dropping-particle":"","parse-names":false,"suffix":""}],"container-title":"Journal of Archaeological Science: Reports","id":"ITEM-3","issue":"PA","issued":{"date-parts":[["2021"]]},"page":"103206","publisher":"Elsevier Ltd","title":"Revealing Medieval culinary practices in Norway: A first metabolomic-based approach","type":"article-journal","volume":"40"},"uris":["http://www.mendeley.com/documents/?uuid=e07d5b3f-ecbe-49a4-98c0-04f3c6621587"]},{"id":"ITEM-4","itemData":{"DOI":"10.3389/fmolb.2020.00133","ISSN":"2296889X","abstract":"Residues from ancient artifacts can help identify which plant species were used for their psychoactive properties, providing important information regarding the deep-time co-evolutionary relationship between plants and humans. However, relying on the presence or absence of one or several biomarkers has limited the ability to confidently connect residues to particular plants. We describe a comprehensive metabolomics-based approach that can distinguish closely related species and provide greater confidence in species use determinations. An ~1430-year-old pipe from central Washington State not only contained nicotine, but also had strong evidence for the smoking of Nicotiana quadrivalvis and Rhus glabra, as opposed to several other species in this pre-contact pipe. Analysis of a post-contact pipe suggested use of different plants, including the introduced trade tobacco, Nicotiana rustica. Ancient residue metabolomics provides a new frontier in archaeo-chemistry, with greater precision to investigate the evolution of drug use and similar plant-human co-evolutionary dynamics.","author":[{"dropping-particle":"","family":"Brownstein","given":"Korey J.","non-dropping-particle":"","parse-names":false,"suffix":""},{"dropping-particle":"","family":"Tushingham","given":"Shannon","non-dropping-particle":"","parse-names":false,"suffix":""},{"dropping-particle":"","family":"Damitio","given":"William J.","non-dropping-particle":"","parse-names":false,"suffix":""},{"dropping-particle":"","family":"Nguyen","given":"Tung","non-dropping-particle":"","parse-names":false,"suffix":""},{"dropping-particle":"","family":"Gang","given":"David R.","non-dropping-particle":"","parse-names":false,"suffix":""}],"container-title":"Frontiers in Molecular Biosciences","id":"ITEM-4","issue":"June","issued":{"date-parts":[["2020"]]},"note":"Brownstein article -- ancient residue metabolomics\n\nCase study focused on developing a targeted metabolomics-like LC-MS approach to distinguish closely-related plant species found in archaeological pipes. Proposed method involves multiple washing/sonication steps with extractions to improve residue recovery without harming ceramic vessel. Also did experimental archaeology\nGreat case study -- used authentic standards, provided MS1 and MS2 data, proper methods, etc.","page":"1-14","title":"An Ancient Residue Metabolomics-Based Method to Distinguish Use of Closely Related Plant Species in Ancient Pipes","type":"article-journal","volume":"7"},"uris":["http://www.mendeley.com/documents/?uuid=c3aa1444-6558-4c93-ad18-b95b835c104d"]}],"mendeley":{"formattedCitation":"&lt;sup&gt;20,62–64&lt;/sup&gt;","plainTextFormattedCitation":"20,62–64","previouslyFormattedCitation":"&lt;sup&gt;20,62–64&lt;/sup&gt;"},"properties":{"noteIndex":0},"schema":"https://github.com/citation-style-language/schema/raw/master/csl-citation.json"}</w:instrText>
      </w:r>
      <w:r w:rsidR="004031D9" w:rsidRPr="00901194">
        <w:rPr>
          <w:rFonts w:cs="Times New Roman"/>
        </w:rPr>
        <w:fldChar w:fldCharType="separate"/>
      </w:r>
      <w:r w:rsidR="00AB5632" w:rsidRPr="00901194">
        <w:rPr>
          <w:rFonts w:cs="Times New Roman"/>
          <w:noProof/>
          <w:vertAlign w:val="superscript"/>
        </w:rPr>
        <w:t>20,62–64</w:t>
      </w:r>
      <w:r w:rsidR="004031D9" w:rsidRPr="00901194">
        <w:rPr>
          <w:rFonts w:cs="Times New Roman"/>
        </w:rPr>
        <w:fldChar w:fldCharType="end"/>
      </w:r>
      <w:r w:rsidR="004031D9" w:rsidRPr="00901194">
        <w:rPr>
          <w:rFonts w:cs="Times New Roman"/>
        </w:rPr>
        <w:t xml:space="preserve">. </w:t>
      </w:r>
    </w:p>
    <w:p w14:paraId="43F1B233" w14:textId="3B60FF57" w:rsidR="00A550D3" w:rsidRPr="00901194" w:rsidRDefault="00CA6386" w:rsidP="002E13BF">
      <w:pPr>
        <w:ind w:firstLine="360"/>
        <w:rPr>
          <w:rFonts w:cs="Times New Roman"/>
        </w:rPr>
      </w:pPr>
      <w:r w:rsidRPr="00901194">
        <w:rPr>
          <w:rFonts w:cs="Times New Roman"/>
        </w:rPr>
        <w:t xml:space="preserve">By investigating the small molecules intrinsic to </w:t>
      </w:r>
      <w:r w:rsidR="0092271B" w:rsidRPr="00901194">
        <w:rPr>
          <w:rFonts w:cs="Times New Roman"/>
        </w:rPr>
        <w:t xml:space="preserve">any </w:t>
      </w:r>
      <w:r w:rsidRPr="00901194">
        <w:rPr>
          <w:rFonts w:cs="Times New Roman"/>
        </w:rPr>
        <w:t>biochemical processes, MS-based metabolomics is well-poised to address anthropological questions. Characterizing human metabolomes through MS ultimately revea</w:t>
      </w:r>
      <w:r w:rsidR="002E13BF" w:rsidRPr="00901194">
        <w:rPr>
          <w:rFonts w:cs="Times New Roman"/>
        </w:rPr>
        <w:t>ls</w:t>
      </w:r>
      <w:r w:rsidRPr="00901194">
        <w:rPr>
          <w:rFonts w:cs="Times New Roman"/>
        </w:rPr>
        <w:t xml:space="preserve"> human biology down to a functional, chemical level</w:t>
      </w:r>
      <w:r w:rsidRPr="00901194">
        <w:rPr>
          <w:rFonts w:cs="Times New Roman"/>
        </w:rPr>
        <w:fldChar w:fldCharType="begin" w:fldLock="1"/>
      </w:r>
      <w:r w:rsidR="000A1931" w:rsidRPr="00901194">
        <w:rPr>
          <w:rFonts w:cs="Times New Roman"/>
        </w:rPr>
        <w:instrText>ADDIN CSL_CITATION {"citationItems":[{"id":"ITEM-1","itemData":{"DOI":"10.1038/nrm3314.Metabolomics","abstract":"Metabolites,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Biol","id":"ITEM-1","issue":"4","issued":{"date-parts":[["2012"]]},"page":"263-269","title":"Metabolomics: the apogee of the omic trilogy","type":"article-journal","volume":"13"},"uris":["http://www.mendeley.com/documents/?uuid=b8c2a6ac-64b9-49e7-a9d8-fae0b880a109"]},{"id":"ITEM-2","itemData":{"DOI":"10.1016/j.cell.2012.02.032.Cellular","ISSN":"1097-4172","PMID":"22424225","author":[{"dropping-particle":"","family":"DeBerardinis","given":"R","non-dropping-particle":"","parse-names":false,"suffix":""},{"dropping-particle":"","family":"Thompson","given":"CB","non-dropping-particle":"","parse-names":false,"suffix":""}],"id":"ITEM-2","issue":"6","issued":{"date-parts":[["2012"]]},"page":"1132-1144","title":"Cellular metabolism and disease: what do metabolic outliers teach us?","type":"article-journal","volume":"148"},"uris":["http://www.mendeley.com/documents/?uuid=82adc988-e19f-423d-8044-409826a74fe4"]}],"mendeley":{"formattedCitation":"&lt;sup&gt;1,65&lt;/sup&gt;","plainTextFormattedCitation":"1,65","previouslyFormattedCitation":"&lt;sup&gt;1,65&lt;/sup&gt;"},"properties":{"noteIndex":0},"schema":"https://github.com/citation-style-language/schema/raw/master/csl-citation.json"}</w:instrText>
      </w:r>
      <w:r w:rsidRPr="00901194">
        <w:rPr>
          <w:rFonts w:cs="Times New Roman"/>
        </w:rPr>
        <w:fldChar w:fldCharType="separate"/>
      </w:r>
      <w:r w:rsidR="00AB5632" w:rsidRPr="00901194">
        <w:rPr>
          <w:rFonts w:cs="Times New Roman"/>
          <w:noProof/>
          <w:vertAlign w:val="superscript"/>
        </w:rPr>
        <w:t>1,65</w:t>
      </w:r>
      <w:r w:rsidRPr="00901194">
        <w:rPr>
          <w:rFonts w:cs="Times New Roman"/>
        </w:rPr>
        <w:fldChar w:fldCharType="end"/>
      </w:r>
      <w:r w:rsidRPr="00901194">
        <w:rPr>
          <w:rFonts w:cs="Times New Roman"/>
        </w:rPr>
        <w:t xml:space="preserve">. </w:t>
      </w:r>
      <w:r w:rsidR="002E13BF" w:rsidRPr="00901194">
        <w:rPr>
          <w:rFonts w:cs="Times New Roman"/>
        </w:rPr>
        <w:t xml:space="preserve">Moreover, MS-based metabolomics is uniquely suited to examine how the environment interacts with and subsequently informs human biology, allowing anthropologists to study the biological consequences of our unique lifestyles and behaviors. </w:t>
      </w:r>
      <w:r w:rsidR="00980942" w:rsidRPr="00901194">
        <w:rPr>
          <w:rFonts w:cs="Times New Roman"/>
        </w:rPr>
        <w:t xml:space="preserve">In health contexts, metabolomic investigations of diseases with multidimensional causes, like diabetes, can illustrate the suite of molecules </w:t>
      </w:r>
      <w:r w:rsidR="00A41702" w:rsidRPr="00901194">
        <w:rPr>
          <w:rFonts w:cs="Times New Roman"/>
        </w:rPr>
        <w:t xml:space="preserve">acquired </w:t>
      </w:r>
      <w:r w:rsidR="00980942" w:rsidRPr="00901194">
        <w:rPr>
          <w:rFonts w:cs="Times New Roman"/>
        </w:rPr>
        <w:t xml:space="preserve">from different sources like genetic predisposition, diet, lifestyle, and more </w:t>
      </w:r>
      <w:r w:rsidR="00980942" w:rsidRPr="00901194">
        <w:rPr>
          <w:rFonts w:cs="Times New Roman"/>
        </w:rPr>
        <w:fldChar w:fldCharType="begin" w:fldLock="1"/>
      </w:r>
      <w:r w:rsidR="000A1931" w:rsidRPr="00901194">
        <w:rPr>
          <w:rFonts w:cs="Times New Roman"/>
        </w:rPr>
        <w:instrText>ADDIN CSL_CITATION {"citationItems":[{"id":"ITEM-1","itemData":{"DOI":"10.1126/science.1192603","ISSN":"0036-8075","author":[{"dropping-particle":"","family":"Rappaport","given":"Stephen M","non-dropping-particle":"","parse-names":false,"suffix":""}],"container-title":"Science","id":"ITEM-1","issue":"2010","issued":{"date-parts":[["2011"]]},"page":"460-461","title":"Environment and Disease Risks","type":"article-journal","volume":"460"},"uris":["http://www.mendeley.com/documents/?uuid=a900c14e-1b1c-4579-af3d-3bb552eb416f"]},{"id":"ITEM-2","itemData":{"DOI":"10.1186/s40246-018-0134-x","author":[{"dropping-particle":"","family":"Rattray","given":"Nicholas J W","non-dropping-particle":"","parse-names":false,"suffix":""},{"dropping-particle":"","family":"Deziel","given":"Nicole C","non-dropping-particle":"","parse-names":false,"suffix":""},{"dropping-particle":"","family":"Wallach","given":"Joshua D","non-dropping-particle":"","parse-names":false,"suffix":""},{"dropping-particle":"","family":"Khan","given":"Sajid A","non-dropping-particle":"","parse-names":false,"suffix":""},{"dropping-particle":"","family":"Vasiliou","given":"Vasilis","non-dropping-particle":"","parse-names":false,"suffix":""},{"dropping-particle":"","family":"Ioannidis","given":"John P A","non-dropping-particle":"","parse-names":false,"suffix":""},{"dropping-particle":"","family":"Johnson","given":"Caroline H","non-dropping-particle":"","parse-names":false,"suffix":""}],"id":"ITEM-2","issued":{"date-parts":[["2018"]]},"note":"Focuses on the exposome/exposotype\n\nGood article for explaining how metabolomics demonstrates the intersection between genes and the environment","page":"1-14","publisher":"Human Genomics","title":"Beyond genomics : understanding exposotypes through metabolomics","type":"article-journal"},"uris":["http://www.mendeley.com/documents/?uuid=96a1893e-7193-4788-bffd-7c9173024e82"]}],"mendeley":{"formattedCitation":"&lt;sup&gt;66,67&lt;/sup&gt;","plainTextFormattedCitation":"66,67","previouslyFormattedCitation":"&lt;sup&gt;66,67&lt;/sup&gt;"},"properties":{"noteIndex":0},"schema":"https://github.com/citation-style-language/schema/raw/master/csl-citation.json"}</w:instrText>
      </w:r>
      <w:r w:rsidR="00980942" w:rsidRPr="00901194">
        <w:rPr>
          <w:rFonts w:cs="Times New Roman"/>
        </w:rPr>
        <w:fldChar w:fldCharType="separate"/>
      </w:r>
      <w:r w:rsidR="00AB5632" w:rsidRPr="00901194">
        <w:rPr>
          <w:rFonts w:cs="Times New Roman"/>
          <w:noProof/>
          <w:vertAlign w:val="superscript"/>
        </w:rPr>
        <w:t>66,67</w:t>
      </w:r>
      <w:r w:rsidR="00980942" w:rsidRPr="00901194">
        <w:rPr>
          <w:rFonts w:cs="Times New Roman"/>
        </w:rPr>
        <w:fldChar w:fldCharType="end"/>
      </w:r>
      <w:r w:rsidR="00980942" w:rsidRPr="00901194">
        <w:rPr>
          <w:rFonts w:cs="Times New Roman"/>
        </w:rPr>
        <w:t xml:space="preserve">. </w:t>
      </w:r>
      <w:r w:rsidR="002E13BF" w:rsidRPr="00901194">
        <w:rPr>
          <w:rFonts w:cs="Times New Roman"/>
        </w:rPr>
        <w:t xml:space="preserve">This </w:t>
      </w:r>
      <w:r w:rsidR="00980942" w:rsidRPr="00901194">
        <w:rPr>
          <w:rFonts w:cs="Times New Roman"/>
        </w:rPr>
        <w:t xml:space="preserve">biology-environment interplay as gleaned through MS-based metabolomics </w:t>
      </w:r>
      <w:r w:rsidR="002E13BF" w:rsidRPr="00901194">
        <w:rPr>
          <w:rFonts w:cs="Times New Roman"/>
        </w:rPr>
        <w:t xml:space="preserve">even extends to studying past human cultural behaviors, such as through residue analysis, and how these past behaviors influenced past human health. </w:t>
      </w:r>
      <w:r w:rsidR="0092271B" w:rsidRPr="00901194">
        <w:rPr>
          <w:rFonts w:cs="Times New Roman"/>
        </w:rPr>
        <w:t xml:space="preserve">Thus, MS-based metabolomics </w:t>
      </w:r>
      <w:r w:rsidR="002E13BF" w:rsidRPr="00901194">
        <w:rPr>
          <w:rFonts w:cs="Times New Roman"/>
        </w:rPr>
        <w:t xml:space="preserve">brings </w:t>
      </w:r>
      <w:r w:rsidR="0092271B" w:rsidRPr="00901194">
        <w:rPr>
          <w:rFonts w:cs="Times New Roman"/>
        </w:rPr>
        <w:t xml:space="preserve">much </w:t>
      </w:r>
      <w:r w:rsidR="0092271B" w:rsidRPr="00901194">
        <w:rPr>
          <w:rFonts w:cs="Times New Roman"/>
        </w:rPr>
        <w:lastRenderedPageBreak/>
        <w:t xml:space="preserve">to </w:t>
      </w:r>
      <w:r w:rsidR="00F74F90" w:rsidRPr="00901194">
        <w:rPr>
          <w:rFonts w:cs="Times New Roman"/>
        </w:rPr>
        <w:t xml:space="preserve">any </w:t>
      </w:r>
      <w:r w:rsidR="0092271B" w:rsidRPr="00901194">
        <w:rPr>
          <w:rFonts w:cs="Times New Roman"/>
        </w:rPr>
        <w:t>anthropolog</w:t>
      </w:r>
      <w:r w:rsidR="002E13BF" w:rsidRPr="00901194">
        <w:rPr>
          <w:rFonts w:cs="Times New Roman"/>
        </w:rPr>
        <w:t>ical</w:t>
      </w:r>
      <w:r w:rsidR="0092271B" w:rsidRPr="00901194">
        <w:rPr>
          <w:rFonts w:cs="Times New Roman"/>
        </w:rPr>
        <w:t xml:space="preserve"> explorations of human biology and its relationships with health</w:t>
      </w:r>
      <w:r w:rsidR="002E13BF" w:rsidRPr="00901194">
        <w:rPr>
          <w:rFonts w:cs="Times New Roman"/>
        </w:rPr>
        <w:t xml:space="preserve">, </w:t>
      </w:r>
      <w:r w:rsidR="0092271B" w:rsidRPr="00901194">
        <w:rPr>
          <w:rFonts w:cs="Times New Roman"/>
        </w:rPr>
        <w:t>environment</w:t>
      </w:r>
      <w:r w:rsidR="002E13BF" w:rsidRPr="00901194">
        <w:rPr>
          <w:rFonts w:cs="Times New Roman"/>
        </w:rPr>
        <w:t>s, and behavior, in both past and</w:t>
      </w:r>
      <w:r w:rsidR="00F74F90" w:rsidRPr="00901194">
        <w:rPr>
          <w:rFonts w:cs="Times New Roman"/>
        </w:rPr>
        <w:t>/or</w:t>
      </w:r>
      <w:r w:rsidR="002E13BF" w:rsidRPr="00901194">
        <w:rPr>
          <w:rFonts w:cs="Times New Roman"/>
        </w:rPr>
        <w:t xml:space="preserve"> present contexts</w:t>
      </w:r>
      <w:r w:rsidR="0092271B" w:rsidRPr="00901194">
        <w:rPr>
          <w:rFonts w:cs="Times New Roman"/>
        </w:rPr>
        <w:t>.</w:t>
      </w:r>
      <w:r w:rsidR="002E13BF" w:rsidRPr="00901194">
        <w:rPr>
          <w:rFonts w:cs="Times New Roman"/>
        </w:rPr>
        <w:t xml:space="preserve"> </w:t>
      </w:r>
      <w:r w:rsidR="0092271B" w:rsidRPr="00901194">
        <w:rPr>
          <w:rFonts w:cs="Times New Roman"/>
        </w:rPr>
        <w:t xml:space="preserve"> </w:t>
      </w:r>
    </w:p>
    <w:p w14:paraId="40712E9F" w14:textId="68D6E9BC" w:rsidR="00455803" w:rsidRPr="00901194" w:rsidRDefault="00455803" w:rsidP="00A346EB">
      <w:pPr>
        <w:pStyle w:val="Sub-ChapterHading"/>
        <w:numPr>
          <w:ilvl w:val="1"/>
          <w:numId w:val="1"/>
        </w:numPr>
      </w:pPr>
      <w:bookmarkStart w:id="12" w:name="_Toc134185946"/>
      <w:r w:rsidRPr="00901194">
        <w:t>DISSERTATION STRUCTURE</w:t>
      </w:r>
      <w:bookmarkEnd w:id="12"/>
    </w:p>
    <w:p w14:paraId="693F7DD4" w14:textId="77777777" w:rsidR="008D5539" w:rsidRPr="00901194" w:rsidRDefault="00455803" w:rsidP="00D10076">
      <w:pPr>
        <w:ind w:firstLine="360"/>
        <w:rPr>
          <w:rFonts w:cs="Times New Roman"/>
        </w:rPr>
      </w:pPr>
      <w:r w:rsidRPr="00901194">
        <w:rPr>
          <w:rFonts w:cs="Times New Roman"/>
        </w:rPr>
        <w:t>This dissertation highlights how MS-based metabolomics can address anthro</w:t>
      </w:r>
      <w:r w:rsidR="008D5539" w:rsidRPr="00901194">
        <w:rPr>
          <w:rFonts w:cs="Times New Roman"/>
        </w:rPr>
        <w:t>pological</w:t>
      </w:r>
      <w:r w:rsidRPr="00901194">
        <w:rPr>
          <w:rFonts w:cs="Times New Roman"/>
        </w:rPr>
        <w:t xml:space="preserve"> questions by </w:t>
      </w:r>
      <w:r w:rsidR="008D5539" w:rsidRPr="00901194">
        <w:rPr>
          <w:rFonts w:cs="Times New Roman"/>
        </w:rPr>
        <w:t xml:space="preserve">describing three studies using MS-based metabolomics in anthropological contexts. These case studies are represented by chapters 2-4, while chapter 5 is a conclusions section. </w:t>
      </w:r>
    </w:p>
    <w:p w14:paraId="6602D6C9" w14:textId="22EC31F0" w:rsidR="00734139" w:rsidRPr="00901194" w:rsidRDefault="008D5539" w:rsidP="00D10076">
      <w:pPr>
        <w:ind w:firstLine="360"/>
        <w:rPr>
          <w:rFonts w:cs="Times New Roman"/>
        </w:rPr>
      </w:pPr>
      <w:r w:rsidRPr="00901194">
        <w:rPr>
          <w:rFonts w:cs="Times New Roman"/>
        </w:rPr>
        <w:t xml:space="preserve">Chapter two uses </w:t>
      </w:r>
      <w:r w:rsidR="00455803" w:rsidRPr="00901194">
        <w:rPr>
          <w:rFonts w:cs="Times New Roman"/>
        </w:rPr>
        <w:t xml:space="preserve">MS-based metabolomics </w:t>
      </w:r>
      <w:r w:rsidRPr="00901194">
        <w:rPr>
          <w:rFonts w:cs="Times New Roman"/>
        </w:rPr>
        <w:t xml:space="preserve">to </w:t>
      </w:r>
      <w:r w:rsidR="00734139" w:rsidRPr="00901194">
        <w:rPr>
          <w:rFonts w:cs="Times New Roman"/>
        </w:rPr>
        <w:t>examine the fecal metabolomes of humans from Africa and the Americas representing ranges of human lifestyle diversity, including western industrial communities and traditional hunter-gatherers</w:t>
      </w:r>
      <w:r w:rsidR="00FD37FB" w:rsidRPr="00901194">
        <w:rPr>
          <w:rFonts w:cs="Times New Roman"/>
        </w:rPr>
        <w:t>, with a focus on industrialization</w:t>
      </w:r>
      <w:r w:rsidR="00734139" w:rsidRPr="00901194">
        <w:rPr>
          <w:rFonts w:cs="Times New Roman"/>
        </w:rPr>
        <w:t xml:space="preserve">. This novel emphasis on lifestyle </w:t>
      </w:r>
      <w:r w:rsidR="00FD37FB" w:rsidRPr="00901194">
        <w:rPr>
          <w:rFonts w:cs="Times New Roman"/>
        </w:rPr>
        <w:t xml:space="preserve">and industrialization </w:t>
      </w:r>
      <w:r w:rsidR="00734139" w:rsidRPr="00901194">
        <w:rPr>
          <w:rFonts w:cs="Times New Roman"/>
        </w:rPr>
        <w:t xml:space="preserve">varieties offers a unique exploration into how lifestyle and behavior influence human biology down to a chemical level. Chapter 2 also </w:t>
      </w:r>
      <w:r w:rsidRPr="00901194">
        <w:rPr>
          <w:rFonts w:cs="Times New Roman"/>
        </w:rPr>
        <w:t>reveal</w:t>
      </w:r>
      <w:r w:rsidR="00734139" w:rsidRPr="00901194">
        <w:rPr>
          <w:rFonts w:cs="Times New Roman"/>
        </w:rPr>
        <w:t>s</w:t>
      </w:r>
      <w:r w:rsidRPr="00901194">
        <w:rPr>
          <w:rFonts w:cs="Times New Roman"/>
        </w:rPr>
        <w:t xml:space="preserve"> the </w:t>
      </w:r>
      <w:r w:rsidR="00455803" w:rsidRPr="00901194">
        <w:rPr>
          <w:rFonts w:cs="Times New Roman"/>
        </w:rPr>
        <w:t>core chemistry of the human gut</w:t>
      </w:r>
      <w:r w:rsidR="00734139" w:rsidRPr="00901194">
        <w:rPr>
          <w:rFonts w:cs="Times New Roman"/>
        </w:rPr>
        <w:t xml:space="preserve"> and potential connections between this shared gut chemistry and the gut microbiome.</w:t>
      </w:r>
    </w:p>
    <w:p w14:paraId="2EAE1274" w14:textId="6FF122D9" w:rsidR="00734139" w:rsidRPr="00901194" w:rsidRDefault="00734139" w:rsidP="00734139">
      <w:pPr>
        <w:rPr>
          <w:rFonts w:cs="Times New Roman"/>
        </w:rPr>
      </w:pPr>
      <w:r w:rsidRPr="00901194">
        <w:rPr>
          <w:rFonts w:cs="Times New Roman"/>
        </w:rPr>
        <w:tab/>
        <w:t xml:space="preserve">Chapter 3 incorporates MS-based metabolomics approaches to investigate metabolomic alterations by gut microbial responses to different high fat </w:t>
      </w:r>
      <w:r w:rsidR="00DC3A70" w:rsidRPr="00901194">
        <w:rPr>
          <w:rFonts w:cs="Times New Roman"/>
        </w:rPr>
        <w:t xml:space="preserve">and </w:t>
      </w:r>
      <w:r w:rsidRPr="00901194">
        <w:rPr>
          <w:rFonts w:cs="Times New Roman"/>
        </w:rPr>
        <w:t>high f</w:t>
      </w:r>
      <w:r w:rsidR="00DC3A70" w:rsidRPr="00901194">
        <w:rPr>
          <w:rFonts w:cs="Times New Roman"/>
        </w:rPr>
        <w:t>i</w:t>
      </w:r>
      <w:r w:rsidRPr="00901194">
        <w:rPr>
          <w:rFonts w:cs="Times New Roman"/>
        </w:rPr>
        <w:t xml:space="preserve">ber </w:t>
      </w:r>
      <w:r w:rsidR="00DC3A70" w:rsidRPr="00901194">
        <w:rPr>
          <w:rFonts w:cs="Times New Roman"/>
        </w:rPr>
        <w:t xml:space="preserve">combination </w:t>
      </w:r>
      <w:r w:rsidRPr="00901194">
        <w:rPr>
          <w:rFonts w:cs="Times New Roman"/>
        </w:rPr>
        <w:t xml:space="preserve">diets. This project focuses on mice </w:t>
      </w:r>
      <w:r w:rsidR="00DF2482" w:rsidRPr="00901194">
        <w:rPr>
          <w:rFonts w:cs="Times New Roman"/>
        </w:rPr>
        <w:t xml:space="preserve">metabolomes </w:t>
      </w:r>
      <w:r w:rsidRPr="00901194">
        <w:rPr>
          <w:rFonts w:cs="Times New Roman"/>
        </w:rPr>
        <w:t xml:space="preserve">to represent a controlled setting for exploring microbiome-metabolome consequences of dietary shifts. In this chapter, we reveal personalized health responses to </w:t>
      </w:r>
      <w:r w:rsidR="00DC3A70" w:rsidRPr="00901194">
        <w:rPr>
          <w:rFonts w:cs="Times New Roman"/>
        </w:rPr>
        <w:t>these dietary shifts by examining metabolites directly influenced by gut flora. These results represent new approaches for examining dietary effects on health and biology.</w:t>
      </w:r>
    </w:p>
    <w:p w14:paraId="4DE1D676" w14:textId="03596ED4" w:rsidR="00DC3A70" w:rsidRPr="00901194" w:rsidRDefault="00DC3A70" w:rsidP="00D10076">
      <w:pPr>
        <w:ind w:firstLine="360"/>
        <w:rPr>
          <w:rFonts w:cs="Times New Roman"/>
        </w:rPr>
      </w:pPr>
      <w:r w:rsidRPr="00901194">
        <w:rPr>
          <w:rFonts w:cs="Times New Roman"/>
        </w:rPr>
        <w:t xml:space="preserve">Chapter 4 </w:t>
      </w:r>
      <w:r w:rsidR="00DF2482" w:rsidRPr="00901194">
        <w:rPr>
          <w:rFonts w:cs="Times New Roman"/>
        </w:rPr>
        <w:t xml:space="preserve">studies plant and dietary samples relevant to archaeological communities from different regions in the Americas. These data represent raw </w:t>
      </w:r>
      <w:r w:rsidR="00FE5EB3" w:rsidRPr="00901194">
        <w:rPr>
          <w:rFonts w:cs="Times New Roman"/>
        </w:rPr>
        <w:t xml:space="preserve">dietary </w:t>
      </w:r>
      <w:r w:rsidR="00DF2482" w:rsidRPr="00901194">
        <w:rPr>
          <w:rFonts w:cs="Times New Roman"/>
        </w:rPr>
        <w:t xml:space="preserve">materials associated with archaeological metabolomics-like investigations of organic residues preserved on archaeological </w:t>
      </w:r>
      <w:r w:rsidR="00DF2482" w:rsidRPr="00901194">
        <w:rPr>
          <w:rFonts w:cs="Times New Roman"/>
        </w:rPr>
        <w:lastRenderedPageBreak/>
        <w:t>samples. In this project, we describe an untargeted metabolite extraction and analysis method to provide broad metabolomic profiles of these samples, study abundances patterns of plant-associated molecules, and discuss plans for making these data publicly accessible.</w:t>
      </w:r>
    </w:p>
    <w:p w14:paraId="15A2BC8D" w14:textId="715898AB" w:rsidR="00DF2482" w:rsidRPr="00901194" w:rsidRDefault="00DF2482" w:rsidP="00D10076">
      <w:pPr>
        <w:ind w:firstLine="360"/>
        <w:rPr>
          <w:rFonts w:cs="Times New Roman"/>
        </w:rPr>
      </w:pPr>
      <w:r w:rsidRPr="00901194">
        <w:rPr>
          <w:rFonts w:cs="Times New Roman"/>
        </w:rPr>
        <w:t>Combining these chapters together, this dissertation shows the value of integrating MS-based metabolomics</w:t>
      </w:r>
      <w:r w:rsidR="00455803" w:rsidRPr="00901194">
        <w:rPr>
          <w:rFonts w:cs="Times New Roman"/>
        </w:rPr>
        <w:t xml:space="preserve"> </w:t>
      </w:r>
      <w:r w:rsidRPr="00901194">
        <w:rPr>
          <w:rFonts w:cs="Times New Roman"/>
        </w:rPr>
        <w:t>with anthropology. There is certainly room for growth in applying metabolomics to anthropology, but this dissertation represents steps towards that growth by focusing on key case studies and new methods that can help expand anthropological knowledge about molecular components of human health, biology, behaviors, and culture.</w:t>
      </w:r>
    </w:p>
    <w:p w14:paraId="73D7FB08" w14:textId="77777777" w:rsidR="00785F7F" w:rsidRPr="00901194" w:rsidRDefault="00785F7F">
      <w:pPr>
        <w:spacing w:line="259" w:lineRule="auto"/>
        <w:rPr>
          <w:rFonts w:cs="Times New Roman"/>
        </w:rPr>
      </w:pPr>
      <w:r w:rsidRPr="00901194">
        <w:rPr>
          <w:rFonts w:cs="Times New Roman"/>
        </w:rPr>
        <w:br w:type="page"/>
      </w:r>
    </w:p>
    <w:p w14:paraId="1B483DD9" w14:textId="39ADA639" w:rsidR="00455803" w:rsidRPr="00901194" w:rsidRDefault="00E75101" w:rsidP="00E75101">
      <w:pPr>
        <w:pStyle w:val="ChapterHeading1"/>
        <w:rPr>
          <w:vertAlign w:val="superscript"/>
        </w:rPr>
      </w:pPr>
      <w:bookmarkStart w:id="13" w:name="_Toc134185947"/>
      <w:r w:rsidRPr="00901194">
        <w:lastRenderedPageBreak/>
        <w:t>Chapter 2 – Untargeted Fecal Metabolomic Analyses across an Industrialization Gradient Reveal Shared Metabolites and Impact of Industrialization on Fecal Microbiome-Metabolome Interactions</w:t>
      </w:r>
      <w:r w:rsidR="0046150D" w:rsidRPr="00901194">
        <w:rPr>
          <w:rStyle w:val="FootnoteReference"/>
        </w:rPr>
        <w:footnoteReference w:id="1"/>
      </w:r>
      <w:r w:rsidR="00CE7AC9" w:rsidRPr="00901194">
        <w:rPr>
          <w:vertAlign w:val="superscript"/>
        </w:rPr>
        <w:t>,</w:t>
      </w:r>
      <w:r w:rsidR="00CE7AC9" w:rsidRPr="00901194">
        <w:rPr>
          <w:rStyle w:val="FootnoteReference"/>
        </w:rPr>
        <w:footnoteReference w:id="2"/>
      </w:r>
      <w:bookmarkEnd w:id="13"/>
    </w:p>
    <w:p w14:paraId="75891C86" w14:textId="237A82C9" w:rsidR="00E20C39" w:rsidRPr="00901194" w:rsidRDefault="00FF373E" w:rsidP="00E20C39">
      <w:pPr>
        <w:pStyle w:val="Sub-ChapterHading"/>
      </w:pPr>
      <w:bookmarkStart w:id="14" w:name="_Toc134185948"/>
      <w:r w:rsidRPr="00901194">
        <w:t>2.1 ABSTRACT</w:t>
      </w:r>
      <w:bookmarkEnd w:id="14"/>
    </w:p>
    <w:p w14:paraId="694180DF" w14:textId="0751C7D5" w:rsidR="00FF373E" w:rsidRPr="00901194" w:rsidRDefault="00FF373E" w:rsidP="00D10076">
      <w:pPr>
        <w:ind w:firstLine="720"/>
        <w:rPr>
          <w:rFonts w:cs="Times New Roman"/>
        </w:rPr>
      </w:pPr>
      <w:r w:rsidRPr="00901194">
        <w:rPr>
          <w:rFonts w:cs="Times New Roman"/>
        </w:rPr>
        <w:t xml:space="preserve">The metabolome is a central determinant of human phenotypes and includes the plethora of small molecules produced by host and microbiome or taken up from exogenous sources. However, studies of the metabolome have so far focused predominantly on urban, industrialized populations. Through an untargeted metabolomic analysis of 90 fecal samples from human individuals from Africa and the Americas—the birthplace and the last continental expansion of our species, respectively—we characterized a shared human fecal metabolome. The majority of detected metabolite features were ubiquitous across populations, despite any geographic, dietary, or behavioral differences. Such shared metabolite features included hyocholic acid and cholesterol. However, any characterization of the shared human fecal metabolome is insufficient without exploring the influence of industrialization. Here, we show chemical differences along an industrialization gradient, where the degree of industrialization correlates with metabolomic changes. We identified differential metabolite features such as amino acid-conjugated bile acids and urobilin as major metabolic correlates of these behavioral shifts. Additionally, coanalyses with over 5,000 publicly available human fecal samples and cooccurrence probability analyses with the gut microbiome highlight connections between the human fecal metabolome and gut microbiome. Our results indicate that industrialization significantly influences the human fecal </w:t>
      </w:r>
      <w:r w:rsidRPr="00901194">
        <w:rPr>
          <w:rFonts w:cs="Times New Roman"/>
        </w:rPr>
        <w:lastRenderedPageBreak/>
        <w:t>metabolome, but diverse human lifestyles and behavior still maintain a shared human fecal metabolome. This study represents the first characterization of the shared human fecal metabolome through untargeted analyses of populations along an industrialization gradient.</w:t>
      </w:r>
    </w:p>
    <w:p w14:paraId="676BEA87" w14:textId="1BBDE8C8" w:rsidR="00FF373E" w:rsidRPr="00901194" w:rsidRDefault="00FF373E" w:rsidP="00FF373E">
      <w:pPr>
        <w:pStyle w:val="Sub-ChapterHading"/>
      </w:pPr>
      <w:bookmarkStart w:id="15" w:name="_Toc134185949"/>
      <w:r w:rsidRPr="00901194">
        <w:t>2.2 INTRODUCTION</w:t>
      </w:r>
      <w:bookmarkEnd w:id="15"/>
    </w:p>
    <w:p w14:paraId="36B5EF43" w14:textId="0C59209E" w:rsidR="00F41E05" w:rsidRPr="00901194" w:rsidRDefault="00F41E05" w:rsidP="00D10076">
      <w:pPr>
        <w:ind w:firstLine="720"/>
        <w:rPr>
          <w:rFonts w:cs="Times New Roman"/>
        </w:rPr>
      </w:pPr>
      <w:r w:rsidRPr="00901194">
        <w:rPr>
          <w:rFonts w:cs="Times New Roman"/>
        </w:rPr>
        <w:t>Metabolites fit as the final stage of biology’s central dogma: DNA transcribed into RNA translated into proteins which enzymatically interact, form, and shed into small molecules as part of the biochemical pathways of metabolism</w:t>
      </w:r>
      <w:r w:rsidR="00D965EA" w:rsidRPr="00901194">
        <w:rPr>
          <w:rFonts w:cs="Times New Roman"/>
        </w:rPr>
        <w:fldChar w:fldCharType="begin" w:fldLock="1"/>
      </w:r>
      <w:r w:rsidR="000A1931" w:rsidRPr="00901194">
        <w:rPr>
          <w:rFonts w:cs="Times New Roman"/>
        </w:rPr>
        <w:instrText>ADDIN CSL_CITATION {"citationItems":[{"id":"ITEM-1","itemData":{"DOI":"10.1016/j.tplants.2004.07.004","ISBN":"1360-1385","ISSN":"13601385","PMID":"15337491","abstract":"Metabolomics is developing as an important functional genomics tool; however, there is still room for technical improvements in both the large-scale determination of metabolites from complex plant tissues and the dissemination of metabolomics research data. For the continued maturation of metabolomics, the following three objectives need to be achieved: (i) improvement in the comprehensive coverage of the plant metabolome, (ii) facilitation of comparison of results between laboratories and experiments, and (iii) enhancement of the integration of metabolomic data with other functional genomic information. Because these challenges are widely recognized and endorsed, we propose community-based efforts to define common criteria and to initiate concerted actions directed towards the release of standard reference materials, construction of consolidated metabolite libraries, and development of metabolite-specific data-management systems. © 2004 Elsevier Ltd.","author":[{"dropping-particle":"","family":"Bino","given":"Raoul J.","non-dropping-particle":"","parse-names":false,"suffix":""},{"dropping-particle":"","family":"Hall","given":"Robert D.","non-dropping-particle":"","parse-names":false,"suffix":""},{"dropping-particle":"","family":"Fiehn","given":"Oliver","non-dropping-particle":"","parse-names":false,"suffix":""},{"dropping-particle":"","family":"Kopka","given":"Joachim","non-dropping-particle":"","parse-names":false,"suffix":""},{"dropping-particle":"","family":"Saito","given":"Kazuki","non-dropping-particle":"","parse-names":false,"suffix":""},{"dropping-particle":"","family":"Draper","given":"John","non-dropping-particle":"","parse-names":false,"suffix":""},{"dropping-particle":"","family":"Nikolau","given":"Basil J.","non-dropping-particle":"","parse-names":false,"suffix":""},{"dropping-particle":"","family":"Mendes","given":"Pedro","non-dropping-particle":"","parse-names":false,"suffix":""},{"dropping-particle":"","family":"Roessner-Tunali","given":"Ute","non-dropping-particle":"","parse-names":false,"suffix":""},{"dropping-particle":"","family":"Beale","given":"Michael H.","non-dropping-particle":"","parse-names":false,"suffix":""},{"dropping-particle":"","family":"Trethewey","given":"Richard N.","non-dropping-particle":"","parse-names":false,"suffix":""},{"dropping-particle":"","family":"Lange","given":"B. Markus","non-dropping-particle":"","parse-names":false,"suffix":""},{"dropping-particle":"","family":"Wurtele","given":"Eve Syrkin","non-dropping-particle":"","parse-names":false,"suffix":""},{"dropping-particle":"","family":"Sumner","given":"Lloyd W.","non-dropping-particle":"","parse-names":false,"suffix":""}],"container-title":"Trends in Plant Science","id":"ITEM-1","issue":"9","issued":{"date-parts":[["2004"]]},"page":"418-425","title":"Potential of metabolomics as a functional genomics tool","type":"article-journal","volume":"9"},"uris":["http://www.mendeley.com/documents/?uuid=1ed8bd26-fa30-4f08-bbae-770d30731e3b"]},{"id":"ITEM-2","itemData":{"DOI":"10.1002/mas","ISBN":"1098-2787","ISSN":"09943919","PMID":"17407130","abstract":"This review presents an overview of the dynamically developing field of mass spectrometry-based metabolomics. Metabolomics aims at the comprehensive and quantitative analysis of wide arrays of metabolites in biological samples. These numerous analytes have very diverse physico-chemical properties and occur at different abundance levels. Consequently, comprehen- sive metabolomics investigations are primarily a challenge for analytical chemistry and specifically mass spectrometry has vast potential as a tool for this type of investigation. Metabolomics require special approaches for sample prepara- tion, separation, and mass spectrometric analysis. Current examples of those approaches are described in this review. It primarily focuses on metabolic fingerprinting, a technique that analyzes all detectable analytes in a given sample with subsequent classification of samples and identification of differentially expressed metabolites, which define the sample classes. To perform this complex task, data analysis tools, metabolite libraries, and databases are required. Therefore, recent advances in metabolomics bioinformatics are also discussed.","author":[{"dropping-particle":"","family":"Dettmer","given":"Katja","non-dropping-particle":"","parse-names":false,"suffix":""},{"dropping-particle":"","family":"Aronov","given":"Pavel A.","non-dropping-particle":"","parse-names":false,"suffix":""},{"dropping-particle":"","family":"Hammock","given":"Bruce D.","non-dropping-particle":"","parse-names":false,"suffix":""}],"container-title":"Mass Spectrometry Reviews","id":"ITEM-2","issued":{"date-parts":[["2007"]]},"note":"Has a good figure for helping make experimental design figure -- page 54\n\nMetabolic profiling -- targeted?; Metabolic fingerprinting -- untargeted\n\nReview article providing overview for mass spectrometry-based metabolomics. Covers broad concepts like metabolic profiling vs fingerprinting, MS instrument variations/consierations, data processing, etc. Useful for citing when discussing what metabolomics is, what a metabolite is, and why it's important with the other omics fields","page":"51-78","title":"Mass Spectrometry-Based Metabolomics","type":"article-journal","volume":"26"},"uris":["http://www.mendeley.com/documents/?uuid=e91e9973-512a-4797-a502-50feba889888"]},{"id":"ITEM-3","itemData":{"DOI":"10.1038/nrm3314.Metabolomics","abstract":"Metabolites,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Biol","id":"ITEM-3","issue":"4","issued":{"date-parts":[["2012"]]},"page":"263-269","title":"Metabolomics: the apogee of the omic trilogy","type":"article-journal","volume":"13"},"uris":["http://www.mendeley.com/documents/?uuid=b8c2a6ac-64b9-49e7-a9d8-fae0b880a109"]}],"mendeley":{"formattedCitation":"&lt;sup&gt;1,11,13&lt;/sup&gt;","plainTextFormattedCitation":"1,11,13","previouslyFormattedCitation":"&lt;sup&gt;1,11,13&lt;/sup&gt;"},"properties":{"noteIndex":0},"schema":"https://github.com/citation-style-language/schema/raw/master/csl-citation.json"}</w:instrText>
      </w:r>
      <w:r w:rsidR="00D965EA" w:rsidRPr="00901194">
        <w:rPr>
          <w:rFonts w:cs="Times New Roman"/>
        </w:rPr>
        <w:fldChar w:fldCharType="separate"/>
      </w:r>
      <w:r w:rsidR="00AB5632" w:rsidRPr="00901194">
        <w:rPr>
          <w:rFonts w:cs="Times New Roman"/>
          <w:noProof/>
          <w:vertAlign w:val="superscript"/>
        </w:rPr>
        <w:t>1,11,13</w:t>
      </w:r>
      <w:r w:rsidR="00D965EA" w:rsidRPr="00901194">
        <w:rPr>
          <w:rFonts w:cs="Times New Roman"/>
        </w:rPr>
        <w:fldChar w:fldCharType="end"/>
      </w:r>
      <w:r w:rsidR="00D965EA" w:rsidRPr="00901194">
        <w:rPr>
          <w:rFonts w:cs="Times New Roman"/>
        </w:rPr>
        <w:t xml:space="preserve">. </w:t>
      </w:r>
      <w:r w:rsidRPr="00901194">
        <w:rPr>
          <w:rFonts w:cs="Times New Roman"/>
        </w:rPr>
        <w:t>For this study, we define a metabolite as any small molecule (&lt;1,500 Da) involved in biochemical pathways and the metabolome as the collection of these small molecules within a biological system</w:t>
      </w:r>
      <w:r w:rsidR="006911A9" w:rsidRPr="00901194">
        <w:rPr>
          <w:rFonts w:cs="Times New Roman"/>
        </w:rPr>
        <w:fldChar w:fldCharType="begin" w:fldLock="1"/>
      </w:r>
      <w:r w:rsidR="000A1931" w:rsidRPr="00901194">
        <w:rPr>
          <w:rFonts w:cs="Times New Roman"/>
        </w:rPr>
        <w:instrText>ADDIN CSL_CITATION {"citationItems":[{"id":"ITEM-1","itemData":{"DOI":"10.1038/nrm3314.Metabolomics","abstract":"Metabolites, the chemical entities that are transformed during metabolism, provide a functional readout of cellular biochemistry. With emerging technologies in mass spectrometry, thousands of metabolites can now be quantitatively measured from minimal amounts of biological material, which has thereby enabled systems-level analyses. By performing global metabolite profiling, also known as untargeted metabolomics, new discoveries linking cellular pathways to biological mechanism are being revealed and shaping our understanding of cell biology, physiology, and medicine. Metabolites are small molecules that are chemically transformed during metabolism and, as such, they provide a functional readout of cellular state. Unlike genes and proteins, whose function is subject to epigenetic regulation and post-translational modifications respectively, metabolites serve as direct signatures of biochemical activity and they are therefore easier to correlate with phenotype. In this context, metabolite profiling, or metabolomics, has become a powerful approach that has been widely adopted for clinical diagnostics.","author":[{"dropping-particle":"","family":"Patti","given":"G J","non-dropping-particle":"","parse-names":false,"suffix":""},{"dropping-particle":"","family":"Yanes","given":"Oscar","non-dropping-particle":"","parse-names":false,"suffix":""},{"dropping-particle":"","family":"Siuzdak","given":"G","non-dropping-particle":"","parse-names":false,"suffix":""}],"container-title":"Nat Rev Mol Cell Biol","id":"ITEM-1","issue":"4","issued":{"date-parts":[["2012"]]},"page":"263-269","title":"Metabolomics: the apogee of the omic trilogy","type":"article-journal","volume":"13"},"uris":["http://www.mendeley.com/documents/?uuid=b8c2a6ac-64b9-49e7-a9d8-fae0b880a109"]},{"id":"ITEM-2","itemData":{"DOI":"10.1016/j.cbpa.2017.01.001","ISBN":"1367-5931","ISSN":"18790402","PMID":"28113135","abstract":"The metabolome describes the full complement of the tens to hundreds of thousands of low molecular weight metabolites present within a biological system. Identification of the metabolome is critical for discovering the maximum amount of biochemical knowledge from metabolomics datasets. Yet no exhaustive experimental characterisation of any organismal metabolome has been reported to date, dramatically contrasting with the genome sequencing of thousands of plants, animals and microbes. Here, we review the status of metabolome annotation and describe advances in the analytical methodologies being applied. In part through new international coordination, we conclude that we are now entering a new era of metabolome annotation.","author":[{"dropping-particle":"","family":"Viant","given":"Mark R.","non-dropping-particle":"","parse-names":false,"suffix":""},{"dropping-particle":"","family":"Kurland","given":"Irwin J.","non-dropping-particle":"","parse-names":false,"suffix":""},{"dropping-particle":"","family":"Jones","given":"Martin R.","non-dropping-particle":"","parse-names":false,"suffix":""},{"dropping-particle":"","family":"Dunn","given":"Warwick B.","non-dropping-particle":"","parse-names":false,"suffix":""}],"container-title":"Current Opinion in Chemical Biology","id":"ITEM-2","issued":{"date-parts":[["2017"]]},"note":"Examining the state of the field\n\nWant people to do an entire metabolome for organisms -- no one has done this yet\n\nPhylometabolomics is emphasized strongly here -- studying organism metabolic pathways in context of evolution","page":"64-69","publisher":"The Author(s)","title":"How close are we to complete annotation of metabolomes?","type":"article-journal","volume":"36"},"uris":["http://www.mendeley.com/documents/?uuid=9f814598-ca51-438a-a70d-c09d33b6e3ca"]},{"id":"ITEM-3","itemData":{"DOI":"10.1038/nrm.2016.25","ISSN":"14710080","PMID":"26979502","abstract":"Metabolomics, which is the profiling of metabolites in biofluids, cells and tissues, is routinely applied as a tool for biomarker discovery. Owing to innovative developments in informatics and analytical technologies, and the integration of orthogonal biological approaches, it is now possible to expand metabolomic analyses to understand the systems-level effects of metabolites. Moreover, because of the inherent sensitivity of metabolomics, subtle alterations in biological pathways can be detected to provide insight into the mechanisms that underlie various physiological conditions and aberrant processes, including diseases.","author":[{"dropping-particle":"","family":"Johnson","given":"Caroline H.","non-dropping-particle":"","parse-names":false,"suffix":""},{"dropping-particle":"","family":"Ivanisevic","given":"Julijana","non-dropping-particle":"","parse-names":false,"suffix":""},{"dropping-particle":"","family":"Siuzdak","given":"Gary","non-dropping-particle":"","parse-names":false,"suffix":""}],"container-title":"Nature Reviews Molecular Cell Biology","id":"ITEM-3","issue":"7","issued":{"date-parts":[["2016"]]},"note":"Good article for metabolomics","page":"451-459","title":"Metabolomics: Beyond biomarkers and towards mechanisms","type":"article-journal","volume":"17"},"uris":["http://www.mendeley.com/documents/?uuid=dc29d9fe-402b-426b-b060-32c214319cbb"]}],"mendeley":{"formattedCitation":"&lt;sup&gt;1,12,29&lt;/sup&gt;","plainTextFormattedCitation":"1,12,29","previouslyFormattedCitation":"&lt;sup&gt;1,12,29&lt;/sup&gt;"},"properties":{"noteIndex":0},"schema":"https://github.com/citation-style-language/schema/raw/master/csl-citation.json"}</w:instrText>
      </w:r>
      <w:r w:rsidR="006911A9" w:rsidRPr="00901194">
        <w:rPr>
          <w:rFonts w:cs="Times New Roman"/>
        </w:rPr>
        <w:fldChar w:fldCharType="separate"/>
      </w:r>
      <w:r w:rsidR="00AB5632" w:rsidRPr="00901194">
        <w:rPr>
          <w:rFonts w:cs="Times New Roman"/>
          <w:noProof/>
          <w:vertAlign w:val="superscript"/>
        </w:rPr>
        <w:t>1,12,29</w:t>
      </w:r>
      <w:r w:rsidR="006911A9" w:rsidRPr="00901194">
        <w:rPr>
          <w:rFonts w:cs="Times New Roman"/>
        </w:rPr>
        <w:fldChar w:fldCharType="end"/>
      </w:r>
      <w:r w:rsidRPr="00901194">
        <w:rPr>
          <w:rFonts w:cs="Times New Roman"/>
        </w:rPr>
        <w:t>. Using the definition from the Human Metabolome Database, these endogenous metabolites (synthesized by the host or their resident microbiota) are supplemented by exogenous small molecules acquired from external sources, such as cosmetics, medication, dietary sources, and pollution</w:t>
      </w:r>
      <w:r w:rsidR="006F7E54" w:rsidRPr="00901194">
        <w:rPr>
          <w:rFonts w:cs="Times New Roman"/>
        </w:rPr>
        <w:fldChar w:fldCharType="begin" w:fldLock="1"/>
      </w:r>
      <w:r w:rsidR="000A1931" w:rsidRPr="00901194">
        <w:rPr>
          <w:rFonts w:cs="Times New Roman"/>
        </w:rPr>
        <w:instrText>ADDIN CSL_CITATION {"citationItems":[{"id":"ITEM-1","itemData":{"DOI":"10.1093/nar/gkx1089","ISBN":"13624962 (Electronic)","ISSN":"13624962","PMID":"29140435","abstract":"The Human Metabolome Database or HMDB (www.hmdb.ca) is a web-enabled metabolomic database containing comprehensive information about human metabolites along with their biological roles, physiological concentrations, disease associations, chemical reactions, metabolic pathways, and reference spectra. First described in 2007, the HMDB is now considered the standard metabolomic resource for human metabolic studies. Over the past decade the HMDB has continued to grow and evolve in response to emerging needs for metabolomics researchers and continuing changes in web standards. This year's update, HMDB 4.0, represents the most significant upgrade to the database in its history. For instance, the number of fully annotated metabolites has increased by nearly threefold, the number of experimental spectra has grown by almost fourfold and the number of illustrated metabolic pathways has grown by a factor of almost 60. Significant improvements have also been made to the HMDB’s chemical taxonomy, chemical ontology, spectral viewing, and spectral/text searching tools. A great deal of brand new data has also been added to HMDB 4.0. This includes large quantities of predicted MS/MS and GC–MS reference spectral data as well as predicted (physiologically feasible) metabolite structures to facilitate novel metabolite identification. Additional information on metabolite-SNP interactions and the influence of drugs on metabolite levels (pharmacometabolomics) has also been added. Many other important improvements in the content, the interface, and the performance of the HMDB website have been made and these should greatly enhance its ease of use and its potential applications in nutrition, biochemistry, clinical chemistry, clinical genetics, medicine, and metabolomics science.","author":[{"dropping-particle":"","family":"Wishart","given":"David S.","non-dropping-particle":"","parse-names":false,"suffix":""},{"dropping-particle":"","family":"Feunang","given":"Yannick Djoumbou","non-dropping-particle":"","parse-names":false,"suffix":""},{"dropping-particle":"","family":"Marcu","given":"Ana","non-dropping-particle":"","parse-names":false,"suffix":""},{"dropping-particle":"","family":"Guo","given":"An Chi","non-dropping-particle":"","parse-names":false,"suffix":""},{"dropping-particle":"","family":"Liang","given":"Kevin","non-dropping-particle":"","parse-names":false,"suffix":""},{"dropping-particle":"","family":"Vázquez-Fresno","given":"Rosa","non-dropping-particle":"","parse-names":false,"suffix":""},{"dropping-particle":"","family":"Sajed","given":"Tanvir","non-dropping-particle":"","parse-names":false,"suffix":""},{"dropping-particle":"","family":"Johnson","given":"Daniel","non-dropping-particle":"","parse-names":false,"suffix":""},{"dropping-particle":"","family":"Li","given":"Carin","non-dropping-particle":"","parse-names":false,"suffix":""},{"dropping-particle":"","family":"Karu","given":"Naama","non-dropping-particle":"","parse-names":false,"suffix":""},{"dropping-particle":"","family":"Sayeeda","given":"Zinat","non-dropping-particle":"","parse-names":false,"suffix":""},{"dropping-particle":"","family":"Lo","given":"Elvis","non-dropping-particle":"","parse-names":false,"suffix":""},{"dropping-particle":"","family":"Assempour","given":"Nazanin","non-dropping-particle":"","parse-names":false,"suffix":""},{"dropping-particle":"","family":"Berjanskii","given":"Mark","non-dropping-particle":"","parse-names":false,"suffix":""},{"dropping-particle":"","family":"Singhal","given":"Sandeep","non-dropping-particle":"","parse-names":false,"suffix":""},{"dropping-particle":"","family":"Arndt","given":"David","non-dropping-particle":"","parse-names":false,"suffix":""},{"dropping-particle":"","family":"Liang","given":"Yonjie","non-dropping-particle":"","parse-names":false,"suffix":""},{"dropping-particle":"","family":"Badran","given":"Hasan","non-dropping-particle":"","parse-names":false,"suffix":""},{"dropping-particle":"","family":"Grant","given":"Jason","non-dropping-particle":"","parse-names":false,"suffix":""},{"dropping-particle":"","family":"Serra-Cayuela","given":"Arnau","non-dropping-particle":"","parse-names":false,"suffix":""},{"dropping-particle":"","family":"Liu","given":"Yifeng","non-dropping-particle":"","parse-names":false,"suffix":""},{"dropping-particle":"","family":"Mandal","given":"Rupa","non-dropping-particle":"","parse-names":false,"suffix":""},{"dropping-particle":"","family":"Neveu","given":"Vanessa","non-dropping-particle":"","parse-names":false,"suffix":""},{"dropping-particle":"","family":"Pon","given":"Allison","non-dropping-particle":"","parse-names":false,"suffix":""},{"dropping-particle":"","family":"Knox","given":"Craig","non-dropping-particle":"","parse-names":false,"suffix":""},{"dropping-particle":"","family":"Wilson","given":"Michael","non-dropping-particle":"","parse-names":false,"suffix":""},{"dropping-particle":"","family":"Manach","given":"Claudine","non-dropping-particle":"","parse-names":false,"suffix":""},{"dropping-particle":"","family":"Scalbert","given":"Augustin","non-dropping-particle":"","parse-names":false,"suffix":""}],"container-title":"Nucleic Acids Research","id":"ITEM-1","issue":"D1","issued":{"date-parts":[["2017"]]},"page":"D608-D617","title":"HMDB 4.0: The human metabolome database for 2018","type":"article-journal","volume":"46"},"uris":["http://www.mendeley.com/documents/?uuid=e59c3e3b-136c-4c12-a49b-7729d29d34cd"]}],"mendeley":{"formattedCitation":"&lt;sup&gt;44&lt;/sup&gt;","plainTextFormattedCitation":"44","previouslyFormattedCitation":"&lt;sup&gt;44&lt;/sup&gt;"},"properties":{"noteIndex":0},"schema":"https://github.com/citation-style-language/schema/raw/master/csl-citation.json"}</w:instrText>
      </w:r>
      <w:r w:rsidR="006F7E54" w:rsidRPr="00901194">
        <w:rPr>
          <w:rFonts w:cs="Times New Roman"/>
        </w:rPr>
        <w:fldChar w:fldCharType="separate"/>
      </w:r>
      <w:r w:rsidR="00AB5632" w:rsidRPr="00901194">
        <w:rPr>
          <w:rFonts w:cs="Times New Roman"/>
          <w:noProof/>
          <w:vertAlign w:val="superscript"/>
        </w:rPr>
        <w:t>44</w:t>
      </w:r>
      <w:r w:rsidR="006F7E54" w:rsidRPr="00901194">
        <w:rPr>
          <w:rFonts w:cs="Times New Roman"/>
        </w:rPr>
        <w:fldChar w:fldCharType="end"/>
      </w:r>
      <w:r w:rsidRPr="00901194">
        <w:rPr>
          <w:rFonts w:cs="Times New Roman"/>
        </w:rPr>
        <w:t>. The human metabolome thus contains both endogenous and exogenous metabolites, representing the nexus of genetic and environmental influences</w:t>
      </w:r>
      <w:r w:rsidR="006F7E54" w:rsidRPr="00901194">
        <w:rPr>
          <w:rFonts w:cs="Times New Roman"/>
        </w:rPr>
        <w:fldChar w:fldCharType="begin" w:fldLock="1"/>
      </w:r>
      <w:r w:rsidR="000A1931" w:rsidRPr="00901194">
        <w:rPr>
          <w:rFonts w:cs="Times New Roman"/>
        </w:rPr>
        <w:instrText>ADDIN CSL_CITATION {"citationItems":[{"id":"ITEM-1","itemData":{"DOI":"10.1038/nrm.2016.25","ISSN":"14710080","PMID":"26979502","abstract":"Metabolomics, which is the profiling of metabolites in biofluids, cells and tissues, is routinely applied as a tool for biomarker discovery. Owing to innovative developments in informatics and analytical technologies, and the integration of orthogonal biological approaches, it is now possible to expand metabolomic analyses to understand the systems-level effects of metabolites. Moreover, because of the inherent sensitivity of metabolomics, subtle alterations in biological pathways can be detected to provide insight into the mechanisms that underlie various physiological conditions and aberrant processes, including diseases.","author":[{"dropping-particle":"","family":"Johnson","given":"Caroline H.","non-dropping-particle":"","parse-names":false,"suffix":""},{"dropping-particle":"","family":"Ivanisevic","given":"Julijana","non-dropping-particle":"","parse-names":false,"suffix":""},{"dropping-particle":"","family":"Siuzdak","given":"Gary","non-dropping-particle":"","parse-names":false,"suffix":""}],"container-title":"Nature Reviews Molecular Cell Biology","id":"ITEM-1","issue":"7","issued":{"date-parts":[["2016"]]},"note":"Good article for metabolomics","page":"451-459","title":"Metabolomics: Beyond biomarkers and towards mechanisms","type":"article-journal","volume":"17"},"uris":["http://www.mendeley.com/documents/?uuid=dc29d9fe-402b-426b-b060-32c214319cbb"]},{"id":"ITEM-2","itemData":{"DOI":"10.1002/ajpa.23943","ISSN":"10968644","abstract":"The metabolome is a system of small biomolecules (metabolites) and a direct result of human bioculture. Consequently, metabolomics is well poised to impact anthropological and biomedical research for the foreseeable future. Overall, we provide a perspective on the ethical, legal, and social implications (ELSI) of metabolomics, which we argue are often more alarming than those of genomics. Given the current mechanisms to fund research, ELSI beyond human DNA is stifled and in need of considerable attention.","author":[{"dropping-particle":"","family":"Lewis","given":"Cecil M.","non-dropping-particle":"","parse-names":false,"suffix":""},{"dropping-particle":"","family":"McCall","given":"Laura Isobel","non-dropping-particle":"","parse-names":false,"suffix":""},{"dropping-particle":"","family":"Sharp","given":"Richard R.","non-dropping-particle":"","parse-names":false,"suffix":""},{"dropping-particle":"","family":"Spicer","given":"Paul G.","non-dropping-particle":"","parse-names":false,"suffix":""}],"container-title":"American Journal of Physical Anthropology","id":"ITEM-2","issue":"2","issued":{"date-parts":[["2019"]]},"note":"Like genohype and genetic determinism, are we seeing the early potential for a metabolomic or metabolic determinism?","page":"177-181","title":"Ethical priority of the most actionable system of biomolecules: the metabolome","type":"article-journal","volume":"171"},"uris":["http://www.mendeley.com/documents/?uuid=6ae3a37d-eaa8-4e2f-92ef-b65dce986537"]},{"id":"ITEM-3","itemData":{"DOI":"10.1021/ac060245f","ISSN":"00032700","abstract":"A nonlinear alignment strategy was examined for the quantitative analysis of serum metabolites. Two small-molecule mixtures with a difference in relative concentration of 20-100% for 10 of the compounds were added to human serum. The metabolomics protocol using UPLC and XCMS for LC-MS data alignment could readily identify 8 of 10 spiked differences among more than 2700 features detected. Normalization of data against a single factor obtained through averaging the XCMS integrated response areas of spiked standards increased the number of identified differences. The original data structure was well preserved using XCMS, but reintegration of identified differences in the original data reduced the number of false positives. Using UPLC for separation resulted in 20% more detected components compared to HPLC. The length of the chromatographic separation also proved to be a crucial parameter for a number of detected features. Moreover, UPLC displayed better retention time reproducibility and signal-to-noise ratios for spiked compounds over HPLC, making this technology more suitable for nontargeted metabolomics applications. © 2006 American Chemical Society.","author":[{"dropping-particle":"","family":"Nordström","given":"Anders","non-dropping-particle":"","parse-names":false,"suffix":""},{"dropping-particle":"","family":"O'Maille","given":"Grace","non-dropping-particle":"","parse-names":false,"suffix":""},{"dropping-particle":"","family":"Qin","given":"Chuan","non-dropping-particle":"","parse-names":false,"suffix":""},{"dropping-particle":"","family":"Siuzdak","given":"Gary","non-dropping-particle":"","parse-names":false,"suffix":""}],"container-title":"Analytical Chemistry","id":"ITEM-3","issue":"10","issued":{"date-parts":[["2006"]]},"note":"Good for endogenous/exogenous","page":"3289-3295","title":"Nonlinear data alignment for UPLC-MS and HPLC-MS based metabolomics: Quantitative analysis of endogenous and exogenous metabolites in human serum","type":"article-journal","volume":"78"},"uris":["http://www.mendeley.com/documents/?uuid=5d219a8c-31db-450a-9ad2-449a78d79fee"]},{"id":"ITEM-4","itemData":{"DOI":"10.1038/nrd.2016.32","ISBN":"1174-5886 (Print)","ISSN":"14741784","PMID":"26965202","abstract":"Metabolomics is an emerging 'omics' science involving the comprehensive characterization of metabolites and metabolism in biological systems. Recent advances in metabolomics technologies are leading to a growing number of mainstream biomedical applications. In particular, metabolomics is increasingly being used to diagnose disease, understand disease mechanisms, identify novel drug targets, customize drug treatments and monitor therapeutic outcomes. This Review discusses some of the latest technological advances in metabolomics, focusing on the application of metabolomics towards uncovering the underlying causes of complex diseases (such as atherosclerosis, cancer and diabetes), the growing role of metabolomics in drug discovery and its potential effect on precision medicine.","author":[{"dropping-particle":"","family":"Wishart","given":"David S.","non-dropping-particle":"","parse-names":false,"suffix":""}],"container-title":"Nature Reviews Drug Discovery","id":"ITEM-4","issue":"7","issued":{"date-parts":[["2016"]]},"note":"Good for endogenous/exogenous","page":"473-484","publisher":"Nature Publishing Group","title":"Emerging applications of metabolomics in drug discovery and precision medicine","type":"article-journal","volume":"15"},"uris":["http://www.mendeley.com/documents/?uuid=f069d21f-fec6-4b1f-8f96-42cef3fa85c0"]}],"mendeley":{"formattedCitation":"&lt;sup&gt;29,68–70&lt;/sup&gt;","plainTextFormattedCitation":"29,68–70","previouslyFormattedCitation":"&lt;sup&gt;29,68–70&lt;/sup&gt;"},"properties":{"noteIndex":0},"schema":"https://github.com/citation-style-language/schema/raw/master/csl-citation.json"}</w:instrText>
      </w:r>
      <w:r w:rsidR="006F7E54" w:rsidRPr="00901194">
        <w:rPr>
          <w:rFonts w:cs="Times New Roman"/>
        </w:rPr>
        <w:fldChar w:fldCharType="separate"/>
      </w:r>
      <w:r w:rsidR="00AB5632" w:rsidRPr="00901194">
        <w:rPr>
          <w:rFonts w:cs="Times New Roman"/>
          <w:noProof/>
          <w:vertAlign w:val="superscript"/>
        </w:rPr>
        <w:t>29,68–70</w:t>
      </w:r>
      <w:r w:rsidR="006F7E54" w:rsidRPr="00901194">
        <w:rPr>
          <w:rFonts w:cs="Times New Roman"/>
        </w:rPr>
        <w:fldChar w:fldCharType="end"/>
      </w:r>
      <w:r w:rsidRPr="00901194">
        <w:rPr>
          <w:rFonts w:cs="Times New Roman"/>
        </w:rPr>
        <w:t xml:space="preserve">. </w:t>
      </w:r>
    </w:p>
    <w:p w14:paraId="7CA8A950" w14:textId="2730000A" w:rsidR="00F41E05" w:rsidRPr="00901194" w:rsidRDefault="00F41E05" w:rsidP="00D10076">
      <w:pPr>
        <w:ind w:firstLine="720"/>
        <w:rPr>
          <w:rFonts w:cs="Times New Roman"/>
        </w:rPr>
      </w:pPr>
      <w:r w:rsidRPr="00901194">
        <w:rPr>
          <w:rFonts w:cs="Times New Roman"/>
        </w:rPr>
        <w:t>Characterizing the fecal metabolome requires an understanding of how it is influenced by different factors, such as industrialization</w:t>
      </w:r>
      <w:r w:rsidR="00774A35" w:rsidRPr="00901194">
        <w:rPr>
          <w:rFonts w:cs="Times New Roman"/>
        </w:rPr>
        <w:fldChar w:fldCharType="begin" w:fldLock="1"/>
      </w:r>
      <w:r w:rsidR="000A1931" w:rsidRPr="00901194">
        <w:rPr>
          <w:rFonts w:cs="Times New Roman"/>
        </w:rPr>
        <w:instrText>ADDIN CSL_CITATION {"citationItems":[{"id":"ITEM-1","itemData":{"DOI":"10.1016/j.ymeth.2018.04.029","ISSN":"10959130","abstract":"It is well established that gut microbes and their metabolic products regulate host metabolism. The interactions between the host and its gut microbiota are highly dynamic and complex. In this review we present and discuss the metabolomic strategies to study the gut microbial ecosystem. We highlight the metabolic profiling approaches to study faecal samples aimed at deciphering the metabolic product derived from gut microbiota. We also discuss how metabolomics data can be integrated with metagenomics data derived from gut microbiota and how such approaches may lead to better understanding of the microbial functions. Finally, the emerging approaches of genome-scale metabolic modelling to study microbial co-metabolism and host–microbe interactions are highlighted.","author":[{"dropping-particle":"","family":"Lamichhane","given":"Santosh","non-dropping-particle":"","parse-names":false,"suffix":""},{"dropping-particle":"","family":"Sen","given":"Partho","non-dropping-particle":"","parse-names":false,"suffix":""},{"dropping-particle":"","family":"Dickens","given":"Alex M.","non-dropping-particle":"","parse-names":false,"suffix":""},{"dropping-particle":"","family":"Orešič","given":"Matej","non-dropping-particle":"","parse-names":false,"suffix":""},{"dropping-particle":"","family":"Bertram","given":"Hanne Christine","non-dropping-particle":"","parse-names":false,"suffix":""}],"container-title":"Methods","id":"ITEM-1","issue":"April","issued":{"date-parts":[["2018"]]},"page":"3-12","title":"Gut metabolome meets microbiome: A methodological perspective to understand the relationship between host and microbe","type":"article-journal","volume":"149"},"uris":["http://www.mendeley.com/documents/?uuid=59058c0f-4c68-48ec-a291-4d0941da2e67"]},{"id":"ITEM-2","itemData":{"DOI":"10.3389/fmicb.2016.01144","ISSN":"1664302X","abstract":"The gut microbiota is composed of a huge number of different bacteria, that produce a large amount of compounds playing a key role in microbe selection and in the construction of a metabolic signaling network. The microbial activities are affected by environmental stimuli leading to the generation of a wide number of compounds, that influence the host metabolome and human health. Indeed, metabolite profiles related to the gut microbiota can offer deep insights on the impact of lifestyle and dietary factors on chronic and acute diseases. Metagenomics, metaproteomics and metabolomics are some of the meta-omics approaches to study the modulation of the gut microbiota. Metabolomic research applied to biofluids allows to: define the metabolic profile; identify and quantify classes and compounds of interest; characterize small molecules produced by intestinal microbes; and define the biochemical pathways of metabolites. Mass spectrometry and nuclear magnetic resonance spectroscopy are the principal technologies applied to metabolomics in terms of coverage, sensitivity and quantification. Moreover, the use of biostatistics and mathematical approaches coupled with metabolomics play a key role in the extraction of biologically meaningful information from wide datasets. Metabolomic studies in gut microbiota-related research have increased, focusing on the generation of novel biomarkers, which could lead to the development of mechanistic hypotheses potentially applicable to the development of nutritional and personalized therapies.","author":[{"dropping-particle":"","family":"Vernocchi","given":"Pamela","non-dropping-particle":"","parse-names":false,"suffix":""},{"dropping-particle":"","family":"Chierico","given":"Federica","non-dropping-particle":"Del","parse-names":false,"suffix":""},{"dropping-particle":"","family":"Putignani","given":"Lorenza","non-dropping-particle":"","parse-names":false,"suffix":""}],"container-title":"Frontiers in Microbiology","id":"ITEM-2","issue":"JUL","issued":{"date-parts":[["2016"]]},"title":"Gut microbiota profiling: Metabolomics based approach to unravel compounds affecting human health","type":"article-journal","volume":"7"},"uris":["http://www.mendeley.com/documents/?uuid=b132c99e-05e1-4f73-8a49-ed76c67da3ce"]}],"mendeley":{"formattedCitation":"&lt;sup&gt;71,72&lt;/sup&gt;","plainTextFormattedCitation":"71,72","previouslyFormattedCitation":"&lt;sup&gt;71,72&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71,72</w:t>
      </w:r>
      <w:r w:rsidR="00774A35" w:rsidRPr="00901194">
        <w:rPr>
          <w:rFonts w:cs="Times New Roman"/>
        </w:rPr>
        <w:fldChar w:fldCharType="end"/>
      </w:r>
      <w:r w:rsidRPr="00901194">
        <w:rPr>
          <w:rFonts w:cs="Times New Roman"/>
        </w:rPr>
        <w:t>. Broadly, industrialization is a series of economic and technological changes relating to the processing and distribution of resources that ultimately cause a shift from agrarian to industrial societies</w:t>
      </w:r>
      <w:r w:rsidR="00774A35" w:rsidRPr="00901194">
        <w:rPr>
          <w:rFonts w:cs="Times New Roman"/>
        </w:rPr>
        <w:fldChar w:fldCharType="begin" w:fldLock="1"/>
      </w:r>
      <w:r w:rsidR="000A1931" w:rsidRPr="00901194">
        <w:rPr>
          <w:rFonts w:cs="Times New Roman"/>
        </w:rPr>
        <w:instrText>ADDIN CSL_CITATION {"citationItems":[{"id":"ITEM-1","itemData":{"DOI":"10.1111/j.1475-682X.1970.tb01009.x","ISSN":"1475682X","abstract":"This paper reviews the current state of knowledge about the effects of industrialization upon systems of social stratification. Taking societies as the unit of observation, we consider the relationships between level of industrialization and (1) the distribution of status characteristics in the population (the structure of stratification); (2) the pattern of interrelations among status characteristics (the process of stratification); and (3) the form of linkages between status characteristics and other aspects of social behavior (the consequences of stratification). A set of propositions is specified, a few of which are empirically well established but most of which yet require empirical testing. Copyright © 1970, Wiley Blackwell. All rights reserved","author":[{"dropping-particle":"","family":"Treiman","given":"Donald J.","non-dropping-particle":"","parse-names":false,"suffix":""}],"container-title":"Sociological Inquiry","id":"ITEM-1","issue":"2","issued":{"date-parts":[["1970"]]},"note":"Good paper for defining industrialization","page":"207-234","title":"Industrialization and Social Stratification","type":"article-journal","volume":"40"},"uris":["http://www.mendeley.com/documents/?uuid=84db552f-d082-4786-b2f0-42c9187e30ef"]},{"id":"ITEM-2","itemData":{"DOI":"10.1007/s10887-015-9121-4","ISSN":"13814338","abstract":"We document a strong positive relationship between natural resource exports and urbanization in a sample of 116 developing nations over the period 1960–2010. In countries that are heavily dependent on resource exports, urbanization appears to be concentrated in “consumption cities” where the economies consist primarily of non-tradable services. These contrast with “production cities” that are more dependent on manufacturing in countries that have industrialized. Consumption cities in resource exporters also appear to perform worse along several measures of welfare. We offer a simple model of structural change that can explain the observed patterns of urbanization and the associated differences in city types. We note that although the development literature often assumes that urbanization is synonymous with industrialization, patterns differ markedly across developing countries. We discuss several possible implications for policy.","author":[{"dropping-particle":"","family":"Gollin","given":"Douglas","non-dropping-particle":"","parse-names":false,"suffix":""},{"dropping-particle":"","family":"Jedwab","given":"Remi","non-dropping-particle":"","parse-names":false,"suffix":""},{"dropping-particle":"","family":"Vollrath","given":"Dietrich","non-dropping-particle":"","parse-names":false,"suffix":""}],"container-title":"Journal of Economic Growth","id":"ITEM-2","issue":"1","issued":{"date-parts":[["2016"]]},"page":"35-70","publisher":"Springer US","title":"Urbanization with and without industrialization","type":"article-journal","volume":"21"},"uris":["http://www.mendeley.com/documents/?uuid=955a3109-1e91-4c48-a107-eda85d7046db"]}],"mendeley":{"formattedCitation":"&lt;sup&gt;73,74&lt;/sup&gt;","plainTextFormattedCitation":"73,74","previouslyFormattedCitation":"&lt;sup&gt;73,74&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73,74</w:t>
      </w:r>
      <w:r w:rsidR="00774A35" w:rsidRPr="00901194">
        <w:rPr>
          <w:rFonts w:cs="Times New Roman"/>
        </w:rPr>
        <w:fldChar w:fldCharType="end"/>
      </w:r>
      <w:r w:rsidRPr="00901194">
        <w:rPr>
          <w:rFonts w:cs="Times New Roman"/>
        </w:rPr>
        <w:t>. Such changes generally involve an increase in manufactured products compared to agriculture/hunting and other raw products, a greater percentage of workers employed in industrial workplaces over agriculture, and changes in the physical landscape such as increased construction of built environments</w:t>
      </w:r>
      <w:r w:rsidR="00774A35" w:rsidRPr="00901194">
        <w:rPr>
          <w:rFonts w:cs="Times New Roman"/>
        </w:rPr>
        <w:fldChar w:fldCharType="begin" w:fldLock="1"/>
      </w:r>
      <w:r w:rsidR="000A1931" w:rsidRPr="00901194">
        <w:rPr>
          <w:rFonts w:cs="Times New Roman"/>
        </w:rPr>
        <w:instrText>ADDIN CSL_CITATION {"citationItems":[{"id":"ITEM-1","itemData":{"author":[{"dropping-particle":"","family":"Ritchie","given":"Hannah","non-dropping-particle":"","parse-names":false,"suffix":""},{"dropping-particle":"","family":"Roser","given":"Max","non-dropping-particle":"","parse-names":false,"suffix":""}],"container-title":"Published online at OurWorldInData.org","id":"ITEM-1","issued":{"date-parts":[["2020"]]},"title":"Urbanization","type":"article-journal"},"uris":["http://www.mendeley.com/documents/?uuid=757c028f-8064-4a49-9f1e-fe3f591c78d5"]},{"id":"ITEM-2","itemData":{"DOI":"10.3390/metabo10030086","ISSN":"22181989","abstract":"Soil covers most of Earth’s continental surface and is fundamental to life-sustaining processes such as agriculture. Given its rich biodiversity, soil is also a major source for natural product drug discovery from soil microorganisms. However, the study of the soil small molecule profile has been challenging due to the complexity and heterogeneity of this matrix. In this study, we implemented high-resolution liquid chromatography–tandem mass spectrometry and large-scale data analysis tools such as molecular networking to characterize the relative contributions of city, state and regional processes on backyard soil metabolite composition, in 188 soil samples collected from 14 USA States, representing five USA climate regions. We observed that region, state and city of collection all influence the overall soil metabolite profile. However, many metabolites were only detected in unique sites, indicating that uniquely local phenomena also influence the backyard soil environment, with both human-derived and naturally-produced (plant-derived, microbially-derived) metabolites identified. Overall, these findings are helping to define the processes that shape the backyard soil metabolite composition, while also highlighting the need for expanded metabolomic studies of this complex environment.","author":[{"dropping-particle":"","family":"Nguyen","given":"Tra D.","non-dropping-particle":"","parse-names":false,"suffix":""},{"dropping-particle":"","family":"Lesani","given":"Mahbobeh","non-dropping-particle":"","parse-names":false,"suffix":""},{"dropping-particle":"","family":"Forrest","given":"Ines","non-dropping-particle":"","parse-names":false,"suffix":""},{"dropping-particle":"","family":"Lan","given":"Yunpeng","non-dropping-particle":"","parse-names":false,"suffix":""},{"dropping-particle":"","family":"Dean","given":"Danya A.","non-dropping-particle":"","parse-names":false,"suffix":""},{"dropping-particle":"","family":"Gibaut","given":"Quentin M.R.","non-dropping-particle":"","parse-names":false,"suffix":""},{"dropping-particle":"","family":"Guo","given":"Yanting","non-dropping-particle":"","parse-names":false,"suffix":""},{"dropping-particle":"","family":"Hossain","given":"Ekram","non-dropping-particle":"","parse-names":false,"suffix":""},{"dropping-particle":"","family":"Olvera","given":"Marcela","non-dropping-particle":"","parse-names":false,"suffix":""},{"dropping-particle":"","family":"Panlilio","given":"Hannah","non-dropping-particle":"","parse-names":false,"suffix":""},{"dropping-particle":"","family":"Parab","given":"Adwaita R.","non-dropping-particle":"","parse-names":false,"suffix":""},{"dropping-particle":"","family":"Wu","given":"Chaoyi","non-dropping-particle":"","parse-names":false,"suffix":""},{"dropping-particle":"","family":"Bernatchez","given":"Jean A.","non-dropping-particle":"","parse-names":false,"suffix":""},{"dropping-particle":"","family":"Cichewicz","given":"Robert H.","non-dropping-particle":"","parse-names":false,"suffix":""},{"dropping-particle":"","family":"McCall","given":"Laura Isobel","non-dropping-particle":"","parse-names":false,"suffix":""}],"container-title":"Metabolites","id":"ITEM-2","issue":"3","issued":{"date-parts":[["2020"]]},"page":"1-16","title":"Local phenomena shape backyard soil metabolite composition","type":"article-journal","volume":"10"},"uris":["http://www.mendeley.com/documents/?uuid=9adb7194-f4d7-4b4f-b46e-2ff72b81da8f"]}],"mendeley":{"formattedCitation":"&lt;sup&gt;75,76&lt;/sup&gt;","plainTextFormattedCitation":"75,76","previouslyFormattedCitation":"&lt;sup&gt;75,76&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75,76</w:t>
      </w:r>
      <w:r w:rsidR="00774A35" w:rsidRPr="00901194">
        <w:rPr>
          <w:rFonts w:cs="Times New Roman"/>
        </w:rPr>
        <w:fldChar w:fldCharType="end"/>
      </w:r>
      <w:r w:rsidRPr="00901194">
        <w:rPr>
          <w:rFonts w:cs="Times New Roman"/>
        </w:rPr>
        <w:t>. Industrialization is often linked with urbanization, which refers to social and demographic shifts increasing population size and density within a settlement</w:t>
      </w:r>
      <w:r w:rsidR="00774A35" w:rsidRPr="00901194">
        <w:rPr>
          <w:rFonts w:cs="Times New Roman"/>
        </w:rPr>
        <w:fldChar w:fldCharType="begin" w:fldLock="1"/>
      </w:r>
      <w:r w:rsidR="000A1931" w:rsidRPr="00901194">
        <w:rPr>
          <w:rFonts w:cs="Times New Roman"/>
        </w:rPr>
        <w:instrText>ADDIN CSL_CITATION {"citationItems":[{"id":"ITEM-1","itemData":{"author":[{"dropping-particle":"","family":"Ritchie","given":"Hannah","non-dropping-particle":"","parse-names":false,"suffix":""},{"dropping-particle":"","family":"Roser","given":"Max","non-dropping-particle":"","parse-names":false,"suffix":""}],"container-title":"Published online at OurWorldInData.org","id":"ITEM-1","issued":{"date-parts":[["2020"]]},"title":"Urbanization","type":"article-journal"},"uris":["http://www.mendeley.com/documents/?uuid=757c028f-8064-4a49-9f1e-fe3f591c78d5"]}],"mendeley":{"formattedCitation":"&lt;sup&gt;75&lt;/sup&gt;","plainTextFormattedCitation":"75","previouslyFormattedCitation":"&lt;sup&gt;75&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75</w:t>
      </w:r>
      <w:r w:rsidR="00774A35" w:rsidRPr="00901194">
        <w:rPr>
          <w:rFonts w:cs="Times New Roman"/>
        </w:rPr>
        <w:fldChar w:fldCharType="end"/>
      </w:r>
      <w:r w:rsidRPr="00901194">
        <w:rPr>
          <w:rFonts w:cs="Times New Roman"/>
        </w:rPr>
        <w:t xml:space="preserve">. These processes lead to industrialized-urban </w:t>
      </w:r>
      <w:r w:rsidRPr="00901194">
        <w:rPr>
          <w:rFonts w:cs="Times New Roman"/>
        </w:rPr>
        <w:lastRenderedPageBreak/>
        <w:t>populations exhibiting denser populations</w:t>
      </w:r>
      <w:r w:rsidR="00774A35" w:rsidRPr="00901194">
        <w:rPr>
          <w:rFonts w:cs="Times New Roman"/>
        </w:rPr>
        <w:fldChar w:fldCharType="begin" w:fldLock="1"/>
      </w:r>
      <w:r w:rsidR="000A1931" w:rsidRPr="00901194">
        <w:rPr>
          <w:rFonts w:cs="Times New Roman"/>
        </w:rPr>
        <w:instrText>ADDIN CSL_CITATION {"citationItems":[{"id":"ITEM-1","itemData":{"author":[{"dropping-particle":"","family":"Ritchie","given":"Hannah","non-dropping-particle":"","parse-names":false,"suffix":""},{"dropping-particle":"","family":"Roser","given":"Max","non-dropping-particle":"","parse-names":false,"suffix":""}],"container-title":"Published online at OurWorldInData.org","id":"ITEM-1","issued":{"date-parts":[["2020"]]},"title":"Urbanization","type":"article-journal"},"uris":["http://www.mendeley.com/documents/?uuid=757c028f-8064-4a49-9f1e-fe3f591c78d5"]}],"mendeley":{"formattedCitation":"&lt;sup&gt;75&lt;/sup&gt;","plainTextFormattedCitation":"75","previouslyFormattedCitation":"&lt;sup&gt;75&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75</w:t>
      </w:r>
      <w:r w:rsidR="00774A35" w:rsidRPr="00901194">
        <w:rPr>
          <w:rFonts w:cs="Times New Roman"/>
        </w:rPr>
        <w:fldChar w:fldCharType="end"/>
      </w:r>
      <w:r w:rsidRPr="00901194">
        <w:rPr>
          <w:rFonts w:cs="Times New Roman"/>
        </w:rPr>
        <w:t>, reduced exposures to nature-derived molecules but increased exposure to human-derived molecules</w:t>
      </w:r>
      <w:r w:rsidR="00774A35" w:rsidRPr="00901194">
        <w:rPr>
          <w:rFonts w:cs="Times New Roman"/>
        </w:rPr>
        <w:fldChar w:fldCharType="begin" w:fldLock="1"/>
      </w:r>
      <w:r w:rsidR="000A1931" w:rsidRPr="00901194">
        <w:rPr>
          <w:rFonts w:cs="Times New Roman"/>
        </w:rPr>
        <w:instrText>ADDIN CSL_CITATION {"citationItems":[{"id":"ITEM-1","itemData":{"DOI":"10.1007/s004840050075","ISSN":"00207128","abstract":"In industrialized countries about 90% of the time is spent indoors. The ambient parameters affecting indoor thermal comfort are air temperature and humidity, air velocity, and radiant heat exchange within an enclosure. In assessing the thermal environment, one needs to consider all ambient parameters, the insulating properties of the occupants' clothing, and the activity level of the occupants by means of heat balance models of the human body. Apart from thermal parameters, air quality (measured and perceived) is also of importance for well-being and health in indoor environments. Pollutant levels are influenced by both outdoor concentrations and by indoor emissions. Indoor levels can thus be lower (e.g. in the case of ozone and SO2) or higher (e.g. for CO2 and formaldehyde) than outdoor levels. Emissions from cooking play an important role, especially in developing countries. The humidity of the ambient air has a wide range of effects on the energy and water balance of the body as well as on elasticity, air quality perception, build-up of electrostatic charge and the formation or mould. However, its effect on the indoor climate is often overestimated. While air-handling systems are commonly used for achieving comfortable indoor climates, their use has also been linked to a variety of problems, some of which have received attention within the context of \"sick building syndrome\".","author":[{"dropping-particle":"","family":"Höppe","given":"Peter","non-dropping-particle":"","parse-names":false,"suffix":""},{"dropping-particle":"","family":"Martinac","given":"Ivo","non-dropping-particle":"","parse-names":false,"suffix":""}],"container-title":"International Journal of Biometeorology","id":"ITEM-1","issue":"1","issued":{"date-parts":[["1998"]]},"page":"1-7","title":"Indoor climate and air quality. Review of current and future topics in the field of ISB study group 10","type":"article-journal","volume":"42"},"uris":["http://www.mendeley.com/documents/?uuid=804286c7-c770-4b10-a809-26c788f70be3"]},{"id":"ITEM-2","itemData":{"author":[{"dropping-particle":"","family":"Katemauswa","given":"Mitchelle","non-dropping-particle":"","parse-names":false,"suffix":""},{"dropping-particle":"","family":"Hossain","given":"Ekram","non-dropping-particle":"","parse-names":false,"suffix":""},{"dropping-particle":"","family":"Liu","given":"Zongyuan","non-dropping-particle":"","parse-names":false,"suffix":""},{"dropping-particle":"","family":"Lesani","given":"Mahbobeh","non-dropping-particle":"","parse-names":false,"suffix":""},{"dropping-particle":"","family":"Parab","given":"Adwaita R","non-dropping-particle":"","parse-names":false,"suffix":""},{"dropping-particle":"","family":"Dean","given":"Danya A","non-dropping-particle":"","parse-names":false,"suffix":""},{"dropping-particle":"","family":"McCall","given":"Laura-Isobel","non-dropping-particle":"","parse-names":false,"suffix":""}],"id":"ITEM-2","issued":{"date-parts":[["2021"]]},"page":"5-6","title":"Optimized extraction method enables quantitative analysis of surface metabolite recovery for exposomics and behavioral studies","type":"article-journal"},"uris":["http://www.mendeley.com/documents/?uuid=d05027ae-8317-4393-8465-e64c6bd546ad"]},{"id":"ITEM-3","itemData":{"DOI":"10.1016/j.buildenv.2019.106289","ISSN":"03601323","abstract":"Western people now spend close to 90% of their time indoors, one-quarter of which occurs at their place of employment. As such, interactions between employees and the workplace built environment have significant potential impact on employee health and safety. However, the range of workers’ daily chemical exposures is still poorly understood. Likewise, the influence of workers themselves and of worker behavior on the chemical profile of workplace surfaces is still unknown. In this case study, we used untargeted liquid chromatography-tandem mass spectrometry (LC-MS/MS) to compare the chemical signatures of three different university workplaces: scientific research buildings, office buildings, and one mixed-purpose, high-traffic building housing teaching areas, student training laboratories, and offices. Our results identified differential signatures of public building surfaces based on building purpose and occupant behavior, sampling location and surface materials. Detected chemicals include occupant-derived molecules and molecules linked to human behavior such as cleaning products, medication, and food-derived molecules. The latter were particularly common in areas associated with food consumption such as refrigerators, microwaves and garbage cans. We also observed higher chemical diversity on metal surfaces, likely because these represent frequently-touched building areas such as door handles. Overall, these results are helping define the influence of human behavior on the workplace chemical environment and identify workplace daily chemical exposures.","author":[{"dropping-particle":"","family":"McCall","given":"Laura-Isobel","non-dropping-particle":"","parse-names":false,"suffix":""},{"dropping-particle":"","family":"Anderson","given":"Victoria M.","non-dropping-particle":"","parse-names":false,"suffix":""},{"dropping-particle":"","family":"Fogle","given":"Robert S.","non-dropping-particle":"","parse-names":false,"suffix":""},{"dropping-particle":"","family":"Haffner","given":"Jacob J.","non-dropping-particle":"","parse-names":false,"suffix":""},{"dropping-particle":"","family":"Hossain","given":"Ekram","non-dropping-particle":"","parse-names":false,"suffix":""},{"dropping-particle":"","family":"Liu","given":"Renmeng","non-dropping-particle":"","parse-names":false,"suffix":""},{"dropping-particle":"","family":"Ly","given":"Anita H.","non-dropping-particle":"","parse-names":false,"suffix":""},{"dropping-particle":"","family":"Ma","given":"Hongyan","non-dropping-particle":"","parse-names":false,"suffix":""},{"dropping-particle":"","family":"Nadeem","given":"Maham","non-dropping-particle":"","parse-names":false,"suffix":""},{"dropping-particle":"","family":"Yao","given":"Songyuan","non-dropping-particle":"","parse-names":false,"suffix":""}],"container-title":"Building and Environment","id":"ITEM-3","issue":"July","issued":{"date-parts":[["2019"]]},"page":"106289","publisher":"Elsevier","title":"Analysis of university workplace building surfaces reveals usage-specific chemical signatures","type":"article-journal","volume":"162"},"uris":["http://www.mendeley.com/documents/?uuid=fb3605cd-6fd9-4dcb-9db3-be9bcf200dfb"]},{"id":"ITEM-4","itemData":{"DOI":"10.1038/s41564-019-0593-4","ISSN":"20585276","abstract":"Urbanization represents a profound shift in human behaviour, and has considerable cultural and health-associated consequences1,2. Here, we investigate chemical and microbial characteristics of houses and their human occupants across an urbanization gradient in the Amazon rainforest, from a remote Peruvian Amerindian village to the Brazilian city of Manaus. Urbanization was found to be associated with reduced microbial outdoor exposure, increased contact with housing materials, antimicrobials and cleaning products, and increased exposure to chemical diversity. The degree of urbanization correlated with changes in the composition of house bacterial and microeukaryotic communities, increased house and skin fungal diversity, and an increase in the relative abundance of human skin-associated fungi and bacteria in houses. Overall, our results indicate that urbanization has large-scale effects on chemical and microbial exposures and on the human microbiota.","author":[{"dropping-particle":"","family":"McCall","given":"Laura Isobel","non-dropping-particle":"","parse-names":false,"suffix":""},{"dropping-particle":"","family":"Callewaert","given":"Chris","non-dropping-particle":"","parse-names":false,"suffix":""},{"dropping-particle":"","family":"Zhu","given":"Qiyun","non-dropping-particle":"","parse-names":false,"suffix":""},{"dropping-particle":"","family":"Song","given":"Se Jin","non-dropping-particle":"","parse-names":false,"suffix":""},{"dropping-particle":"","family":"Bouslimani","given":"Amina","non-dropping-particle":"","parse-names":false,"suffix":""},{"dropping-particle":"","family":"Minich","given":"Jeremiah J.","non-dropping-particle":"","parse-names":false,"suffix":""},{"dropping-particle":"","family":"Ernst","given":"Madeleine","non-dropping-particle":"","parse-names":false,"suffix":""},{"dropping-particle":"","family":"Ruiz-Calderon","given":"Jean F.","non-dropping-particle":"","parse-names":false,"suffix":""},{"dropping-particle":"","family":"Cavallin","given":"Humberto","non-dropping-particle":"","parse-names":false,"suffix":""},{"dropping-particle":"","family":"Pereira","given":"Henrique S.","non-dropping-particle":"","parse-names":false,"suffix":""},{"dropping-particle":"","family":"Novoselac","given":"Atila","non-dropping-particle":"","parse-names":false,"suffix":""},{"dropping-particle":"","family":"Hernandez","given":"Jean","non-dropping-particle":"","parse-names":false,"suffix":""},{"dropping-particle":"","family":"Rios","given":"Rafael","non-dropping-particle":"","parse-names":false,"suffix":""},{"dropping-particle":"","family":"Branch","given":"Ora Lee H.","non-dropping-particle":"","parse-names":false,"suffix":""},{"dropping-particle":"","family":"Blaser","given":"Martin J.","non-dropping-particle":"","parse-names":false,"suffix":""},{"dropping-particle":"","family":"Paulino","given":"Luciana C.","non-dropping-particle":"","parse-names":false,"suffix":""},{"dropping-particle":"","family":"Dorrestein","given":"Pieter C.","non-dropping-particle":"","parse-names":false,"suffix":""},{"dropping-particle":"","family":"Knight","given":"Rob","non-dropping-particle":"","parse-names":false,"suffix":""},{"dropping-particle":"","family":"Dominguez-Bello","given":"Maria G.","non-dropping-particle":"","parse-names":false,"suffix":""}],"container-title":"Nature Microbiology","id":"ITEM-4","issued":{"date-parts":[["2020"]]},"note":"Sampling locations:\nChecherta (rainforest), Puerto Almendra (rural village), Iquitos (large town), Manaus (metropolis)","publisher":"Springer US","title":"Home chemical and microbial transitions across urbanization","type":"article-journal"},"uris":["http://www.mendeley.com/documents/?uuid=c13f061b-e8d3-4938-988f-68085fd8d78d"]},{"id":"ITEM-5","itemData":{"DOI":"10.1126/sciadv.1501061","ISSN":"23752548","abstract":"Westernization has propelled changes in urbanization and architecture, altering our exposure to the outdoor environment from that experienced during most of human evolution. These changes might affect the developmental exposure of infants to bacteria, immune development, and human microbiome diversity. Contemporary urban humans spend most of their time indoors, and little is known about the microbes associated with different designs of the built environment and their interaction with the human immune system. This study addresses the associations between architectural design and the microbial biogeography of households across a gradient of urbanization in South America. Urbanization was associated with households' increased isolation from outdoor environments, with additional indoor space isolation by walls. Microbes from house walls and floors segregate by location, and urban indoor walls contain human bacterial markers of space use. Urbanized spaces uniquely increase the content of human-associated microbes-which could increase transmission of potential pathogens-and decrease exposure to the environmental microbes with which humans have coevolved.","author":[{"dropping-particle":"","family":"Ruiz-Calderon","given":"Jean F.","non-dropping-particle":"","parse-names":false,"suffix":""},{"dropping-particle":"","family":"Cavallin","given":"Humberto","non-dropping-particle":"","parse-names":false,"suffix":""},{"dropping-particle":"","family":"Song","given":"Se Jin","non-dropping-particle":"","parse-names":false,"suffix":""},{"dropping-particle":"","family":"Novoselac","given":"Atila","non-dropping-particle":"","parse-names":false,"suffix":""},{"dropping-particle":"","family":"Pericchi","given":"Luis R.","non-dropping-particle":"","parse-names":false,"suffix":""},{"dropping-particle":"","family":"Hernandez","given":"Jean N.","non-dropping-particle":"","parse-names":false,"suffix":""},{"dropping-particle":"","family":"Rios","given":"Rafael","non-dropping-particle":"","parse-names":false,"suffix":""},{"dropping-particle":"","family":"Branch","given":"Oralee H.","non-dropping-particle":"","parse-names":false,"suffix":""},{"dropping-particle":"","family":"Pereira","given":"Henrique","non-dropping-particle":"","parse-names":false,"suffix":""},{"dropping-particle":"","family":"Paulino","given":"Luciana C.","non-dropping-particle":"","parse-names":false,"suffix":""},{"dropping-particle":"","family":"Blaser","given":"Martin J.","non-dropping-particle":"","parse-names":false,"suffix":""},{"dropping-particle":"","family":"Knight","given":"Rob","non-dropping-particle":"","parse-names":false,"suffix":""},{"dropping-particle":"","family":"Dominguez-Bello","given":"Maria G.","non-dropping-particle":"","parse-names":false,"suffix":""}],"container-title":"Science Advances","id":"ITEM-5","issue":"2","issued":{"date-parts":[["2016"]]},"note":"Summary: Study looking at associations b/w architectural design and microbial biogeography of households across a South American urbanization gradient\nUrbanization was associated with households' inc'd ioslations from outdoor environments. Microbes from house walls and floor separate by location, and urban indoor walls contain human bacterial markers of space use.\nUrbanized spaces uniquely inc content of human-associated microbes and decrease exposure to environmental microbes with which humans coevolved","title":"Microbiology: Walls talk: Microbial biogeography of homes spanning urbanization","type":"article-journal","volume":"2"},"uris":["http://www.mendeley.com/documents/?uuid=eebd3a3b-0978-4b61-890b-0673c431dbd8"]}],"mendeley":{"formattedCitation":"&lt;sup&gt;33,43,77–79&lt;/sup&gt;","plainTextFormattedCitation":"33,43,77–79","previouslyFormattedCitation":"&lt;sup&gt;33,43,77–79&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33,43,77–79</w:t>
      </w:r>
      <w:r w:rsidR="00774A35" w:rsidRPr="00901194">
        <w:rPr>
          <w:rFonts w:cs="Times New Roman"/>
        </w:rPr>
        <w:fldChar w:fldCharType="end"/>
      </w:r>
      <w:r w:rsidRPr="00901194">
        <w:rPr>
          <w:rFonts w:cs="Times New Roman"/>
        </w:rPr>
        <w:t>, an indirect relationship with food sources</w:t>
      </w:r>
      <w:r w:rsidR="00774A35" w:rsidRPr="00901194">
        <w:rPr>
          <w:rFonts w:cs="Times New Roman"/>
        </w:rPr>
        <w:fldChar w:fldCharType="begin" w:fldLock="1"/>
      </w:r>
      <w:r w:rsidR="000A1931" w:rsidRPr="00901194">
        <w:rPr>
          <w:rFonts w:cs="Times New Roman"/>
        </w:rPr>
        <w:instrText>ADDIN CSL_CITATION {"citationItems":[{"id":"ITEM-1","itemData":{"DOI":"10.1016/S0305-750X(99)00094-7","ISSN":"0305750X","abstract":"Broad shifts are occurring at a rapid pace in the structure of diet, physical activity patterns, and obesity patterns in urban areas in lower income countries. Examples from China and selected other countries along with pooled time-series and cross-sectional analysis of shifts in diet and occupation structure associated with urbanization are presented. Patterns of obesity from nationally representative surveys indicate that the problems of obesity and dietary excess represent an important challenge facing many lower income countries, particularly their urban populations.","author":[{"dropping-particle":"","family":"Popkin","given":"Barry M.","non-dropping-particle":"","parse-names":false,"suffix":""}],"container-title":"World Development","id":"ITEM-1","issue":"11","issued":{"date-parts":[["1999"]]},"page":"1905-1916","title":"Urbanization, lifestyle changes and the nutrition transition","type":"article-journal","volume":"27"},"uris":["http://www.mendeley.com/documents/?uuid=cca7825f-2c00-46dc-ae53-421b7dd7409e"]},{"id":"ITEM-2","itemData":{"DOI":"10.1098/rstb.2010.0136","ISSN":"14712970","abstract":"This paper discusses the influences on food and farming of an increasingly urbanized world and a declining ratio of food producers to food consumers. Urbanization has been underpinned by the rapid growth in the world economy and in the proportion of gross world product and of workers in industrial and service enterprises. Globally, agriculture has met the demands from this rapidly growing urban population, including food that is more energy-, land-, water-and greenhouse gas emission-intensive. But hundreds of millions of urban dwellers suffer under-nutrition. So the key issues with regard to agriculture and urbanization are whether the growing and changing demands for agricultural products from growing urban populations can be sustained while at the same time underpinning agricultural prosperity and reducing rural and urban poverty. To this are added the need to reduce greenhouse gas emissions and to build resilience in agriculture and urban development to climate change impacts. The paper gives particular attention to low-and middle-income nations since these have more than three-quarters of the world's urban population and most of its largest cities and these include nations where issues of food security are most pressing. © 2010 The Royal Society.","author":[{"dropping-particle":"","family":"Satterthwaite","given":"David","non-dropping-particle":"","parse-names":false,"suffix":""},{"dropping-particle":"","family":"McGranahan","given":"Gordon","non-dropping-particle":"","parse-names":false,"suffix":""},{"dropping-particle":"","family":"Tacoli","given":"Cecilia","non-dropping-particle":"","parse-names":false,"suffix":""}],"container-title":"Philosophical Transactions of the Royal Society B: Biological Sciences","id":"ITEM-2","issue":"1554","issued":{"date-parts":[["2010"]]},"page":"2809-2820","title":"Urbanization and its implications for food and farming","type":"article-journal","volume":"365"},"uris":["http://www.mendeley.com/documents/?uuid=f378c6a8-f3a8-4de0-8e3c-74b948b627d5"]}],"mendeley":{"formattedCitation":"&lt;sup&gt;80,81&lt;/sup&gt;","plainTextFormattedCitation":"80,81","previouslyFormattedCitation":"&lt;sup&gt;80,81&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80,81</w:t>
      </w:r>
      <w:r w:rsidR="00774A35" w:rsidRPr="00901194">
        <w:rPr>
          <w:rFonts w:cs="Times New Roman"/>
        </w:rPr>
        <w:fldChar w:fldCharType="end"/>
      </w:r>
      <w:r w:rsidRPr="00901194">
        <w:rPr>
          <w:rFonts w:cs="Times New Roman"/>
        </w:rPr>
        <w:t>, and dietary shifts</w:t>
      </w:r>
      <w:r w:rsidR="00774A35" w:rsidRPr="00901194">
        <w:rPr>
          <w:rFonts w:cs="Times New Roman"/>
        </w:rPr>
        <w:fldChar w:fldCharType="begin" w:fldLock="1"/>
      </w:r>
      <w:r w:rsidR="000A1931" w:rsidRPr="00901194">
        <w:rPr>
          <w:rFonts w:cs="Times New Roman"/>
        </w:rPr>
        <w:instrText>ADDIN CSL_CITATION {"citationItems":[{"id":"ITEM-1","itemData":{"DOI":"10.1098/rstb.2010.0136","ISSN":"14712970","abstract":"This paper discusses the influences on food and farming of an increasingly urbanized world and a declining ratio of food producers to food consumers. Urbanization has been underpinned by the rapid growth in the world economy and in the proportion of gross world product and of workers in industrial and service enterprises. Globally, agriculture has met the demands from this rapidly growing urban population, including food that is more energy-, land-, water-and greenhouse gas emission-intensive. But hundreds of millions of urban dwellers suffer under-nutrition. So the key issues with regard to agriculture and urbanization are whether the growing and changing demands for agricultural products from growing urban populations can be sustained while at the same time underpinning agricultural prosperity and reducing rural and urban poverty. To this are added the need to reduce greenhouse gas emissions and to build resilience in agriculture and urban development to climate change impacts. The paper gives particular attention to low-and middle-income nations since these have more than three-quarters of the world's urban population and most of its largest cities and these include nations where issues of food security are most pressing. © 2010 The Royal Society.","author":[{"dropping-particle":"","family":"Satterthwaite","given":"David","non-dropping-particle":"","parse-names":false,"suffix":""},{"dropping-particle":"","family":"McGranahan","given":"Gordon","non-dropping-particle":"","parse-names":false,"suffix":""},{"dropping-particle":"","family":"Tacoli","given":"Cecilia","non-dropping-particle":"","parse-names":false,"suffix":""}],"container-title":"Philosophical Transactions of the Royal Society B: Biological Sciences","id":"ITEM-1","issue":"1554","issued":{"date-parts":[["2010"]]},"page":"2809-2820","title":"Urbanization and its implications for food and farming","type":"article-journal","volume":"365"},"uris":["http://www.mendeley.com/documents/?uuid=f378c6a8-f3a8-4de0-8e3c-74b948b627d5"]},{"id":"ITEM-2","itemData":{"DOI":"10.3389/fmicb.2018.01345","ISSN":"1664302X","abstract":"Loss of traditional diets by food globalization may have adverse impact on the health of human being through the alteration of gut microbial ecosystem. To address this notion, we compared the gut microbiota of urban (n = 17) and rural (n = 28) school-aged children in Thailand in association with their dietary habits. Dietary records indicated that children living in urban Bangkok tended to consume modern high-fat diets, whereas children in rural Buriram tended to consume traditional vegetable-based diets. Sequencing of 16S rRNA genes amplified from stool samples showed that children in Bangkok have less Clostridiales and more Bacteroidales and Selenomonadales compared to children in Buriram and bacterial diversity is significantly less in Bangkok children than in Buriram children. In addition, fecal butyrate and propionate levels decreased in Bangkok children in association with changes in their gut microbial communities. Stool samples of these Thai children were classified into five metabolotypes (MTs) based on their metabolome profiles, each characterized by high concentrations of short and middle chain fatty acids (MT1, n = 17), amino acids (MT2, n = 7), arginine (MT3, n = 6), amino acids, and amines (MT5, n = 8), or an overall low level of metabolites (MT4, n = 4). MT1 and MT4 mainly consisted of samples from Buriram, and MT2 and MT3 mainly consisted of samples from Bangkok, whereas MT5 contained three samples from Bangkok and five from Buriram samples. According to the profiles of microbiota and diets, MT1 and MT2 are characteristic of children in Buriram and Bangkok, respectively. Predicted metagenomics indicated the underrepresentation in MT2 of eight genes involved in pathways of butyrate biosynthesis, notably including paths from glutamate as well as pyruvate. Taken together, this study shows the benefit of high-vegetable Thai traditional diets on gut microbiota and suggests that high-fat and less-vegetable urban dietary habits alter gut microbial communities in Thai children, which resulted in the reduction of colonic short chain fatty acid fermentation.","author":[{"dropping-particle":"","family":"Kisuse","given":"Juma","non-dropping-particle":"","parse-names":false,"suffix":""},{"dropping-particle":"","family":"La-ongkham","given":"Orawan","non-dropping-particle":"","parse-names":false,"suffix":""},{"dropping-particle":"","family":"Nakphaichit","given":"Massalin","non-dropping-particle":"","parse-names":false,"suffix":""},{"dropping-particle":"","family":"Therdtatha","given":"Phatthanaphong","non-dropping-particle":"","parse-names":false,"suffix":""},{"dropping-particle":"","family":"Momoda","given":"Rie","non-dropping-particle":"","parse-names":false,"suffix":""},{"dropping-particle":"","family":"Tanaka","given":"Masaru","non-dropping-particle":"","parse-names":false,"suffix":""},{"dropping-particle":"","family":"Fukuda","given":"Shinji","non-dropping-particle":"","parse-names":false,"suffix":""},{"dropping-particle":"","family":"Popluechai","given":"Siam","non-dropping-particle":"","parse-names":false,"suffix":""},{"dropping-particle":"","family":"Kespechara","given":"Kongkiat","non-dropping-particle":"","parse-names":false,"suffix":""},{"dropping-particle":"","family":"Sonomoto","given":"Kenji","non-dropping-particle":"","parse-names":false,"suffix":""},{"dropping-particle":"","family":"Lee","given":"Yuan Kun","non-dropping-particle":"","parse-names":false,"suffix":""},{"dropping-particle":"","family":"Nitisinprasert","given":"Sunee","non-dropping-particle":"","parse-names":false,"suffix":""},{"dropping-particle":"","family":"Nakayama","given":"Jiro","non-dropping-particle":"","parse-names":false,"suffix":""}],"container-title":"Frontiers in Microbiology","id":"ITEM-2","issue":"JUN","issued":{"date-parts":[["2018"]]},"note":"Summary: Compared gut microbiota of urban (Bangkok) and rural Thai (Buriram) school-age children thru 16S seq. Urban kids showed less Clostridiales and more Bacteroides and Selenomonadales compared to urban. Bacterial diversity is lower in urban. Also urban had dec'd fecal butyrate and propionate. High-fat and less-vegetable urban dietary habits alter gut microbial communities, resulting in reduced colonic SCFA fermentation. Classified samples into 5 metabolotypes, characterized by high concentrations of: short and middle chain fat acids (MT1); amino acids (MT2); arginine (MT3); amino acids and amines (MT5); overall low level of metabolites (MT4)","page":"1-16","title":"Urban diets linked to gut microbiome and metabolome alterations in children: A comparative cross-sectional study in Thailand","type":"article-journal","volume":"9"},"uris":["http://www.mendeley.com/documents/?uuid=0925ea83-6ff3-462c-ad41-837a52397b04"]}],"mendeley":{"formattedCitation":"&lt;sup&gt;49,81&lt;/sup&gt;","plainTextFormattedCitation":"49,81","previouslyFormattedCitation":"&lt;sup&gt;49,81&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49,81</w:t>
      </w:r>
      <w:r w:rsidR="00774A35" w:rsidRPr="00901194">
        <w:rPr>
          <w:rFonts w:cs="Times New Roman"/>
        </w:rPr>
        <w:fldChar w:fldCharType="end"/>
      </w:r>
      <w:r w:rsidRPr="00901194">
        <w:rPr>
          <w:rFonts w:cs="Times New Roman"/>
        </w:rPr>
        <w:t xml:space="preserve"> compared to non-industrial rural populations. Moreover, industrialization is associated with significant biological changes, such as reduced microbial diversity</w:t>
      </w:r>
      <w:r w:rsidR="00774A35" w:rsidRPr="00901194">
        <w:rPr>
          <w:rFonts w:cs="Times New Roman"/>
        </w:rPr>
        <w:fldChar w:fldCharType="begin" w:fldLock="1"/>
      </w:r>
      <w:r w:rsidR="000A1931" w:rsidRPr="00901194">
        <w:rPr>
          <w:rFonts w:cs="Times New Roman"/>
        </w:rPr>
        <w:instrText>ADDIN CSL_CITATION {"citationItems":[{"id":"ITEM-1","itemData":{"DOI":"10.1126/sciadv.1501061","ISSN":"23752548","abstract":"Westernization has propelled changes in urbanization and architecture, altering our exposure to the outdoor environment from that experienced during most of human evolution. These changes might affect the developmental exposure of infants to bacteria, immune development, and human microbiome diversity. Contemporary urban humans spend most of their time indoors, and little is known about the microbes associated with different designs of the built environment and their interaction with the human immune system. This study addresses the associations between architectural design and the microbial biogeography of households across a gradient of urbanization in South America. Urbanization was associated with households' increased isolation from outdoor environments, with additional indoor space isolation by walls. Microbes from house walls and floors segregate by location, and urban indoor walls contain human bacterial markers of space use. Urbanized spaces uniquely increase the content of human-associated microbes-which could increase transmission of potential pathogens-and decrease exposure to the environmental microbes with which humans have coevolved.","author":[{"dropping-particle":"","family":"Ruiz-Calderon","given":"Jean F.","non-dropping-particle":"","parse-names":false,"suffix":""},{"dropping-particle":"","family":"Cavallin","given":"Humberto","non-dropping-particle":"","parse-names":false,"suffix":""},{"dropping-particle":"","family":"Song","given":"Se Jin","non-dropping-particle":"","parse-names":false,"suffix":""},{"dropping-particle":"","family":"Novoselac","given":"Atila","non-dropping-particle":"","parse-names":false,"suffix":""},{"dropping-particle":"","family":"Pericchi","given":"Luis R.","non-dropping-particle":"","parse-names":false,"suffix":""},{"dropping-particle":"","family":"Hernandez","given":"Jean N.","non-dropping-particle":"","parse-names":false,"suffix":""},{"dropping-particle":"","family":"Rios","given":"Rafael","non-dropping-particle":"","parse-names":false,"suffix":""},{"dropping-particle":"","family":"Branch","given":"Oralee H.","non-dropping-particle":"","parse-names":false,"suffix":""},{"dropping-particle":"","family":"Pereira","given":"Henrique","non-dropping-particle":"","parse-names":false,"suffix":""},{"dropping-particle":"","family":"Paulino","given":"Luciana C.","non-dropping-particle":"","parse-names":false,"suffix":""},{"dropping-particle":"","family":"Blaser","given":"Martin J.","non-dropping-particle":"","parse-names":false,"suffix":""},{"dropping-particle":"","family":"Knight","given":"Rob","non-dropping-particle":"","parse-names":false,"suffix":""},{"dropping-particle":"","family":"Dominguez-Bello","given":"Maria G.","non-dropping-particle":"","parse-names":false,"suffix":""}],"container-title":"Science Advances","id":"ITEM-1","issue":"2","issued":{"date-parts":[["2016"]]},"note":"Summary: Study looking at associations b/w architectural design and microbial biogeography of households across a South American urbanization gradient\nUrbanization was associated with households' inc'd ioslations from outdoor environments. Microbes from house walls and floor separate by location, and urban indoor walls contain human bacterial markers of space use.\nUrbanized spaces uniquely inc content of human-associated microbes and decrease exposure to environmental microbes with which humans coevolved","title":"Microbiology: Walls talk: Microbial biogeography of homes spanning urbanization","type":"article-journal","volume":"2"},"uris":["http://www.mendeley.com/documents/?uuid=eebd3a3b-0978-4b61-890b-0673c431dbd8"]},{"id":"ITEM-2","itemData":{"author":[{"dropping-particle":"","family":"Obregon-Tito","given":"Alexandra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Communications","id":"ITEM-2","issued":{"date-parts":[["2015"]]},"page":"1-9","title":"Subsistence strategies in traditional societies distinguish gut microbiomes: Supplementary Information","type":"article-journal","volume":"6"},"uris":["http://www.mendeley.com/documents/?uuid=12fcc4e1-194f-4ebf-9526-d63feb6ee4ca"]},{"id":"ITEM-3","itemData":{"DOI":"10.1186/s40168-017-0338-7","ISSN":"20492618","abstract":"Urbanization is associated with an increased risk for a number of diseases, including obesity, diabetes, and cancer, which all also show associations with the microbiome. While microbial community composition has been shown to vary across continents and in traditional versus Westernized societies, few studies have examined urban-rural differences in neighboring communities within a single country undergoing rapid urbanization. In this study, we compared the gut microbiome, plasma metabolome, dietary habits, and health biomarkers of rural and urban people from a single Chinese province. We identified significant differences in the microbiota and microbiota-related plasma metabolites in rural versus recently urban subjects from the Hunan province of China. Microbes with higher relative abundance in Chinese urban samples have been associated with disease in other studies and were substantially more prevalent in the Human Microbiome Project cohort of American subjects. Furthermore, using whole metagenome sequencing, we found that urbanization was associated with a loss of microbial diversity and changes in the relative abundances of Viruses, Archaea, and Bacteria. Gene diversity, however, increased with urbanization, along with the proportion of reads associated with antibiotic resistance and virulence, which were strongly correlated with the presence of Escherichia and Shigella.\n                         Our data suggest that urbanization has produced convergent evolution of the gut microbial composition in American and urban Chinese populations, resulting in similar compositional patterns of abundant microbes through similar lifestyles on different continents, including a loss of potentially beneficial bacteria and an increase in potentially harmful genes via increased relative abundance of Escherichia and Shigella.","author":[{"dropping-particle":"","family":"Winglee","given":"Kathryn","non-dropping-particle":"","parse-names":false,"suffix":""},{"dropping-particle":"","family":"Howard","given":"Annie Green","non-dropping-particle":"","parse-names":false,"suffix":""},{"dropping-particle":"","family":"Sha","given":"Wei","non-dropping-particle":"","parse-names":false,"suffix":""},{"dropping-particle":"","family":"Gharaibeh","given":"Raad Z.","non-dropping-particle":"","parse-names":false,"suffix":""},{"dropping-particle":"","family":"Liu","given":"Jiawu","non-dropping-particle":"","parse-names":false,"suffix":""},{"dropping-particle":"","family":"Jin","given":"Donghui","non-dropping-particle":"","parse-names":false,"suffix":""},{"dropping-particle":"","family":"Fodor","given":"Anthony A.","non-dropping-particle":"","parse-names":false,"suffix":""},{"dropping-particle":"","family":"Gordon-Larsen","given":"Penny","non-dropping-particle":"","parse-names":false,"suffix":""}],"container-title":"Microbiome","id":"ITEM-3","issue":"1","issued":{"date-parts":[["2017"]]},"note":"Summary: Investigated gut microbiome (16S and metagenome) and plasma metabolome of rural and recentlyurban Chinese people, and then compared to urban Americans. Found differences b/w urban and rural. Urban China resembled urban America. Conclude that urbanization results in rapid convergent evolution across globe of microbial community, with mtbm exhibiting a more robust response to urbanization than microbiome. Also associated urbanization with pathogens (Escherichia and Shigella) who bring more antibiotic resistance genes at expense of beneficial taxa\n\nPlasma samples","page":"1-13","publisher":"Microbiome","title":"Recent urbanization in China is correlated with a Westernized microbiome encoding increased virulence and antibiotic resistance genes","type":"article-journal","volume":"5"},"uris":["http://www.mendeley.com/documents/?uuid=e6103c9d-a2df-4df5-a759-9ecbeb87aed7"]},{"id":"ITEM-4","itemData":{"DOI":"10.1016/bs.irn.2016.07.006","ISSN":"21625514","abstract":"It is increasingly evident that inflammation is an important determinant of cognitive function and emotional behaviors that are dysregulated in stress-related psychiatric disorders, such as anxiety and affective disorders. Inflammatory responses to physical or psychological stressors are dependent on immunoregulation, which is indicated by a balanced expansion of effector T-cell populations and regulatory T cells. This balance is in part driven by microbial signals. The hygiene or “old friends” hypothesis posits that exposure to immunoregulation-inducing microorganisms is reduced in modern urban societies, leading to an epidemic of inflammatory disease and increased vulnerability to stress-related psychiatric disorders. With the global trend toward urbanization, humans are progressively spending more time in built environments, thereby, experiencing limited exposures to these immunoregulatory “old friends.” Here, we evaluate the implications of the global trend toward urbanization, and how this transition may affect human microbial exposures and human behavior.","author":[{"dropping-particle":"","family":"Stamper","given":"C. E.","non-dropping-particle":"","parse-names":false,"suffix":""},{"dropping-particle":"","family":"Hoisington","given":"A. J.","non-dropping-particle":"","parse-names":false,"suffix":""},{"dropping-particle":"","family":"Gomez","given":"O. M.","non-dropping-particle":"","parse-names":false,"suffix":""},{"dropping-particle":"","family":"Halweg-Edwards","given":"A. L.","non-dropping-particle":"","parse-names":false,"suffix":""},{"dropping-particle":"","family":"Smith","given":"D. G.","non-dropping-particle":"","parse-names":false,"suffix":""},{"dropping-particle":"","family":"Bates","given":"K. L.","non-dropping-particle":"","parse-names":false,"suffix":""},{"dropping-particle":"","family":"Kinney","given":"K. A.","non-dropping-particle":"","parse-names":false,"suffix":""},{"dropping-particle":"","family":"Postolache","given":"T. T.","non-dropping-particle":"","parse-names":false,"suffix":""},{"dropping-particle":"","family":"Brenner","given":"L. A.","non-dropping-particle":"","parse-names":false,"suffix":""},{"dropping-particle":"","family":"Rook","given":"G. A.W.","non-dropping-particle":"","parse-names":false,"suffix":""},{"dropping-particle":"","family":"Lowry","given":"C. A.","non-dropping-particle":"","parse-names":false,"suffix":""}],"container-title":"International Review of Neurobiology","edition":"1","id":"ITEM-4","issued":{"date-parts":[["2016"]]},"page":"289-323","publisher":"Elsevier Inc.","title":"Chapter 14: The Microbiome of the Built Environment and Human Behavior: Implications for Emotional Health and Well-Being in Postmodern Western Societies","type":"chapter"},"uris":["http://www.mendeley.com/documents/?uuid=ba8f151b-49b3-4786-9665-bb548ce88114"]}],"mendeley":{"formattedCitation":"&lt;sup&gt;79,82–84&lt;/sup&gt;","plainTextFormattedCitation":"79,82–84","previouslyFormattedCitation":"&lt;sup&gt;79,82–84&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79,82–84</w:t>
      </w:r>
      <w:r w:rsidR="00774A35" w:rsidRPr="00901194">
        <w:rPr>
          <w:rFonts w:cs="Times New Roman"/>
        </w:rPr>
        <w:fldChar w:fldCharType="end"/>
      </w:r>
      <w:r w:rsidRPr="00901194">
        <w:rPr>
          <w:rFonts w:cs="Times New Roman"/>
        </w:rPr>
        <w:t>, increased allergic diseases</w:t>
      </w:r>
      <w:r w:rsidR="00774A35" w:rsidRPr="00901194">
        <w:rPr>
          <w:rFonts w:cs="Times New Roman"/>
        </w:rPr>
        <w:fldChar w:fldCharType="begin" w:fldLock="1"/>
      </w:r>
      <w:r w:rsidR="000A1931" w:rsidRPr="00901194">
        <w:rPr>
          <w:rFonts w:cs="Times New Roman"/>
        </w:rPr>
        <w:instrText>ADDIN CSL_CITATION {"citationItems":[{"id":"ITEM-1","itemData":{"DOI":"10.1097/ACI.0000000000000351","ISBN":"0000000000000","ISSN":"14736322","abstract":"Purpose of review The review aims to give an update on the literature around traffic-related air pollution (TRAP) and allergic disease in the context of global urbanization, as the most populous countries in the world face severe TRAP exposure challenges. Recent findings As research continues to show that gene-environment interactions and epigenetics contribute to the TRAP-allergy link, evidence around the links to climate change grows. Greenspace may provide a buffer to adverse effects of traffic on health, overall, but pose risks in terms of allergic disease. Summary The link between traffic-related pollution and allergy continues to strengthen, in terms of supportive observational findings and mechanistic studies. Levels of TRAP across the world, particularly in Asia, continue to dramatically exceed acceptable levels, suggesting that the related adverse health consequences will accelerate. This could be counterbalanced by primary emission control and urban planning. Attention to combined effects of TRAP and allergen exposure is critical to avoiding misleading inferences drawn though examination only of isolated factors.","author":[{"dropping-particle":"","family":"Carlsten","given":"Christopher","non-dropping-particle":"","parse-names":false,"suffix":""},{"dropping-particle":"","family":"Rider","given":"Christopher F.","non-dropping-particle":"","parse-names":false,"suffix":""}],"container-title":"Current Opinion in Allergy and Clinical Immunology","id":"ITEM-1","issue":"2","issued":{"date-parts":[["2017"]]},"page":"86-89","title":"Traffic-related air pollution and allergic disease: An update in the context of global urbanization","type":"article-journal","volume":"17"},"uris":["http://www.mendeley.com/documents/?uuid=ff1bad63-d210-437e-86b2-333e4aa3f1b7"]},{"id":"ITEM-2","itemData":{"DOI":"10.1111/j.1398-9995.2005.00961.x","ISSN":"01054538","author":[{"dropping-particle":"","family":"Nicolaou","given":"N.","non-dropping-particle":"","parse-names":false,"suffix":""},{"dropping-particle":"","family":"Siddique","given":"N.","non-dropping-particle":"","parse-names":false,"suffix":""},{"dropping-particle":"","family":"Custovic","given":"Adnan","non-dropping-particle":"","parse-names":false,"suffix":""}],"container-title":"Allergy: European Journal of Allergy and Clinical Immunology","id":"ITEM-2","issue":"11","issued":{"date-parts":[["2005"]]},"page":"1357-1360","title":"Allergic disease in urban and rural populations: Increasing prevalence with increasing urbanization","type":"article-journal","volume":"60"},"uris":["http://www.mendeley.com/documents/?uuid=b9fb8bc5-f4eb-472f-843c-a7edd753e3dd"]}],"mendeley":{"formattedCitation":"&lt;sup&gt;85,86&lt;/sup&gt;","plainTextFormattedCitation":"85,86","previouslyFormattedCitation":"&lt;sup&gt;85,86&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85,86</w:t>
      </w:r>
      <w:r w:rsidR="00774A35" w:rsidRPr="00901194">
        <w:rPr>
          <w:rFonts w:cs="Times New Roman"/>
        </w:rPr>
        <w:fldChar w:fldCharType="end"/>
      </w:r>
      <w:r w:rsidRPr="00901194">
        <w:rPr>
          <w:rFonts w:cs="Times New Roman"/>
        </w:rPr>
        <w:t xml:space="preserve"> and asthma</w:t>
      </w:r>
      <w:r w:rsidR="00774A35" w:rsidRPr="00901194">
        <w:rPr>
          <w:rFonts w:cs="Times New Roman"/>
        </w:rPr>
        <w:fldChar w:fldCharType="begin" w:fldLock="1"/>
      </w:r>
      <w:r w:rsidR="000A1931" w:rsidRPr="00901194">
        <w:rPr>
          <w:rFonts w:cs="Times New Roman"/>
        </w:rPr>
        <w:instrText>ADDIN CSL_CITATION {"citationItems":[{"id":"ITEM-1","itemData":{"DOI":"10.1111/crj.12530","ISSN":"1752699X","abstract":"Introduction: Previous cross-sectional studies could establish an association between prevalence of self-reported wheeze and urban–rural environment, but the impact of urbanization on meaningful outcomes of asthma for public health is not established yet. Objectives: Evaluate the effect of urbanization on asthma burden. Methods: A time series study of 5,505 Brazilian municipalities. The unit of analysis was the municipality. Two time frames were evaluated: from 1999 to 2001 and from 2009 to 2011. Trends from the first to the second time frame were evaluated. Governmental databases were the source of information. Multivariate binary logistic regression models were used. Results: In the age range from 5 to 24 years old, municipalities with increase in the proportion of individuals living in urban area had lower odds to reduce hospital admission rate from asthma (OR:.93) and lower odds to reduce death rate from asthma (OR:.88). In the age range from 25 to 39 years old, municipalities with increase in the proportion of individuals living in urban area had lower odds to reduce hospital admission rate from asthma (OR:.93) and lower odds to reduce death rate from asthma (OR:.82). Municipalities that increased access to physicians and that supplied inhaled corticosteroids free of charge for asthma since year 2003 had increased odds to reduce hospital admission and death rates from asthma. Conclusions: Increase in urban population was associated with lower odds to reduce hospital admission and death rates from asthma in children and young adults living in a transition society.","author":[{"dropping-particle":"","family":"Ponte","given":"Eduardo Vieira","non-dropping-particle":"","parse-names":false,"suffix":""},{"dropping-particle":"","family":"Cruz","given":"Alvaro A.","non-dropping-particle":"","parse-names":false,"suffix":""},{"dropping-particle":"","family":"Athanazio","given":"Rodrigo","non-dropping-particle":"","parse-names":false,"suffix":""},{"dropping-particle":"","family":"Carvalho-Pinto","given":"Regina","non-dropping-particle":"","parse-names":false,"suffix":""},{"dropping-particle":"","family":"Fernandes","given":"Frederico L.A.","non-dropping-particle":"","parse-names":false,"suffix":""},{"dropping-particle":"","family":"Barreto","given":"Mauricio L.","non-dropping-particle":"","parse-names":false,"suffix":""},{"dropping-particle":"","family":"Stelmach","given":"Rafael","non-dropping-particle":"","parse-names":false,"suffix":""}],"container-title":"Clinical Respiratory Journal","id":"ITEM-1","issue":"2","issued":{"date-parts":[["2018"]]},"page":"410-417","title":"Urbanization is associated with increased asthma morbidity and mortality in Brazil","type":"article-journal","volume":"12"},"uris":["http://www.mendeley.com/documents/?uuid=ce4592df-1b36-46bf-be07-eb2030069399"]}],"mendeley":{"formattedCitation":"&lt;sup&gt;87&lt;/sup&gt;","plainTextFormattedCitation":"87","previouslyFormattedCitation":"&lt;sup&gt;87&lt;/sup&gt;"},"properties":{"noteIndex":0},"schema":"https://github.com/citation-style-language/schema/raw/master/csl-citation.json"}</w:instrText>
      </w:r>
      <w:r w:rsidR="00774A35" w:rsidRPr="00901194">
        <w:rPr>
          <w:rFonts w:cs="Times New Roman"/>
        </w:rPr>
        <w:fldChar w:fldCharType="separate"/>
      </w:r>
      <w:r w:rsidR="00AB5632" w:rsidRPr="00901194">
        <w:rPr>
          <w:rFonts w:cs="Times New Roman"/>
          <w:noProof/>
          <w:vertAlign w:val="superscript"/>
        </w:rPr>
        <w:t>87</w:t>
      </w:r>
      <w:r w:rsidR="00774A35" w:rsidRPr="00901194">
        <w:rPr>
          <w:rFonts w:cs="Times New Roman"/>
        </w:rPr>
        <w:fldChar w:fldCharType="end"/>
      </w:r>
      <w:r w:rsidRPr="00901194">
        <w:rPr>
          <w:rFonts w:cs="Times New Roman"/>
        </w:rPr>
        <w:t>, and heightened susceptibility to illnesses such as inflammatory bowel disease</w:t>
      </w:r>
      <w:r w:rsidR="007D3A68" w:rsidRPr="00901194">
        <w:rPr>
          <w:rFonts w:cs="Times New Roman"/>
        </w:rPr>
        <w:fldChar w:fldCharType="begin" w:fldLock="1"/>
      </w:r>
      <w:r w:rsidR="000A1931" w:rsidRPr="00901194">
        <w:rPr>
          <w:rFonts w:cs="Times New Roman"/>
        </w:rPr>
        <w:instrText>ADDIN CSL_CITATION {"citationItems":[{"id":"ITEM-1","itemData":{"DOI":"10.1097/MEG.0000000000000263","ISBN":"0000000000000","ISSN":"14735687","PMID":"25563139","abstract":"BACKGROUND AND AIM: Inflammatory bowel disease (IBD) has been associated with genetic and environmental factors, including urban living. IBD was rare in the Israeli Bedouin community 30 years ago. Over recent decades, a large proportion of this community has undergone a transition from a nomadic to a western lifestyle. Our aim was to carry out an updated evaluation of the clinical and epidemiological features of IBD in the Bedouin sector of southern Israel. METHODS: All Bedouin patients with a known diagnosis of Crohn's disease (CD) or ulcerative colitis (UC) were included in the retrospective study. RESULTS: The cohort included 31 CD patients and 31 UC patients. The mean age of the patients at diagnosis was 29±10.9 and 35±17.5 years for CD and UC, respectively. The prevalence rate for CD was 15.5/100000 and the incidence rate was 0.8-3.55/100000. Fourteen of the CD patients (45%) had ileal disease and 64.5% had inflammatory disease behavior according to the Montreal classification. Eleven of the CD patients (35%) were treated with anti-TNF-α and 26% had undergone surgery. Over the previous decade, the prevalence of UC was 14/100000 and the incidence was 0.5-2.39/100000. Eighteen UC patients (58%) had left-sided colitis. Three (9.7%) had undergone total colectomy for severe disease. CONCLUSION: We found an increased prevalence of IBD in the Bedouin population, associated with their change in lifestyle over previous decades. However, the prevalence is still markedly lower than that in other population groups. A high percentage of patients were treated with anti-TNF-α and/or surgery..","author":[{"dropping-particle":"","family":"Abu Freha","given":"Naim","non-dropping-particle":"","parse-names":false,"suffix":""},{"dropping-particle":"","family":"Schwartz","given":"Doron","non-dropping-particle":"","parse-names":false,"suffix":""},{"dropping-particle":"","family":"Elkrinawi","given":"Jaber","non-dropping-particle":"","parse-names":false,"suffix":""},{"dropping-particle":"","family":"Yakov","given":"Gil","non-dropping-particle":"Ben","parse-names":false,"suffix":""},{"dropping-particle":"","family":"Abu Tailakh","given":"Muhammad","non-dropping-particle":"","parse-names":false,"suffix":""},{"dropping-particle":"","family":"Munteanu","given":"Daniela","non-dropping-particle":"","parse-names":false,"suffix":""},{"dropping-particle":"","family":"Abu Ganim","given":"Abdelrhman","non-dropping-particle":"","parse-names":false,"suffix":""},{"dropping-particle":"","family":"Fich","given":"Alexander","non-dropping-particle":"","parse-names":false,"suffix":""}],"container-title":"European Journal of Gastroenterology and Hepatology","id":"ITEM-1","issue":"3","issued":{"date-parts":[["2015"]]},"note":"Studied IBD prevalence in Israeli Bedouin community. This community became increasingly western over recent yearsm which noted an incrrease in IBD (although it was still less common than other urbanized populations)","page":"230-234","title":"Inflammatory bowel disease among Bedouin Arabs in southern Israel: Urbanization and increasing prevalence rates","type":"article-journal","volume":"27"},"uris":["http://www.mendeley.com/documents/?uuid=f086c531-30fb-430d-bc78-e8fd36877a78"]},{"id":"ITEM-2","itemData":{"DOI":"10.1016/j.crohns.2011.05.009","ISSN":"18739946","PMID":"22115376","abstract":"Background: A higher incidence of inflammatory bowel disease (IBD) in industrialized areas has been previously reported, but the effect of emigrating to western industrialized countries for a period of time and returning to the country of origin is unknown. Aim of the study was to evaluate the effect of emigrating to another country and returning to the place of origin on the risk of IBD. Methods: A prospective case-control study was performed. Inclusion criteria were all patients &gt; 18. years diagnosed with Crohn's disease (CD) or ulcerative colitis (UC) in the last 10. years. Healthy, unrelated controls, matched by sex, age and smoking habits, with no family history of IBD were included. All patients and controls were interviewed and emigration was defined as living for at least one year in another country. Results: 242 consecutive patients with IBD (105 CD and 137 UC) and 242 controls were included. Patients who had previously emigrated developed more frequently IBD than controls (OR 1.93, 95%CI 1.19-3.15, p&lt; 0.01). Patients who emigrated to European countries developed more frequently IBD than controls (OR 1.91, 95%CI 1.07-3.47, p= 0.02), but not those who had emigrated to Latin America (OR 1.48, 95%CI 0.67-3.27, p= 0.32). Emigration plays a significant role in the development of UC (OR 2.24, 95%CI:1.29-3.88, p&lt; 0.01), but not in CD (OR 1.56, 95%IC:0.83-2.92, p= 0.15). Conclusions: People who emigrate to westernised countries have a higher risk for developing IBD, especially UC. Environmental factors related with industrialization seem to play an important role in the pathogenesis of these diseases. © 2011 European Crohn's and Colitis Organisation.","author":[{"dropping-particle":"","family":"Barreiro-de Acosta","given":"M.","non-dropping-particle":"","parse-names":false,"suffix":""},{"dropping-particle":"","family":"Alvarez Castro","given":"A.","non-dropping-particle":"","parse-names":false,"suffix":""},{"dropping-particle":"","family":"Souto","given":"R.","non-dropping-particle":"","parse-names":false,"suffix":""},{"dropping-particle":"","family":"Iglesias","given":"M.","non-dropping-particle":"","parse-names":false,"suffix":""},{"dropping-particle":"","family":"Lorenzo","given":"A.","non-dropping-particle":"","parse-names":false,"suffix":""},{"dropping-particle":"","family":"Dominguez-Muñoz","given":"J. E.","non-dropping-particle":"","parse-names":false,"suffix":""}],"container-title":"Journal of Crohn's and Colitis","id":"ITEM-2","issue":"6","issued":{"date-parts":[["2011"]]},"page":"566-569","publisher":"European Crohn's and Colitis Organisation","title":"Emigration to western industrialized countries: A risk factor for developing inflammatory bowel disease","type":"article-journal","volume":"5"},"uris":["http://www.mendeley.com/documents/?uuid=628c0ec1-8223-42b0-9b77-b6fe1c42d526"]},{"id":"ITEM-3","itemData":{"DOI":"10.1038/ajg.2017.208","ISSN":"15720241","abstract":"Objectives:To determine the association between inflammatory bowel disease (IBD) and rural/urban household at the time of diagnosis, or within the first 5 years (y) of life.Methods:Population-based cohorts of residents of four Canadian provinces were created using health administrative data. Rural/urban status was derived from postal codes based on population density and distance to metropolitan areas. Validated algorithms identified all incident IBD cases from administrative data (Alberta: 1999-2008, Manitoba and Ontario: 1999-2010, and Nova Scotia: 2000-2008). We determined sex-standardized incidence (per 100,000 patient-years) and incident rate ratios (IRR) using Poisson regression. A birth cohort was created of children in whom full administrative data were available from birth (Alberta 1996-2010, Manitoba 1988-2010, and Ontario 1991-2010). IRR was calculated for residents who lived continuously in rural/urban households during each of the first 5 years of life.Results:There were 6,662 rural residents and 38,905 urban residents with IBD. Incidence of IBD per 100,000 was 33.16 (95% CI 27.24-39.08) in urban residents, and 30.72 (95% CI 23.81-37.64) in rural residents (IRR 0.90, 95% CI 0.81-0.99). The protective association was strongest in children &lt;10 years (IRR 0.58, 95% CI 0.43-0.73) and 10-17.9 years (IRR 0.72, 95% CI 0.64-0.81). In the birth cohort, comprising 331 rural and 2,302 urban residents, rurality in the first 1-5 years of life was associated with lower risk of IBD (IRR 0.75-0.78).Conclusions:People living in rural households had lower risk of developing IBD. This association is strongest in young children and adolescents, and in children exposed to the rural environment early in life.","author":[{"dropping-particle":"","family":"Benchimol","given":"Eric I.","non-dropping-particle":"","parse-names":false,"suffix":""},{"dropping-particle":"","family":"Kaplan","given":"Gilaad G.","non-dropping-particle":"","parse-names":false,"suffix":""},{"dropping-particle":"","family":"Otley","given":"Anthony R.","non-dropping-particle":"","parse-names":false,"suffix":""},{"dropping-particle":"","family":"Nguyen","given":"Geoffrey C.","non-dropping-particle":"","parse-names":false,"suffix":""},{"dropping-particle":"","family":"Underwood","given":"Fox E.","non-dropping-particle":"","parse-names":false,"suffix":""},{"dropping-particle":"","family":"Guttmann","given":"Astrid","non-dropping-particle":"","parse-names":false,"suffix":""},{"dropping-particle":"","family":"Jones","given":"Jennifer L.","non-dropping-particle":"","parse-names":false,"suffix":""},{"dropping-particle":"","family":"Potter","given":"Beth K.","non-dropping-particle":"","parse-names":false,"suffix":""},{"dropping-particle":"","family":"Catley","given":"Christina A.","non-dropping-particle":"","parse-names":false,"suffix":""},{"dropping-particle":"","family":"Nugent","given":"Zoann J.","non-dropping-particle":"","parse-names":false,"suffix":""},{"dropping-particle":"","family":"Cui","given":"Yunsong","non-dropping-particle":"","parse-names":false,"suffix":""},{"dropping-particle":"","family":"Tanyingoh","given":"Divine","non-dropping-particle":"","parse-names":false,"suffix":""},{"dropping-particle":"","family":"Mojaverian","given":"Nassim","non-dropping-particle":"","parse-names":false,"suffix":""},{"dropping-particle":"","family":"Bitton","given":"Alain","non-dropping-particle":"","parse-names":false,"suffix":""},{"dropping-particle":"","family":"Carroll","given":"Matthew W.","non-dropping-particle":"","parse-names":false,"suffix":""},{"dropping-particle":"","family":"Debruyn","given":"Jennifer","non-dropping-particle":"","parse-names":false,"suffix":""},{"dropping-particle":"","family":"Dummer","given":"Trevor J.B.","non-dropping-particle":"","parse-names":false,"suffix":""},{"dropping-particle":"","family":"El-Matary","given":"Wael","non-dropping-particle":"","parse-names":false,"suffix":""},{"dropping-particle":"","family":"Griffiths","given":"Anne M.","non-dropping-particle":"","parse-names":false,"suffix":""},{"dropping-particle":"","family":"Jacobson","given":"Kevan","non-dropping-particle":"","parse-names":false,"suffix":""},{"dropping-particle":"","family":"Kuenzig","given":"M. Ellen","non-dropping-particle":"","parse-names":false,"suffix":""},{"dropping-particle":"","family":"Leddin","given":"Desmond","non-dropping-particle":"","parse-names":false,"suffix":""},{"dropping-particle":"","family":"Lix","given":"Lisa M.","non-dropping-particle":"","parse-names":false,"suffix":""},{"dropping-particle":"","family":"Mack","given":"David R.","non-dropping-particle":"","parse-names":false,"suffix":""},{"dropping-particle":"","family":"Murthy","given":"Sanjay K.","non-dropping-particle":"","parse-names":false,"suffix":""},{"dropping-particle":"","family":"Sánchez","given":"Juan Nicolás Peña","non-dropping-particle":"","parse-names":false,"suffix":""},{"dropping-particle":"","family":"Singh","given":"Harminder","non-dropping-particle":"","parse-names":false,"suffix":""},{"dropping-particle":"","family":"Targownik","given":"Laura E.","non-dropping-particle":"","parse-names":false,"suffix":""},{"dropping-particle":"","family":"Vutcovici","given":"Maria","non-dropping-particle":"","parse-names":false,"suffix":""},{"dropping-particle":"","family":"Bernstein","given":"Charles N.","non-dropping-particle":"","parse-names":false,"suffix":""}],"container-title":"American Journal of Gastroenterology","id":"ITEM-3","issue":"9","issued":{"date-parts":[["2017"]]},"note":"People living in less urbanized environments (more rural) are less likely to develop IBD","page":"1412-1422","title":"Rural and Urban Residence during Early Life is Associated with a Lower Risk of Inflammatory Bowel Disease: A Population-Based Inception and Birth Cohort Study","type":"article-journal","volume":"112"},"uris":["http://www.mendeley.com/documents/?uuid=e120b38b-7435-4d47-bb59-e2a15200c4ba"]}],"mendeley":{"formattedCitation":"&lt;sup&gt;88–90&lt;/sup&gt;","plainTextFormattedCitation":"88–90","previouslyFormattedCitation":"&lt;sup&gt;88–90&lt;/sup&gt;"},"properties":{"noteIndex":0},"schema":"https://github.com/citation-style-language/schema/raw/master/csl-citation.json"}</w:instrText>
      </w:r>
      <w:r w:rsidR="007D3A68" w:rsidRPr="00901194">
        <w:rPr>
          <w:rFonts w:cs="Times New Roman"/>
        </w:rPr>
        <w:fldChar w:fldCharType="separate"/>
      </w:r>
      <w:r w:rsidR="00AB5632" w:rsidRPr="00901194">
        <w:rPr>
          <w:rFonts w:cs="Times New Roman"/>
          <w:noProof/>
          <w:vertAlign w:val="superscript"/>
        </w:rPr>
        <w:t>88–90</w:t>
      </w:r>
      <w:r w:rsidR="007D3A68" w:rsidRPr="00901194">
        <w:rPr>
          <w:rFonts w:cs="Times New Roman"/>
        </w:rPr>
        <w:fldChar w:fldCharType="end"/>
      </w:r>
      <w:r w:rsidRPr="00901194">
        <w:rPr>
          <w:rFonts w:cs="Times New Roman"/>
        </w:rPr>
        <w:t>, although further work is required to definitively show industrialization processes as the primary cause of these changes given that such health conditions have complex causes</w:t>
      </w:r>
      <w:r w:rsidR="007D3A68" w:rsidRPr="00901194">
        <w:rPr>
          <w:rFonts w:cs="Times New Roman"/>
        </w:rPr>
        <w:fldChar w:fldCharType="begin" w:fldLock="1"/>
      </w:r>
      <w:r w:rsidR="000A1931" w:rsidRPr="00901194">
        <w:rPr>
          <w:rFonts w:cs="Times New Roman"/>
        </w:rPr>
        <w:instrText>ADDIN CSL_CITATION {"citationItems":[{"id":"ITEM-1","itemData":{"DOI":"10.1038/nri.2017.111","ISSN":"14741741","PMID":"29034905","abstract":"The incidence of autoimmune diseases has been steadily rising. Concomitantly, the incidence of most infectious diseases has declined. This observation gave rise to the hygiene hypothesis, which postulates that a reduction in the frequency of infections contributes directly to the increase in the frequency of autoimmune and allergic diseases. This hypothesis is supported by robust epidemiological data, but the underlying mechanisms are unclear. Pathogens are known to be important, as autoimmune disease is prevented in various experimental models by infection with different bacteria, viruses and parasites. Gut commensal bacteria also play an important role: dysbiosis of the gut flora is observed in patients with autoimmune diseases, although the causal relationship with the occurrence of autoimmune diseases has not been established. Both pathogens and commensals act by stimulating immunoregulatory pathways. Here, I discuss the importance of innate immune receptors, in particular Toll-like receptors, in mediating the protective effect of pathogens and commensals on autoimmunity.","author":[{"dropping-particle":"","family":"Bach","given":"Jean François","non-dropping-particle":"","parse-names":false,"suffix":""}],"container-title":"Nature Reviews Immunology","id":"ITEM-1","issue":"2","issued":{"date-parts":[["2018"]]},"page":"105-120","title":"The hygiene hypothesis in autoimmunity: The role of pathogens and commensals","type":"article-journal","volume":"18"},"uris":["http://www.mendeley.com/documents/?uuid=5759f5c4-b3f5-49bc-bd88-d910e56a5990"]},{"id":"ITEM-2","itemData":{"DOI":"10.1038/s41579-019-0191-8","ISSN":"17401534","PMID":"31089293","abstract":"Human-associated microbial communities have adapted to environmental pressures. Doses of antibiotics select for a community with increased antibiotic resistance, inflammation is accompanied by expansion of community members equipped to flourish in the presence of immune effectors and Western diets shift the microbiota away from fibre degraders in favour of species that thrive on mucus. Recent data suggest that the microbiota of industrialized societies differs substantially from the recent ancestral microbiota of humans. Rapid modernization, including medical practices and dietary changes, is causing progressive deterioration of the microbiota, and we hypothesize that this may contribute to various diseases prevalent in industrialized societies. In this Opinion article, we explore whether individuals in the industrialized world may be harbouring a microbial community that, while compatible with our environment, is now incompatible with our human biology.","author":[{"dropping-particle":"","family":"Sonnenburg","given":"Erica D.","non-dropping-particle":"","parse-names":false,"suffix":""},{"dropping-particle":"","family":"Sonnenburg","given":"Justin L.","non-dropping-particle":"","parse-names":false,"suffix":""}],"container-title":"Nature Reviews Microbiology","id":"ITEM-2","issue":"6","issued":{"date-parts":[["2019"]]},"note":"Summary: Review article primarily reviewing evidence investigating how industrialization has affected human gut microbiomes, discussing specific losses and their associated functions. Associate this with shifts in human health, and propose ways of improving health through reintroduction of lost/absent taxa in ways to regain lost functions caused by depleted microbial loss.","page":"383-390","publisher":"Springer US","title":"The ancestral and industrialized gut microbiota and implications for human health","type":"article-journal","volume":"17"},"uris":["http://www.mendeley.com/documents/?uuid=039786a7-1af8-444a-a8da-45224d323391"]}],"mendeley":{"formattedCitation":"&lt;sup&gt;91,92&lt;/sup&gt;","plainTextFormattedCitation":"91,92","previouslyFormattedCitation":"&lt;sup&gt;91,92&lt;/sup&gt;"},"properties":{"noteIndex":0},"schema":"https://github.com/citation-style-language/schema/raw/master/csl-citation.json"}</w:instrText>
      </w:r>
      <w:r w:rsidR="007D3A68" w:rsidRPr="00901194">
        <w:rPr>
          <w:rFonts w:cs="Times New Roman"/>
        </w:rPr>
        <w:fldChar w:fldCharType="separate"/>
      </w:r>
      <w:r w:rsidR="00AB5632" w:rsidRPr="00901194">
        <w:rPr>
          <w:rFonts w:cs="Times New Roman"/>
          <w:noProof/>
          <w:vertAlign w:val="superscript"/>
        </w:rPr>
        <w:t>91,92</w:t>
      </w:r>
      <w:r w:rsidR="007D3A68" w:rsidRPr="00901194">
        <w:rPr>
          <w:rFonts w:cs="Times New Roman"/>
        </w:rPr>
        <w:fldChar w:fldCharType="end"/>
      </w:r>
      <w:r w:rsidRPr="00901194">
        <w:rPr>
          <w:rFonts w:cs="Times New Roman"/>
        </w:rPr>
        <w:t>. Investigations into industrially-caused fecal metabolomic shifts have identified differences based in amino acids, amines, sphingolipids, and hexoses, among others</w:t>
      </w:r>
      <w:r w:rsidR="007D3A68" w:rsidRPr="00901194">
        <w:rPr>
          <w:rFonts w:cs="Times New Roman"/>
        </w:rPr>
        <w:fldChar w:fldCharType="begin" w:fldLock="1"/>
      </w:r>
      <w:r w:rsidR="000A1931" w:rsidRPr="00901194">
        <w:rPr>
          <w:rFonts w:cs="Times New Roman"/>
        </w:rPr>
        <w:instrText>ADDIN CSL_CITATION {"citationItems":[{"id":"ITEM-1","itemData":{"DOI":"10.3389/fmicb.2018.01345","ISSN":"1664302X","abstract":"Loss of traditional diets by food globalization may have adverse impact on the health of human being through the alteration of gut microbial ecosystem. To address this notion, we compared the gut microbiota of urban (n = 17) and rural (n = 28) school-aged children in Thailand in association with their dietary habits. Dietary records indicated that children living in urban Bangkok tended to consume modern high-fat diets, whereas children in rural Buriram tended to consume traditional vegetable-based diets. Sequencing of 16S rRNA genes amplified from stool samples showed that children in Bangkok have less Clostridiales and more Bacteroidales and Selenomonadales compared to children in Buriram and bacterial diversity is significantly less in Bangkok children than in Buriram children. In addition, fecal butyrate and propionate levels decreased in Bangkok children in association with changes in their gut microbial communities. Stool samples of these Thai children were classified into five metabolotypes (MTs) based on their metabolome profiles, each characterized by high concentrations of short and middle chain fatty acids (MT1, n = 17), amino acids (MT2, n = 7), arginine (MT3, n = 6), amino acids, and amines (MT5, n = 8), or an overall low level of metabolites (MT4, n = 4). MT1 and MT4 mainly consisted of samples from Buriram, and MT2 and MT3 mainly consisted of samples from Bangkok, whereas MT5 contained three samples from Bangkok and five from Buriram samples. According to the profiles of microbiota and diets, MT1 and MT2 are characteristic of children in Buriram and Bangkok, respectively. Predicted metagenomics indicated the underrepresentation in MT2 of eight genes involved in pathways of butyrate biosynthesis, notably including paths from glutamate as well as pyruvate. Taken together, this study shows the benefit of high-vegetable Thai traditional diets on gut microbiota and suggests that high-fat and less-vegetable urban dietary habits alter gut microbial communities in Thai children, which resulted in the reduction of colonic short chain fatty acid fermentation.","author":[{"dropping-particle":"","family":"Kisuse","given":"Juma","non-dropping-particle":"","parse-names":false,"suffix":""},{"dropping-particle":"","family":"La-ongkham","given":"Orawan","non-dropping-particle":"","parse-names":false,"suffix":""},{"dropping-particle":"","family":"Nakphaichit","given":"Massalin","non-dropping-particle":"","parse-names":false,"suffix":""},{"dropping-particle":"","family":"Therdtatha","given":"Phatthanaphong","non-dropping-particle":"","parse-names":false,"suffix":""},{"dropping-particle":"","family":"Momoda","given":"Rie","non-dropping-particle":"","parse-names":false,"suffix":""},{"dropping-particle":"","family":"Tanaka","given":"Masaru","non-dropping-particle":"","parse-names":false,"suffix":""},{"dropping-particle":"","family":"Fukuda","given":"Shinji","non-dropping-particle":"","parse-names":false,"suffix":""},{"dropping-particle":"","family":"Popluechai","given":"Siam","non-dropping-particle":"","parse-names":false,"suffix":""},{"dropping-particle":"","family":"Kespechara","given":"Kongkiat","non-dropping-particle":"","parse-names":false,"suffix":""},{"dropping-particle":"","family":"Sonomoto","given":"Kenji","non-dropping-particle":"","parse-names":false,"suffix":""},{"dropping-particle":"","family":"Lee","given":"Yuan Kun","non-dropping-particle":"","parse-names":false,"suffix":""},{"dropping-particle":"","family":"Nitisinprasert","given":"Sunee","non-dropping-particle":"","parse-names":false,"suffix":""},{"dropping-particle":"","family":"Nakayama","given":"Jiro","non-dropping-particle":"","parse-names":false,"suffix":""}],"container-title":"Frontiers in Microbiology","id":"ITEM-1","issue":"JUN","issued":{"date-parts":[["2018"]]},"note":"Summary: Compared gut microbiota of urban (Bangkok) and rural Thai (Buriram) school-age children thru 16S seq. Urban kids showed less Clostridiales and more Bacteroides and Selenomonadales compared to urban. Bacterial diversity is lower in urban. Also urban had dec'd fecal butyrate and propionate. High-fat and less-vegetable urban dietary habits alter gut microbial communities, resulting in reduced colonic SCFA fermentation. Classified samples into 5 metabolotypes, characterized by high concentrations of: short and middle chain fat acids (MT1); amino acids (MT2); arginine (MT3); amino acids and amines (MT5); overall low level of metabolites (MT4)","page":"1-16","title":"Urban diets linked to gut microbiome and metabolome alterations in children: A comparative cross-sectional study in Thailand","type":"article-journal","volume":"9"},"uris":["http://www.mendeley.com/documents/?uuid=0925ea83-6ff3-462c-ad41-837a52397b04"]},{"id":"ITEM-2","itemData":{"DOI":"10.1038/s41579-019-0191-8","ISSN":"17401534","PMID":"31089293","abstract":"Human-associated microbial communities have adapted to environmental pressures. Doses of antibiotics select for a community with increased antibiotic resistance, inflammation is accompanied by expansion of community members equipped to flourish in the presence of immune effectors and Western diets shift the microbiota away from fibre degraders in favour of species that thrive on mucus. Recent data suggest that the microbiota of industrialized societies differs substantially from the recent ancestral microbiota of humans. Rapid modernization, including medical practices and dietary changes, is causing progressive deterioration of the microbiota, and we hypothesize that this may contribute to various diseases prevalent in industrialized societies. In this Opinion article, we explore whether individuals in the industrialized world may be harbouring a microbial community that, while compatible with our environment, is now incompatible with our human biology.","author":[{"dropping-particle":"","family":"Sonnenburg","given":"Erica D.","non-dropping-particle":"","parse-names":false,"suffix":""},{"dropping-particle":"","family":"Sonnenburg","given":"Justin L.","non-dropping-particle":"","parse-names":false,"suffix":""}],"container-title":"Nature Reviews Microbiology","id":"ITEM-2","issue":"6","issued":{"date-parts":[["2019"]]},"note":"Summary: Review article primarily reviewing evidence investigating how industrialization has affected human gut microbiomes, discussing specific losses and their associated functions. Associate this with shifts in human health, and propose ways of improving health through reintroduction of lost/absent taxa in ways to regain lost functions caused by depleted microbial loss.","page":"383-390","publisher":"Springer US","title":"The ancestral and industrialized gut microbiota and implications for human health","type":"article-journal","volume":"17"},"uris":["http://www.mendeley.com/documents/?uuid=039786a7-1af8-444a-a8da-45224d323391"]},{"id":"ITEM-3","itemData":{"DOI":"10.1016/j.celrep.2018.05.018","ISSN":"22111247","abstract":"We assessed the subsistence-related variation of the human gut microbiome at a fine resolution for two of the main dimensions of microbiome variation, age and geography. For this, we investigated the fecal microbiome and metabolome in rural Bassa and urbanized individuals from Nigeria, including infants, and compared data with worldwide populations practicing varying subsistence. Our data highlight specific microbiome traits that are progressively lost with urbanization, such as the dominance of pristine fiber degraders and the low inter-individual variation. For the Bassa, this last feature is the result of their subsistence-related practices favoring microbial dispersal, such as their extensive environmental contact and the usage of untreated waters from the Usuma River. The high degree of microbial dispersal observed in the Bassa meta-community nullifies the differences between infant and adult intestinal ecosystems, suggesting that the infant-type microbiome in Western populations could be the result of microbiome-associated neotenic traits favored by urbanization. Ayeni et al. characterize the fecal microbiome and metabolome of rural Bassa and urban individuals from Nigeria, including infants. Their findings stress the loss of ancient signatures along with urbanization and support distinct trajectories of development of the intestinal ecosystem in early life, depending on human subsistence.","author":[{"dropping-particle":"","family":"Ayeni","given":"Funmilola A.","non-dropping-particle":"","parse-names":false,"suffix":""},{"dropping-particle":"","family":"Biagi","given":"Elena","non-dropping-particle":"","parse-names":false,"suffix":""},{"dropping-particle":"","family":"Rampelli","given":"Simone","non-dropping-particle":"","parse-names":false,"suffix":""},{"dropping-particle":"","family":"Fiori","given":"Jessica","non-dropping-particle":"","parse-names":false,"suffix":""},{"dropping-particle":"","family":"Soverini","given":"Matteo","non-dropping-particle":"","parse-names":false,"suffix":""},{"dropping-particle":"","family":"Audu","given":"Haruna J.","non-dropping-particle":"","parse-names":false,"suffix":""},{"dropping-particle":"","family":"Cristino","given":"Sandra","non-dropping-particle":"","parse-names":false,"suffix":""},{"dropping-particle":"","family":"Caporali","given":"Leonardo","non-dropping-particle":"","parse-names":false,"suffix":""},{"dropping-particle":"","family":"Schnorr","given":"Stephanie L.","non-dropping-particle":"","parse-names":false,"suffix":""},{"dropping-particle":"","family":"Carelli","given":"Valerio","non-dropping-particle":"","parse-names":false,"suffix":""},{"dropping-particle":"","family":"Brigidi","given":"Patrizia","non-dropping-particle":"","parse-names":false,"suffix":""},{"dropping-particle":"","family":"Candela","given":"Marco","non-dropping-particle":"","parse-names":false,"suffix":""},{"dropping-particle":"","family":"Turroni","given":"Silvia","non-dropping-particle":"","parse-names":false,"suffix":""}],"container-title":"Cell Reports","id":"ITEM-3","issue":"10","issued":{"date-parts":[["2018"]]},"note":"Summary: Microbiome and metabolome analyses of rural Bassa and urban individuals from Nigeria, including infants. Identnfied specific microbiome and metabolomic traits lost with urbanization (Bassa infants and adults have similar mbms and mtbms). Aso compared with other populations' data from different geographies. Linked specific mbm and mtbm losses/differences to different lifestyle elements (rural/western-mixed diets, local remedies/antibiotics, supplemented/exclusive breastfeeding, river/potable water, sanitation)\n\nBassa = rural. 18 Bassa; 30 urban Nigerians. Did not record age of Bassa and did not record sex.\nFocused on pops that are geographically similar -- the urban groups live near the Bassa but practice a western lifestyle\n\nDid not record age (for Bassa), but did some basic age-based results of microbial abundance, which seems strange to me\n\nAlso examined microbial community of Usuma River (bassa water source)\n\nAlso used data from other projects to compare with theirt microbial data -- so they compare Bassa, urban, Hadza, Malawi rural, Venezuela rural, urban Italy, and urban USA","page":"3056-3067","publisher":"ElsevierCompany.","title":"Infant and Adult Gut Microbiome and Metabolome in Rural Bassa and Urban Settlers from Nigeria","type":"article-journal","volume":"23"},"uris":["http://www.mendeley.com/documents/?uuid=07e226d8-54b7-4856-bb55-95d8a8e91dae"]}],"mendeley":{"formattedCitation":"&lt;sup&gt;48,49,92&lt;/sup&gt;","plainTextFormattedCitation":"48,49,92","previouslyFormattedCitation":"&lt;sup&gt;48,49,92&lt;/sup&gt;"},"properties":{"noteIndex":0},"schema":"https://github.com/citation-style-language/schema/raw/master/csl-citation.json"}</w:instrText>
      </w:r>
      <w:r w:rsidR="007D3A68" w:rsidRPr="00901194">
        <w:rPr>
          <w:rFonts w:cs="Times New Roman"/>
        </w:rPr>
        <w:fldChar w:fldCharType="separate"/>
      </w:r>
      <w:r w:rsidR="00AB5632" w:rsidRPr="00901194">
        <w:rPr>
          <w:rFonts w:cs="Times New Roman"/>
          <w:noProof/>
          <w:vertAlign w:val="superscript"/>
        </w:rPr>
        <w:t>48,49,92</w:t>
      </w:r>
      <w:r w:rsidR="007D3A68" w:rsidRPr="00901194">
        <w:rPr>
          <w:rFonts w:cs="Times New Roman"/>
        </w:rPr>
        <w:fldChar w:fldCharType="end"/>
      </w:r>
      <w:r w:rsidRPr="00901194">
        <w:rPr>
          <w:rFonts w:cs="Times New Roman"/>
        </w:rPr>
        <w:t>. Some studies detailed human fecal metabolomes by comparing rural and urban populations and found differences in levels of acylcarnitines, amino acids, and short-chain fatty acids</w:t>
      </w:r>
      <w:r w:rsidR="007D3A68" w:rsidRPr="00901194">
        <w:rPr>
          <w:rFonts w:cs="Times New Roman"/>
        </w:rPr>
        <w:fldChar w:fldCharType="begin" w:fldLock="1"/>
      </w:r>
      <w:r w:rsidR="000A1931" w:rsidRPr="00901194">
        <w:rPr>
          <w:rFonts w:cs="Times New Roman"/>
        </w:rPr>
        <w:instrText>ADDIN CSL_CITATION {"citationItems":[{"id":"ITEM-1","itemData":{"DOI":"10.1016/j.celrep.2018.05.018","ISSN":"22111247","abstract":"We assessed the subsistence-related variation of the human gut microbiome at a fine resolution for two of the main dimensions of microbiome variation, age and geography. For this, we investigated the fecal microbiome and metabolome in rural Bassa and urbanized individuals from Nigeria, including infants, and compared data with worldwide populations practicing varying subsistence. Our data highlight specific microbiome traits that are progressively lost with urbanization, such as the dominance of pristine fiber degraders and the low inter-individual variation. For the Bassa, this last feature is the result of their subsistence-related practices favoring microbial dispersal, such as their extensive environmental contact and the usage of untreated waters from the Usuma River. The high degree of microbial dispersal observed in the Bassa meta-community nullifies the differences between infant and adult intestinal ecosystems, suggesting that the infant-type microbiome in Western populations could be the result of microbiome-associated neotenic traits favored by urbanization. Ayeni et al. characterize the fecal microbiome and metabolome of rural Bassa and urban individuals from Nigeria, including infants. Their findings stress the loss of ancient signatures along with urbanization and support distinct trajectories of development of the intestinal ecosystem in early life, depending on human subsistence.","author":[{"dropping-particle":"","family":"Ayeni","given":"Funmilola A.","non-dropping-particle":"","parse-names":false,"suffix":""},{"dropping-particle":"","family":"Biagi","given":"Elena","non-dropping-particle":"","parse-names":false,"suffix":""},{"dropping-particle":"","family":"Rampelli","given":"Simone","non-dropping-particle":"","parse-names":false,"suffix":""},{"dropping-particle":"","family":"Fiori","given":"Jessica","non-dropping-particle":"","parse-names":false,"suffix":""},{"dropping-particle":"","family":"Soverini","given":"Matteo","non-dropping-particle":"","parse-names":false,"suffix":""},{"dropping-particle":"","family":"Audu","given":"Haruna J.","non-dropping-particle":"","parse-names":false,"suffix":""},{"dropping-particle":"","family":"Cristino","given":"Sandra","non-dropping-particle":"","parse-names":false,"suffix":""},{"dropping-particle":"","family":"Caporali","given":"Leonardo","non-dropping-particle":"","parse-names":false,"suffix":""},{"dropping-particle":"","family":"Schnorr","given":"Stephanie L.","non-dropping-particle":"","parse-names":false,"suffix":""},{"dropping-particle":"","family":"Carelli","given":"Valerio","non-dropping-particle":"","parse-names":false,"suffix":""},{"dropping-particle":"","family":"Brigidi","given":"Patrizia","non-dropping-particle":"","parse-names":false,"suffix":""},{"dropping-particle":"","family":"Candela","given":"Marco","non-dropping-particle":"","parse-names":false,"suffix":""},{"dropping-particle":"","family":"Turroni","given":"Silvia","non-dropping-particle":"","parse-names":false,"suffix":""}],"container-title":"Cell Reports","id":"ITEM-1","issue":"10","issued":{"date-parts":[["2018"]]},"note":"Summary: Microbiome and metabolome analyses of rural Bassa and urban individuals from Nigeria, including infants. Identnfied specific microbiome and metabolomic traits lost with urbanization (Bassa infants and adults have similar mbms and mtbms). Aso compared with other populations' data from different geographies. Linked specific mbm and mtbm losses/differences to different lifestyle elements (rural/western-mixed diets, local remedies/antibiotics, supplemented/exclusive breastfeeding, river/potable water, sanitation)\n\nBassa = rural. 18 Bassa; 30 urban Nigerians. Did not record age of Bassa and did not record sex.\nFocused on pops that are geographically similar -- the urban groups live near the Bassa but practice a western lifestyle\n\nDid not record age (for Bassa), but did some basic age-based results of microbial abundance, which seems strange to me\n\nAlso examined microbial community of Usuma River (bassa water source)\n\nAlso used data from other projects to compare with theirt microbial data -- so they compare Bassa, urban, Hadza, Malawi rural, Venezuela rural, urban Italy, and urban USA","page":"3056-3067","publisher":"ElsevierCompany.","title":"Infant and Adult Gut Microbiome and Metabolome in Rural Bassa and Urban Settlers from Nigeria","type":"article-journal","volume":"23"},"uris":["http://www.mendeley.com/documents/?uuid=07e226d8-54b7-4856-bb55-95d8a8e91dae"]},{"id":"ITEM-2","itemData":{"DOI":"10.1038/srep32826","author":[{"dropping-particle":"","family":"Turroni","given":"Silvia","non-dropping-particle":"","parse-names":false,"suffix":""},{"dropping-particle":"","family":"Fiori","given":"Jessica","non-dropping-particle":"","parse-names":false,"suffix":""},{"dropping-particle":"","family":"Rampelli","given":"Simone","non-dropping-particle":"","parse-names":false,"suffix":""},{"dropping-particle":"","family":"Schnorr","given":"Stephanie L.","non-dropping-particle":"","parse-names":false,"suffix":""},{"dropping-particle":"","family":"Consolandi","given":"Clarissa","non-dropping-particle":"","parse-names":false,"suffix":""},{"dropping-particle":"","family":"Barone","given":"Monica","non-dropping-particle":"","parse-names":false,"suffix":""},{"dropping-particle":"","family":"Biagi","given":"Elena","non-dropping-particle":"","parse-names":false,"suffix":""},{"dropping-particle":"","family":"Fanelli","given":"Flaminia","non-dropping-particle":"","parse-names":false,"suffix":""},{"dropping-particle":"","family":"Mezzullo","given":"Marco","non-dropping-particle":"","parse-names":false,"suffix":""},{"dropping-particle":"","family":"Crittenden","given":"Alyssa N.","non-dropping-particle":"","parse-names":false,"suffix":""},{"dropping-particle":"","family":"Henry","given":"Amanda G.","non-dropping-particle":"","parse-names":false,"suffix":""},{"dropping-particle":"","family":"Brigidi","given":"Patrizia","non-dropping-particle":"","parse-names":false,"suffix":""},{"dropping-particle":"","family":"Candela","given":"Marco","non-dropping-particle":"","parse-names":false,"suffix":""}],"container-title":"Scientific Reports","id":"ITEM-2","issue":"1","issued":{"date-parts":[["2016"]]},"note":"Targeted","page":"1-9","publisher":"Nature Publishing Group","title":"Fecal metabolome of the Hadza hunter-gatherers: a host-microbiome integrative view","type":"article-journal","volume":"6"},"uris":["http://www.mendeley.com/documents/?uuid=91b4d94a-3657-4bf6-9095-53b2a78e6bf6"]},{"id":"ITEM-3","itemData":{"DOI":"10.1038/s41588-018-0135-7","ISSN":"15461718","abstract":"The human gut microbiome plays a key role in human health 1 , but 16S characterization lacks quantitative functional annotation 2 . The fecal metabolome provides a functional readout of microbial activity and can be used as an intermediate phenotype mediating host-microbiome interactions 3 . In this comprehensive description of the fecal metabolome, examining 1,116 metabolites from 786 individuals from a population-based twin study (TwinsUK), the fecal metabolome was found to be only modestly influenced by host genetics (heritability (H 2 ) = 17.9%). One replicated locus at the NAT2 gene was associated with fecal metabolic traits. The fecal metabolome largely reflects gut microbial composition, explaining on average 67.7% (±18.8%) of its variance. It is strongly associated with visceral-fat mass, thereby illustrating potential mechanisms underlying the well-established microbial influence on abdominal obesity. Fecal metabolic profiling thus is a novel tool to explore links among microbiome composition, host phenotypes, and heritable complex traits.","author":[{"dropping-particle":"","family":"Zierer","given":"Jonas","non-dropping-particle":"","parse-names":false,"suffix":""},{"dropping-particle":"","family":"Jackson","given":"Matthew A.","non-dropping-particle":"","parse-names":false,"suffix":""},{"dropping-particle":"","family":"Kastenmüller","given":"Gabi","non-dropping-particle":"","parse-names":false,"suffix":""},{"dropping-particle":"","family":"Mangino","given":"Massimo","non-dropping-particle":"","parse-names":false,"suffix":""},{"dropping-particle":"","family":"Long","given":"Tao","non-dropping-particle":"","parse-names":false,"suffix":""},{"dropping-particle":"","family":"Telenti","given":"Amalio","non-dropping-particle":"","parse-names":false,"suffix":""},{"dropping-particle":"","family":"Mohney","given":"Robert P.","non-dropping-particle":"","parse-names":false,"suffix":""},{"dropping-particle":"","family":"Small","given":"Kerrin S.","non-dropping-particle":"","parse-names":false,"suffix":""},{"dropping-particle":"","family":"Bell","given":"Jordana T.","non-dropping-particle":"","parse-names":false,"suffix":""},{"dropping-particle":"","family":"Steves","given":"Claire J.","non-dropping-particle":"","parse-names":false,"suffix":""},{"dropping-particle":"","family":"Valdes","given":"Ana M.","non-dropping-particle":"","parse-names":false,"suffix":""},{"dropping-particle":"","family":"Spector","given":"Tim D.","non-dropping-particle":"","parse-names":false,"suffix":""},{"dropping-particle":"","family":"Menni","given":"Cristina","non-dropping-particle":"","parse-names":false,"suffix":""}],"container-title":"Nature Genetics","id":"ITEM-3","issue":"6","issued":{"date-parts":[["2018"]]},"page":"790-795","title":"The fecal metabolome as a functional readout of the gut microbiome","type":"article-journal","volume":"50"},"uris":["http://www.mendeley.com/documents/?uuid=8493100a-52ea-4fa0-ab97-282d5fddf5af"]}],"mendeley":{"formattedCitation":"&lt;sup&gt;48,50,93&lt;/sup&gt;","plainTextFormattedCitation":"48,50,93","previouslyFormattedCitation":"&lt;sup&gt;48,50,93&lt;/sup&gt;"},"properties":{"noteIndex":0},"schema":"https://github.com/citation-style-language/schema/raw/master/csl-citation.json"}</w:instrText>
      </w:r>
      <w:r w:rsidR="007D3A68" w:rsidRPr="00901194">
        <w:rPr>
          <w:rFonts w:cs="Times New Roman"/>
        </w:rPr>
        <w:fldChar w:fldCharType="separate"/>
      </w:r>
      <w:r w:rsidR="00AB5632" w:rsidRPr="00901194">
        <w:rPr>
          <w:rFonts w:cs="Times New Roman"/>
          <w:noProof/>
          <w:vertAlign w:val="superscript"/>
        </w:rPr>
        <w:t>48,50,93</w:t>
      </w:r>
      <w:r w:rsidR="007D3A68" w:rsidRPr="00901194">
        <w:rPr>
          <w:rFonts w:cs="Times New Roman"/>
        </w:rPr>
        <w:fldChar w:fldCharType="end"/>
      </w:r>
      <w:r w:rsidRPr="00901194">
        <w:rPr>
          <w:rFonts w:cs="Times New Roman"/>
        </w:rPr>
        <w:t>. However, such studies employed targeted/semi-targeted metabolomic approaches and/or sampled a single human population</w:t>
      </w:r>
      <w:r w:rsidR="00D10076" w:rsidRPr="00901194">
        <w:rPr>
          <w:rFonts w:cs="Times New Roman"/>
        </w:rPr>
        <w:fldChar w:fldCharType="begin" w:fldLock="1"/>
      </w:r>
      <w:r w:rsidR="000A1931" w:rsidRPr="00901194">
        <w:rPr>
          <w:rFonts w:cs="Times New Roman"/>
        </w:rPr>
        <w:instrText>ADDIN CSL_CITATION {"citationItems":[{"id":"ITEM-1","itemData":{"DOI":"10.3389/fmicb.2018.01345","ISSN":"1664302X","abstract":"Loss of traditional diets by food globalization may have adverse impact on the health of human being through the alteration of gut microbial ecosystem. To address this notion, we compared the gut microbiota of urban (n = 17) and rural (n = 28) school-aged children in Thailand in association with their dietary habits. Dietary records indicated that children living in urban Bangkok tended to consume modern high-fat diets, whereas children in rural Buriram tended to consume traditional vegetable-based diets. Sequencing of 16S rRNA genes amplified from stool samples showed that children in Bangkok have less Clostridiales and more Bacteroidales and Selenomonadales compared to children in Buriram and bacterial diversity is significantly less in Bangkok children than in Buriram children. In addition, fecal butyrate and propionate levels decreased in Bangkok children in association with changes in their gut microbial communities. Stool samples of these Thai children were classified into five metabolotypes (MTs) based on their metabolome profiles, each characterized by high concentrations of short and middle chain fatty acids (MT1, n = 17), amino acids (MT2, n = 7), arginine (MT3, n = 6), amino acids, and amines (MT5, n = 8), or an overall low level of metabolites (MT4, n = 4). MT1 and MT4 mainly consisted of samples from Buriram, and MT2 and MT3 mainly consisted of samples from Bangkok, whereas MT5 contained three samples from Bangkok and five from Buriram samples. According to the profiles of microbiota and diets, MT1 and MT2 are characteristic of children in Buriram and Bangkok, respectively. Predicted metagenomics indicated the underrepresentation in MT2 of eight genes involved in pathways of butyrate biosynthesis, notably including paths from glutamate as well as pyruvate. Taken together, this study shows the benefit of high-vegetable Thai traditional diets on gut microbiota and suggests that high-fat and less-vegetable urban dietary habits alter gut microbial communities in Thai children, which resulted in the reduction of colonic short chain fatty acid fermentation.","author":[{"dropping-particle":"","family":"Kisuse","given":"Juma","non-dropping-particle":"","parse-names":false,"suffix":""},{"dropping-particle":"","family":"La-ongkham","given":"Orawan","non-dropping-particle":"","parse-names":false,"suffix":""},{"dropping-particle":"","family":"Nakphaichit","given":"Massalin","non-dropping-particle":"","parse-names":false,"suffix":""},{"dropping-particle":"","family":"Therdtatha","given":"Phatthanaphong","non-dropping-particle":"","parse-names":false,"suffix":""},{"dropping-particle":"","family":"Momoda","given":"Rie","non-dropping-particle":"","parse-names":false,"suffix":""},{"dropping-particle":"","family":"Tanaka","given":"Masaru","non-dropping-particle":"","parse-names":false,"suffix":""},{"dropping-particle":"","family":"Fukuda","given":"Shinji","non-dropping-particle":"","parse-names":false,"suffix":""},{"dropping-particle":"","family":"Popluechai","given":"Siam","non-dropping-particle":"","parse-names":false,"suffix":""},{"dropping-particle":"","family":"Kespechara","given":"Kongkiat","non-dropping-particle":"","parse-names":false,"suffix":""},{"dropping-particle":"","family":"Sonomoto","given":"Kenji","non-dropping-particle":"","parse-names":false,"suffix":""},{"dropping-particle":"","family":"Lee","given":"Yuan Kun","non-dropping-particle":"","parse-names":false,"suffix":""},{"dropping-particle":"","family":"Nitisinprasert","given":"Sunee","non-dropping-particle":"","parse-names":false,"suffix":""},{"dropping-particle":"","family":"Nakayama","given":"Jiro","non-dropping-particle":"","parse-names":false,"suffix":""}],"container-title":"Frontiers in Microbiology","id":"ITEM-1","issue":"JUN","issued":{"date-parts":[["2018"]]},"note":"Summary: Compared gut microbiota of urban (Bangkok) and rural Thai (Buriram) school-age children thru 16S seq. Urban kids showed less Clostridiales and more Bacteroides and Selenomonadales compared to urban. Bacterial diversity is lower in urban. Also urban had dec'd fecal butyrate and propionate. High-fat and less-vegetable urban dietary habits alter gut microbial communities, resulting in reduced colonic SCFA fermentation. Classified samples into 5 metabolotypes, characterized by high concentrations of: short and middle chain fat acids (MT1); amino acids (MT2); arginine (MT3); amino acids and amines (MT5); overall low level of metabolites (MT4)","page":"1-16","title":"Urban diets linked to gut microbiome and metabolome alterations in children: A comparative cross-sectional study in Thailand","type":"article-journal","volume":"9"},"uris":["http://www.mendeley.com/documents/?uuid=0925ea83-6ff3-462c-ad41-837a52397b04"]},{"id":"ITEM-2","itemData":{"DOI":"10.1186/s40168-017-0338-7","ISSN":"20492618","abstract":"Urbanization is associated with an increased risk for a number of diseases, including obesity, diabetes, and cancer, which all also show associations with the microbiome. While microbial community composition has been shown to vary across continents and in traditional versus Westernized societies, few studies have examined urban-rural differences in neighboring communities within a single country undergoing rapid urbanization. In this study, we compared the gut microbiome, plasma metabolome, dietary habits, and health biomarkers of rural and urban people from a single Chinese province. We identified significant differences in the microbiota and microbiota-related plasma metabolites in rural versus recently urban subjects from the Hunan province of China. Microbes with higher relative abundance in Chinese urban samples have been associated with disease in other studies and were substantially more prevalent in the Human Microbiome Project cohort of American subjects. Furthermore, using whole metagenome sequencing, we found that urbanization was associated with a loss of microbial diversity and changes in the relative abundances of Viruses, Archaea, and Bacteria. Gene diversity, however, increased with urbanization, along with the proportion of reads associated with antibiotic resistance and virulence, which were strongly correlated with the presence of Escherichia and Shigella.\n                         Our data suggest that urbanization has produced convergent evolution of the gut microbial composition in American and urban Chinese populations, resulting in similar compositional patterns of abundant microbes through similar lifestyles on different continents, including a loss of potentially beneficial bacteria and an increase in potentially harmful genes via increased relative abundance of Escherichia and Shigella.","author":[{"dropping-particle":"","family":"Winglee","given":"Kathryn","non-dropping-particle":"","parse-names":false,"suffix":""},{"dropping-particle":"","family":"Howard","given":"Annie Green","non-dropping-particle":"","parse-names":false,"suffix":""},{"dropping-particle":"","family":"Sha","given":"Wei","non-dropping-particle":"","parse-names":false,"suffix":""},{"dropping-particle":"","family":"Gharaibeh","given":"Raad Z.","non-dropping-particle":"","parse-names":false,"suffix":""},{"dropping-particle":"","family":"Liu","given":"Jiawu","non-dropping-particle":"","parse-names":false,"suffix":""},{"dropping-particle":"","family":"Jin","given":"Donghui","non-dropping-particle":"","parse-names":false,"suffix":""},{"dropping-particle":"","family":"Fodor","given":"Anthony A.","non-dropping-particle":"","parse-names":false,"suffix":""},{"dropping-particle":"","family":"Gordon-Larsen","given":"Penny","non-dropping-particle":"","parse-names":false,"suffix":""}],"container-title":"Microbiome","id":"ITEM-2","issue":"1","issued":{"date-parts":[["2017"]]},"note":"Summary: Investigated gut microbiome (16S and metagenome) and plasma metabolome of rural and recentlyurban Chinese people, and then compared to urban Americans. Found differences b/w urban and rural. Urban China resembled urban America. Conclude that urbanization results in rapid convergent evolution across globe of microbial community, with mtbm exhibiting a more robust response to urbanization than microbiome. Also associated urbanization with pathogens (Escherichia and Shigella) who bring more antibiotic resistance genes at expense of beneficial taxa\n\nPlasma samples","page":"1-13","publisher":"Microbiome","title":"Recent urbanization in China is correlated with a Westernized microbiome encoding increased virulence and antibiotic resistance genes","type":"article-journal","volume":"5"},"uris":["http://www.mendeley.com/documents/?uuid=e6103c9d-a2df-4df5-a759-9ecbeb87aed7"]},{"id":"ITEM-3","itemData":{"DOI":"10.1016/j.celrep.2018.05.018","ISSN":"22111247","abstract":"We assessed the subsistence-related variation of the human gut microbiome at a fine resolution for two of the main dimensions of microbiome variation, age and geography. For this, we investigated the fecal microbiome and metabolome in rural Bassa and urbanized individuals from Nigeria, including infants, and compared data with worldwide populations practicing varying subsistence. Our data highlight specific microbiome traits that are progressively lost with urbanization, such as the dominance of pristine fiber degraders and the low inter-individual variation. For the Bassa, this last feature is the result of their subsistence-related practices favoring microbial dispersal, such as their extensive environmental contact and the usage of untreated waters from the Usuma River. The high degree of microbial dispersal observed in the Bassa meta-community nullifies the differences between infant and adult intestinal ecosystems, suggesting that the infant-type microbiome in Western populations could be the result of microbiome-associated neotenic traits favored by urbanization. Ayeni et al. characterize the fecal microbiome and metabolome of rural Bassa and urban individuals from Nigeria, including infants. Their findings stress the loss of ancient signatures along with urbanization and support distinct trajectories of development of the intestinal ecosystem in early life, depending on human subsistence.","author":[{"dropping-particle":"","family":"Ayeni","given":"Funmilola A.","non-dropping-particle":"","parse-names":false,"suffix":""},{"dropping-particle":"","family":"Biagi","given":"Elena","non-dropping-particle":"","parse-names":false,"suffix":""},{"dropping-particle":"","family":"Rampelli","given":"Simone","non-dropping-particle":"","parse-names":false,"suffix":""},{"dropping-particle":"","family":"Fiori","given":"Jessica","non-dropping-particle":"","parse-names":false,"suffix":""},{"dropping-particle":"","family":"Soverini","given":"Matteo","non-dropping-particle":"","parse-names":false,"suffix":""},{"dropping-particle":"","family":"Audu","given":"Haruna J.","non-dropping-particle":"","parse-names":false,"suffix":""},{"dropping-particle":"","family":"Cristino","given":"Sandra","non-dropping-particle":"","parse-names":false,"suffix":""},{"dropping-particle":"","family":"Caporali","given":"Leonardo","non-dropping-particle":"","parse-names":false,"suffix":""},{"dropping-particle":"","family":"Schnorr","given":"Stephanie L.","non-dropping-particle":"","parse-names":false,"suffix":""},{"dropping-particle":"","family":"Carelli","given":"Valerio","non-dropping-particle":"","parse-names":false,"suffix":""},{"dropping-particle":"","family":"Brigidi","given":"Patrizia","non-dropping-particle":"","parse-names":false,"suffix":""},{"dropping-particle":"","family":"Candela","given":"Marco","non-dropping-particle":"","parse-names":false,"suffix":""},{"dropping-particle":"","family":"Turroni","given":"Silvia","non-dropping-particle":"","parse-names":false,"suffix":""}],"container-title":"Cell Reports","id":"ITEM-3","issue":"10","issued":{"date-parts":[["2018"]]},"note":"Summary: Microbiome and metabolome analyses of rural Bassa and urban individuals from Nigeria, including infants. Identnfied specific microbiome and metabolomic traits lost with urbanization (Bassa infants and adults have similar mbms and mtbms). Aso compared with other populations' data from different geographies. Linked specific mbm and mtbm losses/differences to different lifestyle elements (rural/western-mixed diets, local remedies/antibiotics, supplemented/exclusive breastfeeding, river/potable water, sanitation)\n\nBassa = rural. 18 Bassa; 30 urban Nigerians. Did not record age of Bassa and did not record sex.\nFocused on pops that are geographically similar -- the urban groups live near the Bassa but practice a western lifestyle\n\nDid not record age (for Bassa), but did some basic age-based results of microbial abundance, which seems strange to me\n\nAlso examined microbial community of Usuma River (bassa water source)\n\nAlso used data from other projects to compare with theirt microbial data -- so they compare Bassa, urban, Hadza, Malawi rural, Venezuela rural, urban Italy, and urban USA","page":"3056-3067","publisher":"ElsevierCompany.","title":"Infant and Adult Gut Microbiome and Metabolome in Rural Bassa and Urban Settlers from Nigeria","type":"article-journal","volume":"23"},"uris":["http://www.mendeley.com/documents/?uuid=07e226d8-54b7-4856-bb55-95d8a8e91dae"]},{"id":"ITEM-4","itemData":{"DOI":"10.1038/srep32826","author":[{"dropping-particle":"","family":"Turroni","given":"Silvia","non-dropping-particle":"","parse-names":false,"suffix":""},{"dropping-particle":"","family":"Fiori","given":"Jessica","non-dropping-particle":"","parse-names":false,"suffix":""},{"dropping-particle":"","family":"Rampelli","given":"Simone","non-dropping-particle":"","parse-names":false,"suffix":""},{"dropping-particle":"","family":"Schnorr","given":"Stephanie L.","non-dropping-particle":"","parse-names":false,"suffix":""},{"dropping-particle":"","family":"Consolandi","given":"Clarissa","non-dropping-particle":"","parse-names":false,"suffix":""},{"dropping-particle":"","family":"Barone","given":"Monica","non-dropping-particle":"","parse-names":false,"suffix":""},{"dropping-particle":"","family":"Biagi","given":"Elena","non-dropping-particle":"","parse-names":false,"suffix":""},{"dropping-particle":"","family":"Fanelli","given":"Flaminia","non-dropping-particle":"","parse-names":false,"suffix":""},{"dropping-particle":"","family":"Mezzullo","given":"Marco","non-dropping-particle":"","parse-names":false,"suffix":""},{"dropping-particle":"","family":"Crittenden","given":"Alyssa N.","non-dropping-particle":"","parse-names":false,"suffix":""},{"dropping-particle":"","family":"Henry","given":"Amanda G.","non-dropping-particle":"","parse-names":false,"suffix":""},{"dropping-particle":"","family":"Brigidi","given":"Patrizia","non-dropping-particle":"","parse-names":false,"suffix":""},{"dropping-particle":"","family":"Candela","given":"Marco","non-dropping-particle":"","parse-names":false,"suffix":""}],"container-title":"Scientific Reports","id":"ITEM-4","issue":"1","issued":{"date-parts":[["2016"]]},"note":"Targeted","page":"1-9","publisher":"Nature Publishing Group","title":"Fecal metabolome of the Hadza hunter-gatherers: a host-microbiome integrative view","type":"article-journal","volume":"6"},"uris":["http://www.mendeley.com/documents/?uuid=91b4d94a-3657-4bf6-9095-53b2a78e6bf6"]},{"id":"ITEM-5","itemData":{"DOI":"10.1038/s41588-018-0135-7","ISSN":"15461718","abstract":"The human gut microbiome plays a key role in human health 1 , but 16S characterization lacks quantitative functional annotation 2 . The fecal metabolome provides a functional readout of microbial activity and can be used as an intermediate phenotype mediating host-microbiome interactions 3 . In this comprehensive description of the fecal metabolome, examining 1,116 metabolites from 786 individuals from a population-based twin study (TwinsUK), the fecal metabolome was found to be only modestly influenced by host genetics (heritability (H 2 ) = 17.9%). One replicated locus at the NAT2 gene was associated with fecal metabolic traits. The fecal metabolome largely reflects gut microbial composition, explaining on average 67.7% (±18.8%) of its variance. It is strongly associated with visceral-fat mass, thereby illustrating potential mechanisms underlying the well-established microbial influence on abdominal obesity. Fecal metabolic profiling thus is a novel tool to explore links among microbiome composition, host phenotypes, and heritable complex traits.","author":[{"dropping-particle":"","family":"Zierer","given":"Jonas","non-dropping-particle":"","parse-names":false,"suffix":""},{"dropping-particle":"","family":"Jackson","given":"Matthew A.","non-dropping-particle":"","parse-names":false,"suffix":""},{"dropping-particle":"","family":"Kastenmüller","given":"Gabi","non-dropping-particle":"","parse-names":false,"suffix":""},{"dropping-particle":"","family":"Mangino","given":"Massimo","non-dropping-particle":"","parse-names":false,"suffix":""},{"dropping-particle":"","family":"Long","given":"Tao","non-dropping-particle":"","parse-names":false,"suffix":""},{"dropping-particle":"","family":"Telenti","given":"Amalio","non-dropping-particle":"","parse-names":false,"suffix":""},{"dropping-particle":"","family":"Mohney","given":"Robert P.","non-dropping-particle":"","parse-names":false,"suffix":""},{"dropping-particle":"","family":"Small","given":"Kerrin S.","non-dropping-particle":"","parse-names":false,"suffix":""},{"dropping-particle":"","family":"Bell","given":"Jordana T.","non-dropping-particle":"","parse-names":false,"suffix":""},{"dropping-particle":"","family":"Steves","given":"Claire J.","non-dropping-particle":"","parse-names":false,"suffix":""},{"dropping-particle":"","family":"Valdes","given":"Ana M.","non-dropping-particle":"","parse-names":false,"suffix":""},{"dropping-particle":"","family":"Spector","given":"Tim D.","non-dropping-particle":"","parse-names":false,"suffix":""},{"dropping-particle":"","family":"Menni","given":"Cristina","non-dropping-particle":"","parse-names":false,"suffix":""}],"container-title":"Nature Genetics","id":"ITEM-5","issue":"6","issued":{"date-parts":[["2018"]]},"page":"790-795","title":"The fecal metabolome as a functional readout of the gut microbiome","type":"article-journal","volume":"50"},"uris":["http://www.mendeley.com/documents/?uuid=8493100a-52ea-4fa0-ab97-282d5fddf5af"]}],"mendeley":{"formattedCitation":"&lt;sup&gt;48–50,83,93&lt;/sup&gt;","plainTextFormattedCitation":"48–50,83,93","previouslyFormattedCitation":"&lt;sup&gt;48–50,83,93&lt;/sup&gt;"},"properties":{"noteIndex":0},"schema":"https://github.com/citation-style-language/schema/raw/master/csl-citation.json"}</w:instrText>
      </w:r>
      <w:r w:rsidR="00D10076" w:rsidRPr="00901194">
        <w:rPr>
          <w:rFonts w:cs="Times New Roman"/>
        </w:rPr>
        <w:fldChar w:fldCharType="separate"/>
      </w:r>
      <w:r w:rsidR="00AB5632" w:rsidRPr="00901194">
        <w:rPr>
          <w:rFonts w:cs="Times New Roman"/>
          <w:noProof/>
          <w:vertAlign w:val="superscript"/>
        </w:rPr>
        <w:t>48–50,83,93</w:t>
      </w:r>
      <w:r w:rsidR="00D10076" w:rsidRPr="00901194">
        <w:rPr>
          <w:rFonts w:cs="Times New Roman"/>
        </w:rPr>
        <w:fldChar w:fldCharType="end"/>
      </w:r>
      <w:r w:rsidRPr="00901194">
        <w:rPr>
          <w:rFonts w:cs="Times New Roman"/>
        </w:rPr>
        <w:t>. As a result, these studies do not represent ranges of human diversity and behavior, highlighting the need for broader investigations of the human fecal metabolome in terms of geographic range and chemical space.</w:t>
      </w:r>
    </w:p>
    <w:p w14:paraId="021A331E" w14:textId="34592B1A" w:rsidR="00D965EA" w:rsidRPr="00901194" w:rsidRDefault="00F41E05" w:rsidP="00D10076">
      <w:pPr>
        <w:ind w:firstLine="720"/>
        <w:rPr>
          <w:rFonts w:cs="Times New Roman"/>
        </w:rPr>
      </w:pPr>
      <w:r w:rsidRPr="00901194">
        <w:rPr>
          <w:rFonts w:cs="Times New Roman"/>
        </w:rPr>
        <w:t xml:space="preserve">We performed untargeted liquid chromatography mass spectrometry (LC-MS)-based metabolomics on 90 fecal samples obtained from six human populations from diverse geographic regions (Figure </w:t>
      </w:r>
      <w:r w:rsidR="000D0CA3" w:rsidRPr="00901194">
        <w:rPr>
          <w:rFonts w:cs="Times New Roman"/>
        </w:rPr>
        <w:t>2</w:t>
      </w:r>
      <w:r w:rsidR="005B55F9" w:rsidRPr="00901194">
        <w:rPr>
          <w:rFonts w:cs="Times New Roman"/>
        </w:rPr>
        <w:t>.</w:t>
      </w:r>
      <w:r w:rsidRPr="00901194">
        <w:rPr>
          <w:rFonts w:cs="Times New Roman"/>
        </w:rPr>
        <w:t xml:space="preserve">1a; Table </w:t>
      </w:r>
      <w:r w:rsidR="000D0CA3" w:rsidRPr="00901194">
        <w:rPr>
          <w:rFonts w:cs="Times New Roman"/>
        </w:rPr>
        <w:t>2</w:t>
      </w:r>
      <w:r w:rsidR="005B55F9" w:rsidRPr="00901194">
        <w:rPr>
          <w:rFonts w:cs="Times New Roman"/>
        </w:rPr>
        <w:t>.</w:t>
      </w:r>
      <w:r w:rsidRPr="00901194">
        <w:rPr>
          <w:rFonts w:cs="Times New Roman"/>
        </w:rPr>
        <w:t>1; Table S</w:t>
      </w:r>
      <w:r w:rsidR="005B55F9" w:rsidRPr="00901194">
        <w:rPr>
          <w:rFonts w:cs="Times New Roman"/>
        </w:rPr>
        <w:t>2.</w:t>
      </w:r>
      <w:r w:rsidRPr="00901194">
        <w:rPr>
          <w:rFonts w:cs="Times New Roman"/>
        </w:rPr>
        <w:t xml:space="preserve">1). These populations included male and female children and adults. Our sampled populations were categorized corresponding with their degree of industrialization, based on lifestyle factors such as dietary practices, built environment, population, etc. (see Materials and Methods for further details on categorization). Importantly, we included two populations with similar degrees of industrialization but from distinct </w:t>
      </w:r>
      <w:r w:rsidRPr="00901194">
        <w:rPr>
          <w:rFonts w:cs="Times New Roman"/>
        </w:rPr>
        <w:lastRenderedPageBreak/>
        <w:t>continents, to control for any geographic confounders. This key aspect had not been considered in prior industrialization-focused metabolomics research. Our populations include: Norman (USA; urban industrial; 18 samples); Guayabo (Peru; rural industrial; 12 samples); Tambo de Mora (Peru; rural industrial; 14 samples); Boulkiemdé (Burkina Faso; rural traditional; 11 samples); Tunapuco (Peru; rural traditional; 24 samples); and Matses (Peru; isolated traditional; 11 samples).</w:t>
      </w:r>
    </w:p>
    <w:p w14:paraId="0B231510" w14:textId="52D9D6C0" w:rsidR="002B1027" w:rsidRPr="00901194" w:rsidRDefault="002B1027" w:rsidP="002B1027">
      <w:pPr>
        <w:pStyle w:val="Sub-ChapterHading"/>
      </w:pPr>
      <w:bookmarkStart w:id="16" w:name="_Toc134185950"/>
      <w:r w:rsidRPr="00901194">
        <w:t>2.3 MATERIALS AND METHODS</w:t>
      </w:r>
      <w:bookmarkEnd w:id="16"/>
    </w:p>
    <w:p w14:paraId="4A32AB25" w14:textId="5C5329E5" w:rsidR="00D02195" w:rsidRPr="00901194" w:rsidRDefault="00D02195" w:rsidP="00B971BC">
      <w:pPr>
        <w:pStyle w:val="Subsub-chapterHeading"/>
      </w:pPr>
      <w:bookmarkStart w:id="17" w:name="_Toc134185951"/>
      <w:r w:rsidRPr="00901194">
        <w:t>Project Design</w:t>
      </w:r>
      <w:bookmarkEnd w:id="17"/>
    </w:p>
    <w:p w14:paraId="4EF62145" w14:textId="2CFB395E" w:rsidR="00584AE4" w:rsidRDefault="00D02195" w:rsidP="00584AE4">
      <w:pPr>
        <w:ind w:firstLine="720"/>
        <w:rPr>
          <w:rFonts w:cs="Times New Roman"/>
          <w:szCs w:val="24"/>
        </w:rPr>
      </w:pPr>
      <w:r w:rsidRPr="00901194">
        <w:rPr>
          <w:rFonts w:cs="Times New Roman"/>
          <w:szCs w:val="24"/>
        </w:rPr>
        <w:t>Fecal samples from six human populations were analyzed, representing ranges of industrialization. Populations were categorized to reflect varying degrees of lifestyle behavior and industrialization, based on diet, access to pharmacies and public markets/stores, housing structure, and population density</w:t>
      </w:r>
      <w:r w:rsidRPr="00901194">
        <w:rPr>
          <w:rFonts w:cs="Times New Roman"/>
          <w:szCs w:val="24"/>
        </w:rPr>
        <w:fldChar w:fldCharType="begin" w:fldLock="1"/>
      </w:r>
      <w:r w:rsidR="000A1931" w:rsidRPr="00901194">
        <w:rPr>
          <w:rFonts w:cs="Times New Roman"/>
          <w:szCs w:val="24"/>
        </w:rPr>
        <w:instrText>ADDIN CSL_CITATION {"citationItems":[{"id":"ITEM-1","itemData":{"DOI":"10.1038/s41564-019-0593-4","ISSN":"20585276","abstract":"Urbanization represents a profound shift in human behaviour, and has considerable cultural and health-associated consequences1,2. Here, we investigate chemical and microbial characteristics of houses and their human occupants across an urbanization gradient in the Amazon rainforest, from a remote Peruvian Amerindian village to the Brazilian city of Manaus. Urbanization was found to be associated with reduced microbial outdoor exposure, increased contact with housing materials, antimicrobials and cleaning products, and increased exposure to chemical diversity. The degree of urbanization correlated with changes in the composition of house bacterial and microeukaryotic communities, increased house and skin fungal diversity, and an increase in the relative abundance of human skin-associated fungi and bacteria in houses. Overall, our results indicate that urbanization has large-scale effects on chemical and microbial exposures and on the human microbiota.","author":[{"dropping-particle":"","family":"McCall","given":"Laura Isobel","non-dropping-particle":"","parse-names":false,"suffix":""},{"dropping-particle":"","family":"Callewaert","given":"Chris","non-dropping-particle":"","parse-names":false,"suffix":""},{"dropping-particle":"","family":"Zhu","given":"Qiyun","non-dropping-particle":"","parse-names":false,"suffix":""},{"dropping-particle":"","family":"Song","given":"Se Jin","non-dropping-particle":"","parse-names":false,"suffix":""},{"dropping-particle":"","family":"Bouslimani","given":"Amina","non-dropping-particle":"","parse-names":false,"suffix":""},{"dropping-particle":"","family":"Minich","given":"Jeremiah J.","non-dropping-particle":"","parse-names":false,"suffix":""},{"dropping-particle":"","family":"Ernst","given":"Madeleine","non-dropping-particle":"","parse-names":false,"suffix":""},{"dropping-particle":"","family":"Ruiz-Calderon","given":"Jean F.","non-dropping-particle":"","parse-names":false,"suffix":""},{"dropping-particle":"","family":"Cavallin","given":"Humberto","non-dropping-particle":"","parse-names":false,"suffix":""},{"dropping-particle":"","family":"Pereira","given":"Henrique S.","non-dropping-particle":"","parse-names":false,"suffix":""},{"dropping-particle":"","family":"Novoselac","given":"Atila","non-dropping-particle":"","parse-names":false,"suffix":""},{"dropping-particle":"","family":"Hernandez","given":"Jean","non-dropping-particle":"","parse-names":false,"suffix":""},{"dropping-particle":"","family":"Rios","given":"Rafael","non-dropping-particle":"","parse-names":false,"suffix":""},{"dropping-particle":"","family":"Branch","given":"Ora Lee H.","non-dropping-particle":"","parse-names":false,"suffix":""},{"dropping-particle":"","family":"Blaser","given":"Martin J.","non-dropping-particle":"","parse-names":false,"suffix":""},{"dropping-particle":"","family":"Paulino","given":"Luciana C.","non-dropping-particle":"","parse-names":false,"suffix":""},{"dropping-particle":"","family":"Dorrestein","given":"Pieter C.","non-dropping-particle":"","parse-names":false,"suffix":""},{"dropping-particle":"","family":"Knight","given":"Rob","non-dropping-particle":"","parse-names":false,"suffix":""},{"dropping-particle":"","family":"Dominguez-Bello","given":"Maria G.","non-dropping-particle":"","parse-names":false,"suffix":""}],"container-title":"Nature Microbiology","id":"ITEM-1","issued":{"date-parts":[["2020"]]},"note":"Sampling locations:\nChecherta (rainforest), Puerto Almendra (rural village), Iquitos (large town), Manaus (metropolis)","publisher":"Springer US","title":"Home chemical and microbial transitions across urbanization","type":"article-journal"},"uris":["http://www.mendeley.com/documents/?uuid=c13f061b-e8d3-4938-988f-68085fd8d78d"]}],"mendeley":{"formattedCitation":"&lt;sup&gt;43&lt;/sup&gt;","plainTextFormattedCitation":"43","previouslyFormattedCitation":"&lt;sup&gt;43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43</w:t>
      </w:r>
      <w:r w:rsidRPr="00901194">
        <w:rPr>
          <w:rFonts w:cs="Times New Roman"/>
          <w:szCs w:val="24"/>
        </w:rPr>
        <w:fldChar w:fldCharType="end"/>
      </w:r>
      <w:r w:rsidRPr="00901194">
        <w:rPr>
          <w:rFonts w:cs="Times New Roman"/>
          <w:szCs w:val="24"/>
        </w:rPr>
        <w:t xml:space="preserve">. Grouped categories are: urban industrialized (highly industrial urban population, typical Western industrialized population; </w:t>
      </w:r>
      <w:r w:rsidRPr="00901194">
        <w:rPr>
          <w:rFonts w:cs="Times New Roman"/>
          <w:i/>
          <w:iCs/>
          <w:szCs w:val="24"/>
        </w:rPr>
        <w:t>n</w:t>
      </w:r>
      <w:r w:rsidRPr="00901194">
        <w:rPr>
          <w:rFonts w:cs="Times New Roman"/>
          <w:szCs w:val="24"/>
        </w:rPr>
        <w:t xml:space="preserve">=18); rural industrialized (industrialized population, but primarily rural environment over urban; </w:t>
      </w:r>
      <w:r w:rsidRPr="00901194">
        <w:rPr>
          <w:rFonts w:cs="Times New Roman"/>
          <w:i/>
          <w:iCs/>
          <w:szCs w:val="24"/>
        </w:rPr>
        <w:t>n</w:t>
      </w:r>
      <w:r w:rsidRPr="00901194">
        <w:rPr>
          <w:rFonts w:cs="Times New Roman"/>
          <w:szCs w:val="24"/>
        </w:rPr>
        <w:t xml:space="preserve">=26); rural traditional (rural communities with some industrialization; </w:t>
      </w:r>
      <w:r w:rsidRPr="00901194">
        <w:rPr>
          <w:rFonts w:cs="Times New Roman"/>
          <w:i/>
          <w:iCs/>
          <w:szCs w:val="24"/>
        </w:rPr>
        <w:t>n</w:t>
      </w:r>
      <w:r w:rsidRPr="00901194">
        <w:rPr>
          <w:rFonts w:cs="Times New Roman"/>
          <w:szCs w:val="24"/>
        </w:rPr>
        <w:t xml:space="preserve">=35); and isolated traditional (isolated rural community with little to no industrialization influence; </w:t>
      </w:r>
      <w:r w:rsidRPr="00901194">
        <w:rPr>
          <w:rFonts w:cs="Times New Roman"/>
          <w:i/>
          <w:iCs/>
          <w:szCs w:val="24"/>
        </w:rPr>
        <w:t>n</w:t>
      </w:r>
      <w:r w:rsidRPr="00901194">
        <w:rPr>
          <w:rFonts w:cs="Times New Roman"/>
          <w:szCs w:val="24"/>
        </w:rPr>
        <w:t>=11). The study populations include: Norman (</w:t>
      </w:r>
      <w:r w:rsidRPr="00901194">
        <w:rPr>
          <w:rFonts w:cs="Times New Roman"/>
          <w:i/>
          <w:iCs/>
          <w:szCs w:val="24"/>
        </w:rPr>
        <w:t>n</w:t>
      </w:r>
      <w:r w:rsidRPr="00901194">
        <w:rPr>
          <w:rFonts w:cs="Times New Roman"/>
          <w:szCs w:val="24"/>
        </w:rPr>
        <w:t>=18), Oklahoma, USA, a standard Western industrialization population located in the Oklahoma City metropolitan area; Guayabo (</w:t>
      </w:r>
      <w:r w:rsidRPr="00901194">
        <w:rPr>
          <w:rFonts w:cs="Times New Roman"/>
          <w:i/>
          <w:iCs/>
          <w:szCs w:val="24"/>
        </w:rPr>
        <w:t>n</w:t>
      </w:r>
      <w:r w:rsidRPr="00901194">
        <w:rPr>
          <w:rFonts w:cs="Times New Roman"/>
          <w:szCs w:val="24"/>
        </w:rPr>
        <w:t>=12), Peru, a large rural town influenced by industrialization; Tambo de Mora district  (</w:t>
      </w:r>
      <w:r w:rsidRPr="00901194">
        <w:rPr>
          <w:rFonts w:cs="Times New Roman"/>
          <w:i/>
          <w:iCs/>
          <w:szCs w:val="24"/>
        </w:rPr>
        <w:t>n</w:t>
      </w:r>
      <w:r w:rsidRPr="00901194">
        <w:rPr>
          <w:rFonts w:cs="Times New Roman"/>
          <w:szCs w:val="24"/>
        </w:rPr>
        <w:t>=14), Peru, a large rural district influenced by industrialization; Boulkiemdé province (</w:t>
      </w:r>
      <w:r w:rsidRPr="00901194">
        <w:rPr>
          <w:rFonts w:cs="Times New Roman"/>
          <w:i/>
          <w:iCs/>
          <w:szCs w:val="24"/>
        </w:rPr>
        <w:t>n</w:t>
      </w:r>
      <w:r w:rsidRPr="00901194">
        <w:rPr>
          <w:rFonts w:cs="Times New Roman"/>
          <w:szCs w:val="24"/>
        </w:rPr>
        <w:t>=11), Burkina Faso, with some industrialization influence; Tunapuco (</w:t>
      </w:r>
      <w:r w:rsidRPr="00901194">
        <w:rPr>
          <w:rFonts w:cs="Times New Roman"/>
          <w:i/>
          <w:iCs/>
          <w:szCs w:val="24"/>
        </w:rPr>
        <w:t>n</w:t>
      </w:r>
      <w:r w:rsidRPr="00901194">
        <w:rPr>
          <w:rFonts w:cs="Times New Roman"/>
          <w:szCs w:val="24"/>
        </w:rPr>
        <w:t>=24), a traditional rural community located in the Andean Highlands with minimal industrialization influence; and the Matses (</w:t>
      </w:r>
      <w:r w:rsidRPr="00901194">
        <w:rPr>
          <w:rFonts w:cs="Times New Roman"/>
          <w:i/>
          <w:iCs/>
          <w:szCs w:val="24"/>
        </w:rPr>
        <w:t>n</w:t>
      </w:r>
      <w:r w:rsidRPr="00901194">
        <w:rPr>
          <w:rFonts w:cs="Times New Roman"/>
          <w:szCs w:val="24"/>
        </w:rPr>
        <w:t xml:space="preserve">=11), an isolated traditional hunter-gatherer community from the Peruvian Amazon (Figure </w:t>
      </w:r>
      <w:r w:rsidR="00FD37FB" w:rsidRPr="00901194">
        <w:rPr>
          <w:rFonts w:cs="Times New Roman"/>
          <w:szCs w:val="24"/>
        </w:rPr>
        <w:t>2.</w:t>
      </w:r>
      <w:r w:rsidRPr="00901194">
        <w:rPr>
          <w:rFonts w:cs="Times New Roman"/>
          <w:szCs w:val="24"/>
        </w:rPr>
        <w:t xml:space="preserve">1; Table </w:t>
      </w:r>
      <w:r w:rsidR="00FD37FB" w:rsidRPr="00901194">
        <w:rPr>
          <w:rFonts w:cs="Times New Roman"/>
          <w:szCs w:val="24"/>
        </w:rPr>
        <w:t>2.</w:t>
      </w:r>
      <w:r w:rsidRPr="00901194">
        <w:rPr>
          <w:rFonts w:cs="Times New Roman"/>
          <w:szCs w:val="24"/>
        </w:rPr>
        <w:t>1; Table S</w:t>
      </w:r>
      <w:r w:rsidR="00FD37FB" w:rsidRPr="00901194">
        <w:rPr>
          <w:rFonts w:cs="Times New Roman"/>
          <w:szCs w:val="24"/>
        </w:rPr>
        <w:t>2.</w:t>
      </w:r>
      <w:r w:rsidRPr="00901194">
        <w:rPr>
          <w:rFonts w:cs="Times New Roman"/>
          <w:szCs w:val="24"/>
        </w:rPr>
        <w:t xml:space="preserve">1). All </w:t>
      </w:r>
      <w:r w:rsidRPr="00901194">
        <w:rPr>
          <w:rFonts w:cs="Times New Roman"/>
          <w:szCs w:val="24"/>
        </w:rPr>
        <w:lastRenderedPageBreak/>
        <w:t>populations contained both males and females of ages three to 77. Individuals under the age of three were excluded from analyses because gut microbiomes do not stabilize and resemble adult microbiomes until after age three</w:t>
      </w:r>
      <w:r w:rsidRPr="00901194">
        <w:rPr>
          <w:rFonts w:cs="Times New Roman"/>
          <w:szCs w:val="24"/>
        </w:rPr>
        <w:fldChar w:fldCharType="begin" w:fldLock="1"/>
      </w:r>
      <w:r w:rsidR="000A1931" w:rsidRPr="00901194">
        <w:rPr>
          <w:rFonts w:cs="Times New Roman"/>
          <w:szCs w:val="24"/>
        </w:rPr>
        <w:instrText>ADDIN CSL_CITATION {"citationItems":[{"id":"ITEM-1","itemData":{"DOI":"10.1073/pnas.1000097107","ISSN":"10916490","abstract":"Alterations in the human intestinal microbiota are linked to conditions including inflammatory bowel disease, irritable bowel syndrome, and obesity. The microbiota also undergoes substantial changes at the extremes of life, in infants and older people, the ramifications of which are still being explored. We applied pyrosequencing of over 40,000 16S rRNA gene V4 region amplicons per subject to characterize the fecal microbiota in 161 subjects aged 65 y and older and 9 younger control subjects. The microbiota of each individual subject constituted a unique profile that was separable from all others. In 68% of the individuals, the microbiota was dominated by phylum Bacteroides, with an average proportion of 57% across all 161 baseline samples. Phylum Firmicutes had an average proportion of 40%. The proportions of some phyla and genera associated with disease or health also varied dramatically, including Proteobacteria, Actinobacteria, and Faecalibacteria. The core microbiota of elderly subjects was distinct from that previously established for younger adults, with a greater proportion of Bacteroides spp. and distinct abundance patterns of Clostridium groups. Analyses of 26 fecal microbiota datasets from 3-month follow-up samples indicated that in 85% of the subjects, the microbiota composition was more like the corresponding time-0 sample than any other dataset. We conclude that the fecal microbiota of the elderly shows temporal stability over limited time in the majority of subjects but is characterized by unusual phylum proportions and extreme variability.","author":[{"dropping-particle":"","family":"Claesson","given":"Marcus J.","non-dropping-particle":"","parse-names":false,"suffix":""},{"dropping-particle":"","family":"Cusack","given":"Siobhán","non-dropping-particle":"","parse-names":false,"suffix":""},{"dropping-particle":"","family":"O'Sullivan","given":"Orla","non-dropping-particle":"","parse-names":false,"suffix":""},{"dropping-particle":"","family":"Greene-Diniz","given":"Rachel","non-dropping-particle":"","parse-names":false,"suffix":""},{"dropping-particle":"","family":"Weerd","given":"Heleen","non-dropping-particle":"De","parse-names":false,"suffix":""},{"dropping-particle":"","family":"Flannery","given":"Edel","non-dropping-particle":"","parse-names":false,"suffix":""},{"dropping-particle":"","family":"Marchesi","given":"Julian R.","non-dropping-particle":"","parse-names":false,"suffix":""},{"dropping-particle":"","family":"Falush","given":"Daniel","non-dropping-particle":"","parse-names":false,"suffix":""},{"dropping-particle":"","family":"Dinan","given":"Timothy","non-dropping-particle":"","parse-names":false,"suffix":""},{"dropping-particle":"","family":"Fitzgerald","given":"Gerald","non-dropping-particle":"","parse-names":false,"suffix":""},{"dropping-particle":"","family":"Stanton","given":"Catherine","non-dropping-particle":"","parse-names":false,"suffix":""},{"dropping-particle":"","family":"Sinderen","given":"Douwe","non-dropping-particle":"Van","parse-names":false,"suffix":""},{"dropping-particle":"","family":"O'Connor","given":"Michael","non-dropping-particle":"","parse-names":false,"suffix":""},{"dropping-particle":"","family":"Harnedy","given":"Norma","non-dropping-particle":"","parse-names":false,"suffix":""},{"dropping-particle":"","family":"O'Connor","given":"Kieran","non-dropping-particle":"","parse-names":false,"suffix":""},{"dropping-particle":"","family":"Henry","given":"Colm","non-dropping-particle":"","parse-names":false,"suffix":""},{"dropping-particle":"","family":"O'Mahony","given":"Denis","non-dropping-particle":"","parse-names":false,"suffix":""},{"dropping-particle":"","family":"Fitzgerald","given":"Anthony P.","non-dropping-particle":"","parse-names":false,"suffix":""},{"dropping-particle":"","family":"Shanahan","given":"Fergus","non-dropping-particle":"","parse-names":false,"suffix":""},{"dropping-particle":"","family":"Twomey","given":"Cillian","non-dropping-particle":"","parse-names":false,"suffix":""},{"dropping-particle":"","family":"Hill","given":"Colin","non-dropping-particle":"","parse-names":false,"suffix":""},{"dropping-particle":"","family":"Ross","given":"R. Paul","non-dropping-particle":"","parse-names":false,"suffix":""},{"dropping-particle":"","family":"O'Toole","given":"Paul W.","non-dropping-particle":"","parse-names":false,"suffix":""}],"container-title":"Proceedings of the National Academy of Sciences of the United States of America","id":"ITEM-1","issue":"SUPPL. 1","issued":{"date-parts":[["2011"]]},"page":"4586-4591","title":"Composition, variability, and temporal stability of the intestinal microbiota of the elderly","type":"article-journal","volume":"108"},"uris":["http://www.mendeley.com/documents/?uuid=7a4f9de3-c5d3-442f-bbea-d282755781ec"]},{"id":"ITEM-2","itemData":{"DOI":"10.1038/nature11053","ISSN":"00280836","PMID":"22699611","abstract":"Gut microbial communities represent one source of human genetic and metabolic diversity. To examine how gut microbiomes differ among human populations, here we characterize bacterial species in fecal samples from 531 individuals, plus the gene content of 110 of them. The cohort encompassed healthy children and adults from the Amazonas of Venezuela, rural Malawi and US metropolitan areas and included mono-and dizygotic twins. Shared features of the functional maturation of the gut microbiome were identified during the first three years of life in all three populations, including age-associated changes in the genes involved in vitamin biosynthesis and metabolism. Pronounced differences in bacterial assemblages and functional gene repertoires were noted between US residents and those in the other two countries. These distinctive features are evident in early infancy as well as adulthood. Our findings underscore the need to consider the microbiome when evaluating human development, nutritional needs, physiological variations and the impact of westernization. © 2012 Macmillan Publishers Limited. All rights reserved.","author":[{"dropping-particle":"","family":"Yatsunenko","given":"Tanya","non-dropping-particle":"","parse-names":false,"suffix":""},{"dropping-particle":"","family":"Rey","given":"Federico E.","non-dropping-particle":"","parse-names":false,"suffix":""},{"dropping-particle":"","family":"Manary","given":"Mark J.","non-dropping-particle":"","parse-names":false,"suffix":""},{"dropping-particle":"","family":"Trehan","given":"Indi","non-dropping-particle":"","parse-names":false,"suffix":""},{"dropping-particle":"","family":"Dominguez-Bello","given":"Maria Gloria","non-dropping-particle":"","parse-names":false,"suffix":""},{"dropping-particle":"","family":"Contreras","given":"Monica","non-dropping-particle":"","parse-names":false,"suffix":""},{"dropping-particle":"","family":"Magris","given":"Magda","non-dropping-particle":"","parse-names":false,"suffix":""},{"dropping-particle":"","family":"Hidalgo","given":"Glida","non-dropping-particle":"","parse-names":false,"suffix":""},{"dropping-particle":"","family":"Baldassano","given":"Robert N.","non-dropping-particle":"","parse-names":false,"suffix":""},{"dropping-particle":"","family":"Anokhin","given":"Andrey P.","non-dropping-particle":"","parse-names":false,"suffix":""},{"dropping-particle":"","family":"Heath","given":"Andrew C.","non-dropping-particle":"","parse-names":false,"suffix":""},{"dropping-particle":"","family":"Warner","given":"Barbara","non-dropping-particle":"","parse-names":false,"suffix":""},{"dropping-particle":"","family":"Reeder","given":"Jens","non-dropping-particle":"","parse-names":false,"suffix":""},{"dropping-particle":"","family":"Kuczynski","given":"Justin","non-dropping-particle":"","parse-names":false,"suffix":""},{"dropping-particle":"","family":"Caporaso","given":"J. Gregory","non-dropping-particle":"","parse-names":false,"suffix":""},{"dropping-particle":"","family":"Lozupone","given":"Catherine A.","non-dropping-particle":"","parse-names":false,"suffix":""},{"dropping-particle":"","family":"Lauber","given":"Christian","non-dropping-particle":"","parse-names":false,"suffix":""},{"dropping-particle":"","family":"Clemente","given":"Jose Carlos","non-dropping-particle":"","parse-names":false,"suffix":""},{"dropping-particle":"","family":"Knights","given":"Dan","non-dropping-particle":"","parse-names":false,"suffix":""},{"dropping-particle":"","family":"Knight","given":"Rob","non-dropping-particle":"","parse-names":false,"suffix":""},{"dropping-particle":"","family":"Gordon","given":"Jeffrey I.","non-dropping-particle":"","parse-names":false,"suffix":""}],"container-title":"Nature","id":"ITEM-2","issue":"7402","issued":{"date-parts":[["2012"]]},"note":"Summary: Examine bacterial species in 531 individuals (plus shotgun seq for gene content for 110) from Venezuela, rual Malawai, and US metropolitan areas. Included mono- and dizygotic twins. 326 samples &amp;lt;18 years old, 202 adults. Found major patterns about when mbm stabilizes (~3 years) as well as kinship associations\n\nShows industrialization &amp;gt; geography","page":"222-227","title":"Human gut microbiome viewed across age and geography","type":"article-journal","volume":"486"},"uris":["http://www.mendeley.com/documents/?uuid=6b039edb-37cb-4002-9e8d-d44e2dc9829d"]}],"mendeley":{"formattedCitation":"&lt;sup&gt;94,95&lt;/sup&gt;","plainTextFormattedCitation":"94,95","previouslyFormattedCitation":"&lt;sup&gt;94,95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94,95</w:t>
      </w:r>
      <w:r w:rsidRPr="00901194">
        <w:rPr>
          <w:rFonts w:cs="Times New Roman"/>
          <w:szCs w:val="24"/>
        </w:rPr>
        <w:fldChar w:fldCharType="end"/>
      </w:r>
      <w:r w:rsidRPr="00901194">
        <w:rPr>
          <w:rFonts w:cs="Times New Roman"/>
          <w:szCs w:val="24"/>
        </w:rPr>
        <w:t xml:space="preserve">. </w:t>
      </w:r>
      <w:r w:rsidR="00FA1A4F" w:rsidRPr="00901194">
        <w:rPr>
          <w:rFonts w:cs="Times New Roman"/>
          <w:szCs w:val="24"/>
        </w:rPr>
        <w:t xml:space="preserve">Dietary information was collected through standardized </w:t>
      </w:r>
      <w:r w:rsidR="00157D3E" w:rsidRPr="00901194">
        <w:rPr>
          <w:rFonts w:cs="Times New Roman"/>
          <w:szCs w:val="24"/>
        </w:rPr>
        <w:t xml:space="preserve">questionnaires and personal interviews with </w:t>
      </w:r>
      <w:r w:rsidR="00FA1A4F" w:rsidRPr="00901194">
        <w:rPr>
          <w:rFonts w:cs="Times New Roman"/>
          <w:szCs w:val="24"/>
        </w:rPr>
        <w:t>the sample donors</w:t>
      </w:r>
      <w:r w:rsidR="00157D3E" w:rsidRPr="00901194">
        <w:rPr>
          <w:rFonts w:cs="Times New Roman"/>
          <w:szCs w:val="24"/>
        </w:rPr>
        <w:t xml:space="preserve">. Thus, </w:t>
      </w:r>
      <w:r w:rsidR="00FA1A4F" w:rsidRPr="00901194">
        <w:rPr>
          <w:rFonts w:cs="Times New Roman"/>
          <w:szCs w:val="24"/>
        </w:rPr>
        <w:t xml:space="preserve">all </w:t>
      </w:r>
      <w:r w:rsidR="00157D3E" w:rsidRPr="00901194">
        <w:rPr>
          <w:rFonts w:cs="Times New Roman"/>
          <w:szCs w:val="24"/>
        </w:rPr>
        <w:t xml:space="preserve">diet </w:t>
      </w:r>
      <w:r w:rsidR="00FA1A4F" w:rsidRPr="00901194">
        <w:rPr>
          <w:rFonts w:cs="Times New Roman"/>
          <w:szCs w:val="24"/>
        </w:rPr>
        <w:t xml:space="preserve">information was </w:t>
      </w:r>
      <w:r w:rsidR="00584AE4" w:rsidRPr="00584AE4">
        <w:drawing>
          <wp:anchor distT="0" distB="0" distL="114300" distR="114300" simplePos="0" relativeHeight="251795456" behindDoc="0" locked="0" layoutInCell="1" allowOverlap="1" wp14:anchorId="3E47F330" wp14:editId="3CD49122">
            <wp:simplePos x="0" y="0"/>
            <wp:positionH relativeFrom="margin">
              <wp:align>right</wp:align>
            </wp:positionH>
            <wp:positionV relativeFrom="paragraph">
              <wp:posOffset>1776388</wp:posOffset>
            </wp:positionV>
            <wp:extent cx="5943600" cy="469265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692650"/>
                    </a:xfrm>
                    <a:prstGeom prst="rect">
                      <a:avLst/>
                    </a:prstGeom>
                    <a:noFill/>
                    <a:ln>
                      <a:noFill/>
                    </a:ln>
                  </pic:spPr>
                </pic:pic>
              </a:graphicData>
            </a:graphic>
          </wp:anchor>
        </w:drawing>
      </w:r>
      <w:r w:rsidR="00FA1A4F" w:rsidRPr="00901194">
        <w:rPr>
          <w:rFonts w:cs="Times New Roman"/>
          <w:szCs w:val="24"/>
        </w:rPr>
        <w:t>self-reported</w:t>
      </w:r>
      <w:r w:rsidR="00157D3E" w:rsidRPr="00901194">
        <w:rPr>
          <w:rFonts w:cs="Times New Roman"/>
          <w:szCs w:val="24"/>
        </w:rPr>
        <w:t xml:space="preserve"> based on these questionnaires and interviews</w:t>
      </w:r>
      <w:r w:rsidR="00FA1A4F" w:rsidRPr="00901194">
        <w:rPr>
          <w:rFonts w:cs="Times New Roman"/>
          <w:szCs w:val="24"/>
        </w:rPr>
        <w:t>.</w:t>
      </w:r>
      <w:r w:rsidR="00584AE4" w:rsidRPr="00584AE4">
        <w:rPr>
          <w:rFonts w:cs="Times New Roman"/>
          <w:szCs w:val="24"/>
        </w:rPr>
        <w:t xml:space="preserve"> </w:t>
      </w:r>
    </w:p>
    <w:p w14:paraId="38B4CC72" w14:textId="3EB12592" w:rsidR="00615648" w:rsidRPr="00901194" w:rsidRDefault="00615648" w:rsidP="00584AE4">
      <w:pPr>
        <w:ind w:firstLine="720"/>
        <w:rPr>
          <w:b/>
          <w:bCs/>
        </w:rPr>
      </w:pPr>
      <w:bookmarkStart w:id="18" w:name="_Toc131186547"/>
      <w:r w:rsidRPr="00901194">
        <w:rPr>
          <w:b/>
        </w:rPr>
        <w:t xml:space="preserve">Table </w:t>
      </w:r>
      <w:r w:rsidR="00F46DFA" w:rsidRPr="00901194">
        <w:rPr>
          <w:b/>
        </w:rPr>
        <w:t>2.</w:t>
      </w:r>
      <w:r w:rsidRPr="00901194">
        <w:rPr>
          <w:b/>
        </w:rPr>
        <w:t>1</w:t>
      </w:r>
      <w:r w:rsidR="00F46DFA" w:rsidRPr="00901194">
        <w:rPr>
          <w:b/>
        </w:rPr>
        <w:t>:</w:t>
      </w:r>
      <w:r w:rsidRPr="00901194">
        <w:rPr>
          <w:b/>
        </w:rPr>
        <w:t xml:space="preserve"> Sampled population metadata.</w:t>
      </w:r>
      <w:bookmarkEnd w:id="18"/>
      <w:r w:rsidRPr="00901194">
        <w:rPr>
          <w:b/>
        </w:rPr>
        <w:t xml:space="preserve"> </w:t>
      </w:r>
    </w:p>
    <w:p w14:paraId="6C2FFFCA" w14:textId="16EA7772" w:rsidR="00D02195" w:rsidRPr="00901194" w:rsidRDefault="00D02195" w:rsidP="00B971BC">
      <w:pPr>
        <w:pStyle w:val="Subsub-chapterHeading"/>
      </w:pPr>
      <w:bookmarkStart w:id="19" w:name="_Toc134185952"/>
      <w:r w:rsidRPr="00901194">
        <w:t>Populations</w:t>
      </w:r>
      <w:bookmarkEnd w:id="19"/>
    </w:p>
    <w:p w14:paraId="0874DBDA" w14:textId="55809CD4" w:rsidR="00D02195" w:rsidRPr="00901194" w:rsidRDefault="00D02195" w:rsidP="00D02195">
      <w:pPr>
        <w:ind w:firstLine="720"/>
        <w:rPr>
          <w:rFonts w:cs="Times New Roman"/>
          <w:szCs w:val="24"/>
        </w:rPr>
      </w:pPr>
      <w:r w:rsidRPr="00901194">
        <w:rPr>
          <w:rFonts w:cs="Times New Roman"/>
          <w:szCs w:val="24"/>
        </w:rPr>
        <w:t>Fecal samples from Norman, Oklahoma, USA, were analyzed for this project (</w:t>
      </w:r>
      <w:r w:rsidRPr="00901194">
        <w:rPr>
          <w:rFonts w:cs="Times New Roman"/>
          <w:i/>
          <w:iCs/>
          <w:szCs w:val="24"/>
        </w:rPr>
        <w:t>n</w:t>
      </w:r>
      <w:r w:rsidRPr="00901194">
        <w:rPr>
          <w:rFonts w:cs="Times New Roman"/>
          <w:szCs w:val="24"/>
        </w:rPr>
        <w:t xml:space="preserve">=18), representing western industrial lifestyles and diets. Norman residents live in the Oklahoma City metropolitan area, exemplifying a highly industrialized environment. Self-reported diets </w:t>
      </w:r>
      <w:r w:rsidRPr="00901194">
        <w:rPr>
          <w:rFonts w:cs="Times New Roman"/>
          <w:szCs w:val="24"/>
        </w:rPr>
        <w:lastRenderedPageBreak/>
        <w:t>generally consisted of regular dairy consumption plus processed and/or prepackaged foods like canned vegetables</w:t>
      </w:r>
      <w:r w:rsidR="00317D7C" w:rsidRPr="00901194">
        <w:rPr>
          <w:rFonts w:cs="Times New Roman"/>
          <w:szCs w:val="24"/>
        </w:rPr>
        <w:fldChar w:fldCharType="begin" w:fldLock="1"/>
      </w:r>
      <w:r w:rsidR="00317D7C" w:rsidRPr="00901194">
        <w:rPr>
          <w:rFonts w:cs="Times New Roman"/>
          <w:szCs w:val="24"/>
        </w:rPr>
        <w:instrText>ADDIN CSL_CITATION {"citationItems":[{"id":"ITEM-1","itemData":{"author":[{"dropping-particle":"","family":"Obregon-Tito","given":"Alexandra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Communications","id":"ITEM-1","issued":{"date-parts":[["2015"]]},"page":"1-9","title":"Subsistence strategies in traditional societies distinguish gut microbiomes: Supplementary Information","type":"article-journal","volume":"6"},"uris":["http://www.mendeley.com/documents/?uuid=12fcc4e1-194f-4ebf-9526-d63feb6ee4ca"]}],"mendeley":{"formattedCitation":"&lt;sup&gt;82&lt;/sup&gt;","plainTextFormattedCitation":"82","previouslyFormattedCitation":"&lt;sup&gt;82&lt;/sup&gt;"},"properties":{"noteIndex":0},"schema":"https://github.com/citation-style-language/schema/raw/master/csl-citation.json"}</w:instrText>
      </w:r>
      <w:r w:rsidR="00317D7C" w:rsidRPr="00901194">
        <w:rPr>
          <w:rFonts w:cs="Times New Roman"/>
          <w:szCs w:val="24"/>
        </w:rPr>
        <w:fldChar w:fldCharType="separate"/>
      </w:r>
      <w:r w:rsidR="00317D7C" w:rsidRPr="00901194">
        <w:rPr>
          <w:rFonts w:cs="Times New Roman"/>
          <w:noProof/>
          <w:szCs w:val="24"/>
          <w:vertAlign w:val="superscript"/>
        </w:rPr>
        <w:t>82</w:t>
      </w:r>
      <w:r w:rsidR="00317D7C" w:rsidRPr="00901194">
        <w:rPr>
          <w:rFonts w:cs="Times New Roman"/>
          <w:szCs w:val="24"/>
        </w:rPr>
        <w:fldChar w:fldCharType="end"/>
      </w:r>
      <w:r w:rsidRPr="00901194">
        <w:rPr>
          <w:rFonts w:cs="Times New Roman"/>
          <w:szCs w:val="24"/>
        </w:rPr>
        <w:t>. Additionally, regular meat consumption was common to Norman individuals compared to our other sampled populations. Due to the strongly industrialized setting and greater consumption of meat, dairy, and processed food products, this population was categorized as urban industrial.</w:t>
      </w:r>
    </w:p>
    <w:p w14:paraId="0622EA3A" w14:textId="77777777" w:rsidR="00D02195" w:rsidRPr="00901194" w:rsidRDefault="00D02195" w:rsidP="00D02195">
      <w:pPr>
        <w:ind w:firstLine="720"/>
        <w:rPr>
          <w:rFonts w:cs="Times New Roman"/>
          <w:szCs w:val="24"/>
        </w:rPr>
      </w:pPr>
      <w:r w:rsidRPr="00901194">
        <w:rPr>
          <w:rFonts w:cs="Times New Roman"/>
          <w:szCs w:val="24"/>
        </w:rPr>
        <w:t>We also selected fecal samples from the Guayabo (</w:t>
      </w:r>
      <w:r w:rsidRPr="00901194">
        <w:rPr>
          <w:rFonts w:cs="Times New Roman"/>
          <w:i/>
          <w:iCs/>
          <w:szCs w:val="24"/>
        </w:rPr>
        <w:t>n</w:t>
      </w:r>
      <w:r w:rsidRPr="00901194">
        <w:rPr>
          <w:rFonts w:cs="Times New Roman"/>
          <w:szCs w:val="24"/>
        </w:rPr>
        <w:t>=12) and Tambo de Mora (</w:t>
      </w:r>
      <w:r w:rsidRPr="00901194">
        <w:rPr>
          <w:rFonts w:cs="Times New Roman"/>
          <w:i/>
          <w:iCs/>
          <w:szCs w:val="24"/>
        </w:rPr>
        <w:t>n</w:t>
      </w:r>
      <w:r w:rsidRPr="00901194">
        <w:rPr>
          <w:rFonts w:cs="Times New Roman"/>
          <w:szCs w:val="24"/>
        </w:rPr>
        <w:t>=14) populations, which practice similar lifestyles. These populations exhibit rural lifestyles and diets but are still strongly influenced by industrialization. Both communities have regular access to public markets and pharmacies and live in densely packed areas. Their diets are generally reliant on foods obtained from these markets, as well as local produce and livestock. While the Guayabo diet commonly consists of maize with some meat and dairy consumption, the Tambo de Mora population relies more on fish, due to their proximity with the Peruvian coastline. Consumption of processed foods is common for both communities, albeit less so than Norman individuals. Because the Guayabo and Tambo de Mora communities exhibit some characteristics of non-industrial and industrial lifestyles and live in primarily rural settings, these populations were categorized as rural industrial.</w:t>
      </w:r>
    </w:p>
    <w:p w14:paraId="0480771C" w14:textId="552EC629" w:rsidR="00D02195" w:rsidRPr="00901194" w:rsidRDefault="00D02195" w:rsidP="00D02195">
      <w:pPr>
        <w:ind w:firstLine="720"/>
        <w:rPr>
          <w:rFonts w:cs="Times New Roman"/>
          <w:szCs w:val="24"/>
        </w:rPr>
      </w:pPr>
      <w:r w:rsidRPr="00901194">
        <w:rPr>
          <w:rFonts w:cs="Times New Roman"/>
          <w:szCs w:val="24"/>
        </w:rPr>
        <w:t>The Boulkiemdé</w:t>
      </w:r>
      <w:r w:rsidRPr="00901194" w:rsidDel="00B63C06">
        <w:rPr>
          <w:rFonts w:cs="Times New Roman"/>
          <w:szCs w:val="24"/>
        </w:rPr>
        <w:t xml:space="preserve"> </w:t>
      </w:r>
      <w:r w:rsidRPr="00901194">
        <w:rPr>
          <w:rFonts w:cs="Times New Roman"/>
          <w:szCs w:val="24"/>
        </w:rPr>
        <w:t>(</w:t>
      </w:r>
      <w:r w:rsidRPr="00901194">
        <w:rPr>
          <w:rFonts w:cs="Times New Roman"/>
          <w:i/>
          <w:iCs/>
          <w:szCs w:val="24"/>
        </w:rPr>
        <w:t>n=</w:t>
      </w:r>
      <w:r w:rsidRPr="00901194">
        <w:rPr>
          <w:rFonts w:cs="Times New Roman"/>
          <w:szCs w:val="24"/>
        </w:rPr>
        <w:t>11) and Tunapuco (</w:t>
      </w:r>
      <w:r w:rsidRPr="00901194">
        <w:rPr>
          <w:rFonts w:cs="Times New Roman"/>
          <w:i/>
          <w:iCs/>
          <w:szCs w:val="24"/>
        </w:rPr>
        <w:t>n=</w:t>
      </w:r>
      <w:r w:rsidRPr="00901194">
        <w:rPr>
          <w:rFonts w:cs="Times New Roman"/>
          <w:szCs w:val="24"/>
        </w:rPr>
        <w:t>24</w:t>
      </w:r>
      <w:r w:rsidRPr="00901194">
        <w:rPr>
          <w:rFonts w:cs="Times New Roman"/>
          <w:b/>
          <w:bCs/>
          <w:szCs w:val="24"/>
        </w:rPr>
        <w:t>)</w:t>
      </w:r>
      <w:r w:rsidRPr="00901194">
        <w:rPr>
          <w:rFonts w:cs="Times New Roman"/>
          <w:szCs w:val="24"/>
        </w:rPr>
        <w:t xml:space="preserve"> communities represent the next degree of industrialization in our sampled populations. Although these populations are from Africa and South America, respectively, they practice similar traditional non-industrial, rural lifestyles and share some features of industrialized populations such as access to public markets. The Boulkiemdé samples were collected from the Boulkiemdé province of Burkina Faso. This Burkinabé community practices an agricultural lifestyle, usually growing their own crops, raising livestock, and with rare dairy consumption. Boulkiemdé meat consumption often ranged from </w:t>
      </w:r>
      <w:r w:rsidRPr="00901194">
        <w:rPr>
          <w:rFonts w:cs="Times New Roman"/>
          <w:szCs w:val="24"/>
        </w:rPr>
        <w:lastRenderedPageBreak/>
        <w:t>once every 1-3 weeks or once every 4-6 months. Vegetable consumption was high in self-reported diets by Boulkiemdé individuals. Common vegetables included cabbage, okra, eggplant, beans, carrots, potato, manioc, couscous, bread, rice, corn, etc. Processed foods like canned vegetables were highly rare. Meanwhile, the Tunapuco population have similar traditional agricultural lifestyles, relying on local produce and livestock</w:t>
      </w:r>
      <w:r w:rsidR="00317D7C" w:rsidRPr="00901194">
        <w:rPr>
          <w:rFonts w:cs="Times New Roman"/>
          <w:szCs w:val="24"/>
        </w:rPr>
        <w:fldChar w:fldCharType="begin" w:fldLock="1"/>
      </w:r>
      <w:r w:rsidR="00317D7C" w:rsidRPr="00901194">
        <w:rPr>
          <w:rFonts w:cs="Times New Roman"/>
          <w:szCs w:val="24"/>
        </w:rPr>
        <w:instrText>ADDIN CSL_CITATION {"citationItems":[{"id":"ITEM-1","itemData":{"author":[{"dropping-particle":"","family":"Obregon-Tito","given":"Alexandra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Communications","id":"ITEM-1","issued":{"date-parts":[["2015"]]},"page":"1-9","title":"Subsistence strategies in traditional societies distinguish gut microbiomes: Supplementary Information","type":"article-journal","volume":"6"},"uris":["http://www.mendeley.com/documents/?uuid=12fcc4e1-194f-4ebf-9526-d63feb6ee4ca"]}],"mendeley":{"formattedCitation":"&lt;sup&gt;82&lt;/sup&gt;","plainTextFormattedCitation":"82","previouslyFormattedCitation":"&lt;sup&gt;82&lt;/sup&gt;"},"properties":{"noteIndex":0},"schema":"https://github.com/citation-style-language/schema/raw/master/csl-citation.json"}</w:instrText>
      </w:r>
      <w:r w:rsidR="00317D7C" w:rsidRPr="00901194">
        <w:rPr>
          <w:rFonts w:cs="Times New Roman"/>
          <w:szCs w:val="24"/>
        </w:rPr>
        <w:fldChar w:fldCharType="separate"/>
      </w:r>
      <w:r w:rsidR="00317D7C" w:rsidRPr="00901194">
        <w:rPr>
          <w:rFonts w:cs="Times New Roman"/>
          <w:noProof/>
          <w:szCs w:val="24"/>
          <w:vertAlign w:val="superscript"/>
        </w:rPr>
        <w:t>82</w:t>
      </w:r>
      <w:r w:rsidR="00317D7C" w:rsidRPr="00901194">
        <w:rPr>
          <w:rFonts w:cs="Times New Roman"/>
          <w:szCs w:val="24"/>
        </w:rPr>
        <w:fldChar w:fldCharType="end"/>
      </w:r>
      <w:r w:rsidRPr="00901194">
        <w:rPr>
          <w:rFonts w:cs="Times New Roman"/>
          <w:szCs w:val="24"/>
        </w:rPr>
        <w:t>. Residing in the Peruvian Andes highlands, the Tunapuco people have diets largely consisting of root and stem tubers, bread, and rice</w:t>
      </w:r>
      <w:r w:rsidR="00317D7C" w:rsidRPr="00901194">
        <w:rPr>
          <w:rFonts w:cs="Times New Roman"/>
          <w:szCs w:val="24"/>
        </w:rPr>
        <w:fldChar w:fldCharType="begin" w:fldLock="1"/>
      </w:r>
      <w:r w:rsidR="001B7FD1" w:rsidRPr="00901194">
        <w:rPr>
          <w:rFonts w:cs="Times New Roman"/>
          <w:szCs w:val="24"/>
        </w:rPr>
        <w:instrText>ADDIN CSL_CITATION {"citationItems":[{"id":"ITEM-1","itemData":{"author":[{"dropping-particle":"","family":"Obregon-Tito","given":"Alexandra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Communications","id":"ITEM-1","issued":{"date-parts":[["2015"]]},"page":"1-9","title":"Subsistence strategies in traditional societies distinguish gut microbiomes: Supplementary Information","type":"article-journal","volume":"6"},"uris":["http://www.mendeley.com/documents/?uuid=12fcc4e1-194f-4ebf-9526-d63feb6ee4ca"]}],"mendeley":{"formattedCitation":"&lt;sup&gt;82&lt;/sup&gt;","plainTextFormattedCitation":"82","previouslyFormattedCitation":"&lt;sup&gt;82&lt;/sup&gt;"},"properties":{"noteIndex":0},"schema":"https://github.com/citation-style-language/schema/raw/master/csl-citation.json"}</w:instrText>
      </w:r>
      <w:r w:rsidR="00317D7C" w:rsidRPr="00901194">
        <w:rPr>
          <w:rFonts w:cs="Times New Roman"/>
          <w:szCs w:val="24"/>
        </w:rPr>
        <w:fldChar w:fldCharType="separate"/>
      </w:r>
      <w:r w:rsidR="00317D7C" w:rsidRPr="00901194">
        <w:rPr>
          <w:rFonts w:cs="Times New Roman"/>
          <w:noProof/>
          <w:szCs w:val="24"/>
          <w:vertAlign w:val="superscript"/>
        </w:rPr>
        <w:t>82</w:t>
      </w:r>
      <w:r w:rsidR="00317D7C" w:rsidRPr="00901194">
        <w:rPr>
          <w:rFonts w:cs="Times New Roman"/>
          <w:szCs w:val="24"/>
        </w:rPr>
        <w:fldChar w:fldCharType="end"/>
      </w:r>
      <w:r w:rsidRPr="00901194">
        <w:rPr>
          <w:rFonts w:cs="Times New Roman"/>
          <w:szCs w:val="24"/>
        </w:rPr>
        <w:t>. The Tunapuco people occasionally consume animal proteins and dairy products such as cuy, beef, pork, or sheep</w:t>
      </w:r>
      <w:r w:rsidRPr="00901194">
        <w:rPr>
          <w:rFonts w:cs="Times New Roman"/>
          <w:b/>
          <w:bCs/>
          <w:szCs w:val="24"/>
        </w:rPr>
        <w:t>.</w:t>
      </w:r>
      <w:r w:rsidRPr="00901194">
        <w:rPr>
          <w:rFonts w:cs="Times New Roman"/>
          <w:szCs w:val="24"/>
        </w:rPr>
        <w:t xml:space="preserve"> Overall, rice, mote, carrots, cabbages, bread, cuy, oca, and potatoes (fermented,  dehydrated, etc.) are the most common self-reported foods for the Tunapuco people. Additionally, Tunapuco residents have access to lowland markets, which offer other dietary sources like fruit (apples, bananas, pineapples, mangos, etc.), depending on seasonal availability</w:t>
      </w:r>
      <w:r w:rsidR="00317D7C" w:rsidRPr="00901194">
        <w:rPr>
          <w:rFonts w:cs="Times New Roman"/>
          <w:szCs w:val="24"/>
        </w:rPr>
        <w:fldChar w:fldCharType="begin" w:fldLock="1"/>
      </w:r>
      <w:r w:rsidR="00317D7C" w:rsidRPr="00901194">
        <w:rPr>
          <w:rFonts w:cs="Times New Roman"/>
          <w:szCs w:val="24"/>
        </w:rPr>
        <w:instrText>ADDIN CSL_CITATION {"citationItems":[{"id":"ITEM-1","itemData":{"author":[{"dropping-particle":"","family":"Obregon-Tito","given":"Alexandra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Communications","id":"ITEM-1","issued":{"date-parts":[["2015"]]},"page":"1-9","title":"Subsistence strategies in traditional societies distinguish gut microbiomes: Supplementary Information","type":"article-journal","volume":"6"},"uris":["http://www.mendeley.com/documents/?uuid=12fcc4e1-194f-4ebf-9526-d63feb6ee4ca"]}],"mendeley":{"formattedCitation":"&lt;sup&gt;82&lt;/sup&gt;","plainTextFormattedCitation":"82","previouslyFormattedCitation":"&lt;sup&gt;82&lt;/sup&gt;"},"properties":{"noteIndex":0},"schema":"https://github.com/citation-style-language/schema/raw/master/csl-citation.json"}</w:instrText>
      </w:r>
      <w:r w:rsidR="00317D7C" w:rsidRPr="00901194">
        <w:rPr>
          <w:rFonts w:cs="Times New Roman"/>
          <w:szCs w:val="24"/>
        </w:rPr>
        <w:fldChar w:fldCharType="separate"/>
      </w:r>
      <w:r w:rsidR="00317D7C" w:rsidRPr="00901194">
        <w:rPr>
          <w:rFonts w:cs="Times New Roman"/>
          <w:noProof/>
          <w:szCs w:val="24"/>
          <w:vertAlign w:val="superscript"/>
        </w:rPr>
        <w:t>82</w:t>
      </w:r>
      <w:r w:rsidR="00317D7C" w:rsidRPr="00901194">
        <w:rPr>
          <w:rFonts w:cs="Times New Roman"/>
          <w:szCs w:val="24"/>
        </w:rPr>
        <w:fldChar w:fldCharType="end"/>
      </w:r>
      <w:r w:rsidRPr="00901194">
        <w:rPr>
          <w:rFonts w:cs="Times New Roman"/>
          <w:szCs w:val="24"/>
        </w:rPr>
        <w:t>. Similar to the Boulkiemdé community, processed foods are rarely consumed by the Tunapuco people. Since both the Boulkiemdé and Tunapuco communities sampled for this project lived in largely rural yet partly industrial environments with diets focused more on raw food products, these populations were grouped as rural traditional.</w:t>
      </w:r>
    </w:p>
    <w:p w14:paraId="4F661DF3" w14:textId="54933C15" w:rsidR="00D02195" w:rsidRPr="00901194" w:rsidRDefault="00D02195" w:rsidP="00D02195">
      <w:pPr>
        <w:ind w:firstLine="720"/>
        <w:rPr>
          <w:rFonts w:cs="Times New Roman"/>
          <w:szCs w:val="24"/>
        </w:rPr>
      </w:pPr>
      <w:r w:rsidRPr="00901194">
        <w:rPr>
          <w:rFonts w:cs="Times New Roman"/>
          <w:szCs w:val="24"/>
        </w:rPr>
        <w:t>Our last sampled population is the Matses (</w:t>
      </w:r>
      <w:r w:rsidRPr="00901194">
        <w:rPr>
          <w:rFonts w:cs="Times New Roman"/>
          <w:i/>
          <w:iCs/>
          <w:szCs w:val="24"/>
        </w:rPr>
        <w:t>n</w:t>
      </w:r>
      <w:r w:rsidRPr="00901194">
        <w:rPr>
          <w:rFonts w:cs="Times New Roman"/>
          <w:szCs w:val="24"/>
        </w:rPr>
        <w:t>=11). The Matses people practice traditional hunter-gatherer lifestyles</w:t>
      </w:r>
      <w:r w:rsidR="00317D7C" w:rsidRPr="00901194">
        <w:rPr>
          <w:rFonts w:cs="Times New Roman"/>
          <w:szCs w:val="24"/>
        </w:rPr>
        <w:fldChar w:fldCharType="begin" w:fldLock="1"/>
      </w:r>
      <w:r w:rsidR="00317D7C" w:rsidRPr="00901194">
        <w:rPr>
          <w:rFonts w:cs="Times New Roman"/>
          <w:szCs w:val="24"/>
        </w:rPr>
        <w:instrText>ADDIN CSL_CITATION {"citationItems":[{"id":"ITEM-1","itemData":{"author":[{"dropping-particle":"","family":"Obregon-Tito","given":"Alexandra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Communications","id":"ITEM-1","issued":{"date-parts":[["2015"]]},"page":"1-9","title":"Subsistence strategies in traditional societies distinguish gut microbiomes: Supplementary Information","type":"article-journal","volume":"6"},"uris":["http://www.mendeley.com/documents/?uuid=12fcc4e1-194f-4ebf-9526-d63feb6ee4ca"]}],"mendeley":{"formattedCitation":"&lt;sup&gt;82&lt;/sup&gt;","plainTextFormattedCitation":"82","previouslyFormattedCitation":"&lt;sup&gt;82&lt;/sup&gt;"},"properties":{"noteIndex":0},"schema":"https://github.com/citation-style-language/schema/raw/master/csl-citation.json"}</w:instrText>
      </w:r>
      <w:r w:rsidR="00317D7C" w:rsidRPr="00901194">
        <w:rPr>
          <w:rFonts w:cs="Times New Roman"/>
          <w:szCs w:val="24"/>
        </w:rPr>
        <w:fldChar w:fldCharType="separate"/>
      </w:r>
      <w:r w:rsidR="00317D7C" w:rsidRPr="00901194">
        <w:rPr>
          <w:rFonts w:cs="Times New Roman"/>
          <w:noProof/>
          <w:szCs w:val="24"/>
          <w:vertAlign w:val="superscript"/>
        </w:rPr>
        <w:t>82</w:t>
      </w:r>
      <w:r w:rsidR="00317D7C" w:rsidRPr="00901194">
        <w:rPr>
          <w:rFonts w:cs="Times New Roman"/>
          <w:szCs w:val="24"/>
        </w:rPr>
        <w:fldChar w:fldCharType="end"/>
      </w:r>
      <w:r w:rsidRPr="00901194">
        <w:rPr>
          <w:rFonts w:cs="Times New Roman"/>
          <w:szCs w:val="24"/>
        </w:rPr>
        <w:t xml:space="preserve">, making them unique for this study. Their diet is based heavily on tubers, plantains, fish, and game meat. Specifically, varieties of manioc, plantains/bananas, and fish are staples of the Matses diet, while bushmeat, reptiles, birds, bread, and other crops are less frequent. Dairy and processed foods are very rarely consumed by the Matses community. Due to their location in the Amazonian regions of Peru and unique lifestyles characterized by self-reliant food production over processed foods, the Matses are almost completely isolated from external </w:t>
      </w:r>
      <w:r w:rsidRPr="00901194">
        <w:rPr>
          <w:rFonts w:cs="Times New Roman"/>
          <w:szCs w:val="24"/>
        </w:rPr>
        <w:lastRenderedPageBreak/>
        <w:t>sociocultural and economic influences like industrialization</w:t>
      </w:r>
      <w:r w:rsidR="00317D7C" w:rsidRPr="00901194">
        <w:rPr>
          <w:rFonts w:cs="Times New Roman"/>
          <w:szCs w:val="24"/>
        </w:rPr>
        <w:fldChar w:fldCharType="begin" w:fldLock="1"/>
      </w:r>
      <w:r w:rsidR="00317D7C" w:rsidRPr="00901194">
        <w:rPr>
          <w:rFonts w:cs="Times New Roman"/>
          <w:szCs w:val="24"/>
        </w:rPr>
        <w:instrText>ADDIN CSL_CITATION {"citationItems":[{"id":"ITEM-1","itemData":{"author":[{"dropping-particle":"","family":"Obregon-Tito","given":"Alexandra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Communications","id":"ITEM-1","issued":{"date-parts":[["2015"]]},"page":"1-9","title":"Subsistence strategies in traditional societies distinguish gut microbiomes: Supplementary Information","type":"article-journal","volume":"6"},"uris":["http://www.mendeley.com/documents/?uuid=12fcc4e1-194f-4ebf-9526-d63feb6ee4ca"]}],"mendeley":{"formattedCitation":"&lt;sup&gt;82&lt;/sup&gt;","plainTextFormattedCitation":"82","previouslyFormattedCitation":"&lt;sup&gt;82&lt;/sup&gt;"},"properties":{"noteIndex":0},"schema":"https://github.com/citation-style-language/schema/raw/master/csl-citation.json"}</w:instrText>
      </w:r>
      <w:r w:rsidR="00317D7C" w:rsidRPr="00901194">
        <w:rPr>
          <w:rFonts w:cs="Times New Roman"/>
          <w:szCs w:val="24"/>
        </w:rPr>
        <w:fldChar w:fldCharType="separate"/>
      </w:r>
      <w:r w:rsidR="00317D7C" w:rsidRPr="00901194">
        <w:rPr>
          <w:rFonts w:cs="Times New Roman"/>
          <w:noProof/>
          <w:szCs w:val="24"/>
          <w:vertAlign w:val="superscript"/>
        </w:rPr>
        <w:t>82</w:t>
      </w:r>
      <w:r w:rsidR="00317D7C" w:rsidRPr="00901194">
        <w:rPr>
          <w:rFonts w:cs="Times New Roman"/>
          <w:szCs w:val="24"/>
        </w:rPr>
        <w:fldChar w:fldCharType="end"/>
      </w:r>
      <w:r w:rsidRPr="00901194">
        <w:rPr>
          <w:rFonts w:cs="Times New Roman"/>
          <w:szCs w:val="24"/>
        </w:rPr>
        <w:t xml:space="preserve">, so they were categorized as isolated traditional. </w:t>
      </w:r>
    </w:p>
    <w:p w14:paraId="1B97D6A3" w14:textId="71257EB7" w:rsidR="00D02195" w:rsidRPr="00901194" w:rsidRDefault="00D02195" w:rsidP="00B971BC">
      <w:pPr>
        <w:pStyle w:val="Subsub-chapterHeading"/>
      </w:pPr>
      <w:bookmarkStart w:id="20" w:name="_Toc134185953"/>
      <w:r w:rsidRPr="00901194">
        <w:t>Sample Collection</w:t>
      </w:r>
      <w:bookmarkEnd w:id="20"/>
    </w:p>
    <w:p w14:paraId="2B11D926" w14:textId="77777777" w:rsidR="00D02195" w:rsidRPr="00901194" w:rsidRDefault="00D02195" w:rsidP="00D02195">
      <w:pPr>
        <w:ind w:firstLine="720"/>
        <w:rPr>
          <w:rFonts w:cs="Times New Roman"/>
          <w:szCs w:val="24"/>
        </w:rPr>
      </w:pPr>
      <w:r w:rsidRPr="00901194">
        <w:rPr>
          <w:rFonts w:cs="Times New Roman"/>
          <w:szCs w:val="24"/>
        </w:rPr>
        <w:t xml:space="preserve">Fecal material was deposited into polypropylene containers and then put on ice. Samples were kept in ice while in the field until arriving at research facilities equipped with freezers. The Norman samples were kept in ice after collection and frozen at the laboratory within 24 hours. The Peruvian samples were secured similarly to the Norman samples. After collection, samples were stored on ice for four days until arriving at Lima, Peru. Samples were frozen and sent to the laboratory in Norman, Oklahoma. </w:t>
      </w:r>
    </w:p>
    <w:p w14:paraId="66C4478A" w14:textId="4F801B78" w:rsidR="00D02195" w:rsidRPr="00901194" w:rsidRDefault="00D02195" w:rsidP="00D02195">
      <w:pPr>
        <w:ind w:firstLine="720"/>
        <w:rPr>
          <w:rFonts w:cs="Times New Roman"/>
          <w:szCs w:val="24"/>
        </w:rPr>
      </w:pPr>
      <w:r w:rsidRPr="00901194">
        <w:rPr>
          <w:rFonts w:cs="Times New Roman"/>
          <w:szCs w:val="24"/>
        </w:rPr>
        <w:t>The Norman, Tunapuco, and Matses samples had previously been aliquoted and underwent 16S rRNA gene sequencing for an earlier study</w:t>
      </w:r>
      <w:r w:rsidRPr="00901194">
        <w:rPr>
          <w:rFonts w:cs="Times New Roman"/>
          <w:szCs w:val="24"/>
        </w:rPr>
        <w:fldChar w:fldCharType="begin" w:fldLock="1"/>
      </w:r>
      <w:r w:rsidR="000A1931" w:rsidRPr="00901194">
        <w:rPr>
          <w:rFonts w:cs="Times New Roman"/>
          <w:szCs w:val="24"/>
        </w:rPr>
        <w:instrText>ADDIN CSL_CITATION {"citationItems":[{"id":"ITEM-1","itemData":{"DOI":"10.1038/ncomms7505","ISBN":"2041-1723","ISSN":"20411723","PMID":"25807110","abstract":"Recent studies suggest that gut microbiomes of urban-industrialized societies are different from those of traditional peoples. Here we examine the relationship between lifeways and gut microbiota through taxonomic and functional potential characterization of faecal samples from hunter-gatherer and traditional agriculturalist communities in Peru and an urban-industrialized community from the US. We find that in addition to taxonomic and metabolic differences between urban and traditional lifestyles, hunter-gatherers form a distinct sub-group among traditional peoples. As observed in previous studies, we find that Treponema are characteristic of traditional gut microbiomes. Moreover, through genome reconstruction (2.2-2.5 MB, coverage depth × 26-513) and functional potential characterization, we discover these Treponema are diverse, fall outside of pathogenic clades and are similar to Treponema succinifaciens, a known carbohydrate metabolizer in swine. Gut Treponema are found in non-human primates and all traditional peoples studied to date, suggesting they are symbionts lost in urban-industrialized societies.","author":[{"dropping-particle":"","family":"Obregon-Tito","given":"Alexandra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Communications","id":"ITEM-1","issued":{"date-parts":[["2015"]]},"note":"Summary: 16S analyses comparing two traditional human populations (Matses and Tunapuco) against urban-industrialized pops. Found clear differences in taxonomic composition, phylogenetic diversity, functional profiles, etc.","page":"1-9","publisher":"Nature Publishing Group","title":"Subsistence strategies in traditional societies distinguish gut microbiomes","type":"article-journal","volume":"6"},"uris":["http://www.mendeley.com/documents/?uuid=f5a6e1da-0f50-4b17-a7bb-4a0ac4d9e405"]}],"mendeley":{"formattedCitation":"&lt;sup&gt;96&lt;/sup&gt;","plainTextFormattedCitation":"96","previouslyFormattedCitation":"&lt;sup&gt;96&lt;/sup&gt;"},"properties":{"noteIndex":0},"schema":"https://github.com/citation-style-language/schema/raw/master/csl-citation.json"}</w:instrText>
      </w:r>
      <w:r w:rsidRPr="00901194">
        <w:rPr>
          <w:rFonts w:cs="Times New Roman"/>
          <w:szCs w:val="24"/>
        </w:rPr>
        <w:fldChar w:fldCharType="separate"/>
      </w:r>
      <w:bookmarkStart w:id="21" w:name="__Fieldmark__254_848958439"/>
      <w:bookmarkStart w:id="22" w:name="__Fieldmark__627_1847056004"/>
      <w:r w:rsidR="00AB5632" w:rsidRPr="00901194">
        <w:rPr>
          <w:rFonts w:cs="Times New Roman"/>
          <w:noProof/>
          <w:szCs w:val="24"/>
          <w:vertAlign w:val="superscript"/>
        </w:rPr>
        <w:t>96</w:t>
      </w:r>
      <w:r w:rsidRPr="00901194">
        <w:rPr>
          <w:rFonts w:cs="Times New Roman"/>
          <w:szCs w:val="24"/>
        </w:rPr>
        <w:fldChar w:fldCharType="end"/>
      </w:r>
      <w:bookmarkEnd w:id="21"/>
      <w:bookmarkEnd w:id="22"/>
      <w:r w:rsidRPr="00901194">
        <w:rPr>
          <w:rFonts w:cs="Times New Roman"/>
          <w:szCs w:val="24"/>
        </w:rPr>
        <w:t>, using the MoBio PowerSoil DNA Isolation Kit protocol (full details can be found in the original article</w:t>
      </w:r>
      <w:r w:rsidRPr="00901194">
        <w:rPr>
          <w:rFonts w:cs="Times New Roman"/>
          <w:szCs w:val="24"/>
        </w:rPr>
        <w:fldChar w:fldCharType="begin" w:fldLock="1"/>
      </w:r>
      <w:r w:rsidR="000A1931" w:rsidRPr="00901194">
        <w:rPr>
          <w:rFonts w:cs="Times New Roman"/>
          <w:szCs w:val="24"/>
        </w:rPr>
        <w:instrText>ADDIN CSL_CITATION {"citationItems":[{"id":"ITEM-1","itemData":{"DOI":"10.1038/ncomms7505","ISBN":"2041-1723","ISSN":"20411723","PMID":"25807110","abstract":"Recent studies suggest that gut microbiomes of urban-industrialized societies are different from those of traditional peoples. Here we examine the relationship between lifeways and gut microbiota through taxonomic and functional potential characterization of faecal samples from hunter-gatherer and traditional agriculturalist communities in Peru and an urban-industrialized community from the US. We find that in addition to taxonomic and metabolic differences between urban and traditional lifestyles, hunter-gatherers form a distinct sub-group among traditional peoples. As observed in previous studies, we find that Treponema are characteristic of traditional gut microbiomes. Moreover, through genome reconstruction (2.2-2.5 MB, coverage depth × 26-513) and functional potential characterization, we discover these Treponema are diverse, fall outside of pathogenic clades and are similar to Treponema succinifaciens, a known carbohydrate metabolizer in swine. Gut Treponema are found in non-human primates and all traditional peoples studied to date, suggesting they are symbionts lost in urban-industrialized societies.","author":[{"dropping-particle":"","family":"Obregon-Tito","given":"Alexandra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Communications","id":"ITEM-1","issued":{"date-parts":[["2015"]]},"note":"Summary: 16S analyses comparing two traditional human populations (Matses and Tunapuco) against urban-industrialized pops. Found clear differences in taxonomic composition, phylogenetic diversity, functional profiles, etc.","page":"1-9","publisher":"Nature Publishing Group","title":"Subsistence strategies in traditional societies distinguish gut microbiomes","type":"article-journal","volume":"6"},"uris":["http://www.mendeley.com/documents/?uuid=f5a6e1da-0f50-4b17-a7bb-4a0ac4d9e405"]}],"mendeley":{"formattedCitation":"&lt;sup&gt;96&lt;/sup&gt;","plainTextFormattedCitation":"96","previouslyFormattedCitation":"&lt;sup&gt;96&lt;/sup&gt;"},"properties":{"noteIndex":0},"schema":"https://github.com/citation-style-language/schema/raw/master/csl-citation.json"}</w:instrText>
      </w:r>
      <w:r w:rsidRPr="00901194">
        <w:rPr>
          <w:rFonts w:cs="Times New Roman"/>
          <w:szCs w:val="24"/>
        </w:rPr>
        <w:fldChar w:fldCharType="separate"/>
      </w:r>
      <w:bookmarkStart w:id="23" w:name="__Fieldmark__261_848958439"/>
      <w:bookmarkStart w:id="24" w:name="__Fieldmark__636_1847056004"/>
      <w:r w:rsidR="00AB5632" w:rsidRPr="00901194">
        <w:rPr>
          <w:rFonts w:cs="Times New Roman"/>
          <w:noProof/>
          <w:szCs w:val="24"/>
          <w:vertAlign w:val="superscript"/>
        </w:rPr>
        <w:t>96</w:t>
      </w:r>
      <w:r w:rsidRPr="00901194">
        <w:rPr>
          <w:rFonts w:cs="Times New Roman"/>
          <w:szCs w:val="24"/>
        </w:rPr>
        <w:fldChar w:fldCharType="end"/>
      </w:r>
      <w:bookmarkEnd w:id="23"/>
      <w:bookmarkEnd w:id="24"/>
      <w:r w:rsidRPr="00901194">
        <w:rPr>
          <w:rFonts w:cs="Times New Roman"/>
          <w:szCs w:val="24"/>
        </w:rPr>
        <w:t xml:space="preserve">). The raw fecal samples were otherwise kept frozen at -80 °C until use for this project. </w:t>
      </w:r>
    </w:p>
    <w:p w14:paraId="12F976F1" w14:textId="77777777" w:rsidR="00D02195" w:rsidRPr="00901194" w:rsidRDefault="00D02195" w:rsidP="00D02195">
      <w:pPr>
        <w:ind w:firstLine="720"/>
        <w:rPr>
          <w:rFonts w:cs="Times New Roman"/>
          <w:szCs w:val="24"/>
        </w:rPr>
      </w:pPr>
      <w:r w:rsidRPr="00901194">
        <w:rPr>
          <w:rFonts w:cs="Times New Roman"/>
          <w:szCs w:val="24"/>
        </w:rPr>
        <w:t>Boulkiemdé samples were collected similarly to Norman and Peruvian samples. After collection, Boulkiemdé samples were frozen at -20 °C within 24 hours and kept frozen overnight. Samples were thawed the following evening to extract DNA, refrozen at -20 °C, and kept frozen until shipped to the laboratory in Norman, Oklahoma. Upon arrival, 2 g of fecal material was extracted from each sample for anaerobic culturing. Following this 2 g aliquoting, samples were frozen at -80</w:t>
      </w:r>
      <w:bookmarkStart w:id="25" w:name="_Hlk37992000"/>
      <w:r w:rsidRPr="00901194">
        <w:rPr>
          <w:rFonts w:cs="Times New Roman"/>
          <w:szCs w:val="24"/>
        </w:rPr>
        <w:t xml:space="preserve"> °C</w:t>
      </w:r>
      <w:bookmarkEnd w:id="25"/>
      <w:r w:rsidRPr="00901194">
        <w:rPr>
          <w:rFonts w:cs="Times New Roman"/>
          <w:szCs w:val="24"/>
        </w:rPr>
        <w:t xml:space="preserve"> until use for this project.</w:t>
      </w:r>
    </w:p>
    <w:p w14:paraId="0754AE0E" w14:textId="7BA776FE" w:rsidR="00D02195" w:rsidRPr="00901194" w:rsidRDefault="00D02195" w:rsidP="00D02195">
      <w:pPr>
        <w:ind w:firstLine="720"/>
        <w:rPr>
          <w:rFonts w:cs="Times New Roman"/>
          <w:szCs w:val="24"/>
        </w:rPr>
      </w:pPr>
      <w:r w:rsidRPr="00901194">
        <w:rPr>
          <w:rFonts w:cs="Times New Roman"/>
          <w:szCs w:val="24"/>
        </w:rPr>
        <w:t xml:space="preserve">While field conditions mandated different storage protocols, we confirmed that these effects are overshadowed by the industrialization gradient (see </w:t>
      </w:r>
      <w:r w:rsidR="00A707CB" w:rsidRPr="00901194">
        <w:rPr>
          <w:rFonts w:cs="Times New Roman"/>
          <w:szCs w:val="24"/>
        </w:rPr>
        <w:t xml:space="preserve">2.4 </w:t>
      </w:r>
      <w:r w:rsidRPr="00901194">
        <w:rPr>
          <w:rFonts w:cs="Times New Roman"/>
          <w:szCs w:val="24"/>
        </w:rPr>
        <w:t>Results</w:t>
      </w:r>
      <w:r w:rsidR="00A707CB" w:rsidRPr="00901194">
        <w:rPr>
          <w:rFonts w:cs="Times New Roman"/>
          <w:szCs w:val="24"/>
        </w:rPr>
        <w:t xml:space="preserve"> and Discussion</w:t>
      </w:r>
      <w:r w:rsidRPr="00901194">
        <w:rPr>
          <w:rFonts w:cs="Times New Roman"/>
          <w:szCs w:val="24"/>
        </w:rPr>
        <w:t>).</w:t>
      </w:r>
    </w:p>
    <w:p w14:paraId="56A612E5" w14:textId="1EB621D5" w:rsidR="00D02195" w:rsidRPr="00901194" w:rsidRDefault="00D02195" w:rsidP="00D02195">
      <w:pPr>
        <w:ind w:firstLine="720"/>
        <w:rPr>
          <w:rFonts w:cs="Times New Roman"/>
          <w:szCs w:val="24"/>
        </w:rPr>
      </w:pPr>
      <w:r w:rsidRPr="00901194">
        <w:rPr>
          <w:rFonts w:cs="Times New Roman"/>
          <w:szCs w:val="24"/>
        </w:rPr>
        <w:lastRenderedPageBreak/>
        <w:t xml:space="preserve">Full metadata with health conditions, such as primary water sources, pharmaceutical consumption, date of latest hospital visit, etc., were collected for the Boulkiemdé samples. However, Norman and Peru samples had been collected several years before the Boulkiemdé samples, and unfortunately lack similar detailed metadata about health conditions. While this metadata cannot be provided for Norman and Peru samples, the full de-identified metadata for the Boulkiemdé samples are available </w:t>
      </w:r>
      <w:r w:rsidR="00D450D7" w:rsidRPr="00901194">
        <w:rPr>
          <w:rFonts w:cs="Times New Roman"/>
          <w:szCs w:val="24"/>
        </w:rPr>
        <w:t>upon request</w:t>
      </w:r>
      <w:r w:rsidRPr="00901194">
        <w:rPr>
          <w:rFonts w:cs="Times New Roman"/>
          <w:szCs w:val="24"/>
        </w:rPr>
        <w:t xml:space="preserve">. </w:t>
      </w:r>
    </w:p>
    <w:p w14:paraId="3C2FC3CB" w14:textId="04D1B487" w:rsidR="00D02195" w:rsidRPr="00901194" w:rsidRDefault="00D02195" w:rsidP="00B971BC">
      <w:pPr>
        <w:pStyle w:val="Subsub-chapterHeading"/>
      </w:pPr>
      <w:bookmarkStart w:id="26" w:name="_Toc134185954"/>
      <w:r w:rsidRPr="00901194">
        <w:t>Ethics Approval and Informed Consent</w:t>
      </w:r>
      <w:bookmarkEnd w:id="26"/>
    </w:p>
    <w:p w14:paraId="0F770C1B" w14:textId="60298529" w:rsidR="00D02195" w:rsidRPr="00901194" w:rsidRDefault="00E47664" w:rsidP="00D02195">
      <w:pPr>
        <w:ind w:firstLine="720"/>
        <w:rPr>
          <w:rFonts w:cs="Times New Roman"/>
          <w:szCs w:val="24"/>
        </w:rPr>
      </w:pPr>
      <w:r w:rsidRPr="00901194">
        <w:rPr>
          <w:rFonts w:cs="Times New Roman"/>
          <w:szCs w:val="24"/>
        </w:rPr>
        <w:t xml:space="preserve">Norman and Peruvian sample collection was conducted under the supervision of the University of Oklahoma and the Ethics Committee of the Peruvian National Institute of Health </w:t>
      </w:r>
      <w:r w:rsidR="00D02195" w:rsidRPr="00901194">
        <w:rPr>
          <w:rFonts w:cs="Times New Roman"/>
          <w:szCs w:val="24"/>
        </w:rPr>
        <w:t xml:space="preserve">Ethical protocols for community engagement and sample collection were developed through collaboration with representatives and authorities from each sampled region and in accordance with institutional regulations. </w:t>
      </w:r>
      <w:r w:rsidR="00317D7C" w:rsidRPr="00901194">
        <w:rPr>
          <w:rFonts w:cs="Times New Roman"/>
          <w:szCs w:val="24"/>
        </w:rPr>
        <w:t xml:space="preserve">Norman samples were collected through informed consent from local volunteers recruited from posted flyers or word-of-mouth. </w:t>
      </w:r>
      <w:r w:rsidR="00D02195" w:rsidRPr="00901194">
        <w:rPr>
          <w:rFonts w:cs="Times New Roman"/>
          <w:szCs w:val="24"/>
        </w:rPr>
        <w:t>All Peruvian samples were obtained through community engagement with local and national authorities and informed consent with consultation from the Center for Intercultural Health of the Peruvian Institute of Health and Peruvian National Institute of Health ethics committee. This project was reviewed and approved by the research ethics committee of the Instituto Nacional de Salud del Peru (Projects PP-059-11, OEE-036-16).</w:t>
      </w:r>
      <w:r w:rsidRPr="00901194">
        <w:rPr>
          <w:rFonts w:cs="Times New Roman"/>
          <w:szCs w:val="24"/>
        </w:rPr>
        <w:t xml:space="preserve"> These approvals extended to any future molecular analyses (i.e., MS-based metabolomics) and were done with approval of the stakeholders and communities.</w:t>
      </w:r>
    </w:p>
    <w:p w14:paraId="6518149D" w14:textId="7277FBA8" w:rsidR="00D02195" w:rsidRPr="00901194" w:rsidRDefault="00D02195" w:rsidP="00D02195">
      <w:pPr>
        <w:ind w:firstLine="720"/>
        <w:rPr>
          <w:rFonts w:cs="Times New Roman"/>
          <w:b/>
          <w:bCs/>
          <w:szCs w:val="24"/>
        </w:rPr>
      </w:pPr>
      <w:r w:rsidRPr="00901194">
        <w:rPr>
          <w:rFonts w:cs="Times New Roman"/>
          <w:szCs w:val="24"/>
        </w:rPr>
        <w:t xml:space="preserve">Human fecal samples were collected with informed consent from resident volunteers in central Burkina Faso under the ethics review committee of Centre MURAZ, a national health </w:t>
      </w:r>
      <w:r w:rsidRPr="00901194">
        <w:rPr>
          <w:rFonts w:cs="Times New Roman"/>
          <w:szCs w:val="24"/>
        </w:rPr>
        <w:lastRenderedPageBreak/>
        <w:t>research institute in Burkina Faso (IRB ID No. 31/2016/CE-CM). OU IRB deemed this project consistent with US policy 45 CRF 46.101(b) exempt category 4 (OU IRB 6976).</w:t>
      </w:r>
    </w:p>
    <w:p w14:paraId="67DBBCB3" w14:textId="774D5070" w:rsidR="00D02195" w:rsidRPr="00901194" w:rsidRDefault="00D02195" w:rsidP="00C63D5D">
      <w:pPr>
        <w:pStyle w:val="Subsub-chapterHeading"/>
      </w:pPr>
      <w:bookmarkStart w:id="27" w:name="_Toc134185955"/>
      <w:r w:rsidRPr="00901194">
        <w:t>LC-MS/MS Fecal Sample Preparation</w:t>
      </w:r>
      <w:bookmarkEnd w:id="27"/>
    </w:p>
    <w:p w14:paraId="73E30DEB" w14:textId="025B2C57" w:rsidR="00D02195" w:rsidRPr="00901194" w:rsidRDefault="00D02195" w:rsidP="00D02195">
      <w:pPr>
        <w:rPr>
          <w:rFonts w:cs="Times New Roman"/>
          <w:szCs w:val="24"/>
        </w:rPr>
      </w:pPr>
      <w:r w:rsidRPr="00901194">
        <w:rPr>
          <w:rFonts w:cs="Times New Roman"/>
          <w:b/>
          <w:bCs/>
          <w:szCs w:val="24"/>
        </w:rPr>
        <w:tab/>
      </w:r>
      <w:r w:rsidRPr="00901194">
        <w:rPr>
          <w:rFonts w:cs="Times New Roman"/>
          <w:szCs w:val="24"/>
        </w:rPr>
        <w:t>The sample preparation protocol used for this project was adapted from a global metabolite extraction protocol with proven success</w:t>
      </w:r>
      <w:r w:rsidRPr="00901194">
        <w:rPr>
          <w:rFonts w:cs="Times New Roman"/>
          <w:szCs w:val="24"/>
        </w:rPr>
        <w:fldChar w:fldCharType="begin" w:fldLock="1"/>
      </w:r>
      <w:r w:rsidR="000A1931" w:rsidRPr="00901194">
        <w:rPr>
          <w:rFonts w:cs="Times New Roman"/>
          <w:szCs w:val="24"/>
        </w:rPr>
        <w:instrText>ADDIN CSL_CITATION {"citationItems":[{"id":"ITEM-1","itemData":{"DOI":"10.1371/journal.pntd.0006344","ISBN":"1111111111","ISSN":"19352735","PMID":"29529084","abstract":"Trypanosoma cruzi parasites are the causative agents of Chagas disease. These parasites infect cardiac and gastrointestinal tissues, leading to local inflammation and tissue damage. Digestive Chagas disease is associated with perturbations in food absorption, intestinal traffic and defecation. However, the impact of T. cruzi infection on the gut microbiota and metabolome have yet to be characterized. In this study, we applied mass spectrometry-based metabolomics and 16S rRNA sequencing to profile infection-associated alterations in fecal bacterial composition and fecal metabolome through the acute-stage and into the chronic stage of infection, in a murine model of Chagas disease. We observed joint microbial and chemical perturbations associated with T. cruzi infection. These included alterations in conjugated linoleic acid (CLA) derivatives and in specific members of families Ruminococcaceae and Lachnospiraceae, as well as alterations in secondary bile acids and members of order Clostridiales. These results highlight the importance of multi-‘omics’ and poly-microbial studies in understanding parasitic diseases in general, and Chagas disease in particular.","author":[{"dropping-particle":"","family":"McCall","given":"Laura Isobel","non-dropping-particle":"","parse-names":false,"suffix":""},{"dropping-particle":"","family":"Tripathi","given":"Anupriya","non-dropping-particle":"","parse-names":false,"suffix":""},{"dropping-particle":"","family":"Vargas","given":"Fernando","non-dropping-particle":"","parse-names":false,"suffix":""},{"dropping-particle":"","family":"Knight","given":"Rob","non-dropping-particle":"","parse-names":false,"suffix":""},{"dropping-particle":"","family":"Dorrestein","given":"Pieter C.","non-dropping-particle":"","parse-names":false,"suffix":""},{"dropping-particle":"","family":"Siqueira-Neto","given":"Jair L.","non-dropping-particle":"","parse-names":false,"suffix":""}],"container-title":"PLoS Neglected Tropical Diseases","id":"ITEM-1","issue":"3","issued":{"date-parts":[["2018"]]},"page":"1-15","title":"Experimental Chagas disease-induced perturbations of the fecal microbiome and metabolome","type":"article-journal","volume":"12"},"uris":["http://www.mendeley.com/documents/?uuid=ac0b721f-c11d-4936-b879-b05b76cd074d"]},{"id":"ITEM-2","itemData":{"DOI":"10.1038/nprot.2012.135","ISSN":"17542189","abstract":"Obtaining comprehensive, untargeted metabolic profiles for complex solid samples, e.g., animal tissues, requires sample preparation and access to information-rich analytical methodologies such as mass spectrometry (MS). Here we describe a practical two-step process for tissue samples that is based on extraction into 'aqueous' and 'organic' phases for polar and nonpolar metabolites. Separation methods such as ultraperformance liquid chromatography (UPLC) in combination with MS are needed to obtain sufficient resolution to create diagnostic metabolic profiles and identify candidate biomarkers. We provide detailed protocols for sample preparation, chromatographic procedures, multivariate analysis and metabolite identification via tandem MS (MS/MS) techniques and high-resolution MS. By using these optimized approaches, analysis of a set of samples using a 96-well plate format would take ~48 h: 1 h for system setup, 8-10 h for sample preparation, 34 h for UPLC-MS analysis and 2-3 h for preliminary/exploratory data processing, representing a robust method for untargeted metabolic screening of tissue samples.","author":[{"dropping-particle":"","family":"Want","given":"Elizabeth J.","non-dropping-particle":"","parse-names":false,"suffix":""},{"dropping-particle":"","family":"Masson","given":"Perrine","non-dropping-particle":"","parse-names":false,"suffix":""},{"dropping-particle":"","family":"Michopoulos","given":"Filippos","non-dropping-particle":"","parse-names":false,"suffix":""},{"dropping-particle":"","family":"Wilson","given":"Ian D.","non-dropping-particle":"","parse-names":false,"suffix":""},{"dropping-particle":"","family":"Theodoridis","given":"Georgios","non-dropping-particle":"","parse-names":false,"suffix":""},{"dropping-particle":"","family":"Plumb","given":"Robert S.","non-dropping-particle":"","parse-names":false,"suffix":""},{"dropping-particle":"","family":"Shockcor","given":"John","non-dropping-particle":"","parse-names":false,"suffix":""},{"dropping-particle":"","family":"Loftus","given":"Neil","non-dropping-particle":"","parse-names":false,"suffix":""},{"dropping-particle":"","family":"Holmes","given":"Elaine","non-dropping-particle":"","parse-names":false,"suffix":""},{"dropping-particle":"","family":"Nicholson","given":"Jeremy K.","non-dropping-particle":"","parse-names":false,"suffix":""}],"container-title":"Nature Protocols","id":"ITEM-2","issue":"1","issued":{"date-parts":[["2013"]]},"note":"Summary: Describes a new protocol for global metabolite profiling of tissues using LC-MS, outlining the same protocol we use. Discusses the two-step process by extraction into aqueous and organic phases to detect both polar and nonpolar metaboloites. Also describes general best practices for MS experimentation (using QCs, how to make QCs, importance of random sample order, general MS run orders, etc.) \n\n\nMcCall lab's LC-MS/MS fecal sample prep is based on the method from this article. This paper uses tissue samples, but the method applies for feces\nGood for endogenous and exogenous metabolites","page":"17-32","title":"Global metabolic profiling of animal and human tissues via UPLC-MS","type":"article-journal","volume":"8"},"uris":["http://www.mendeley.com/documents/?uuid=9d217013-ac5c-40d2-ac62-ce3dafa74529"]}],"mendeley":{"formattedCitation":"&lt;sup&gt;35,97&lt;/sup&gt;","plainTextFormattedCitation":"35,97","previouslyFormattedCitation":"&lt;sup&gt;35,97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35,97</w:t>
      </w:r>
      <w:r w:rsidRPr="00901194">
        <w:rPr>
          <w:rFonts w:cs="Times New Roman"/>
          <w:szCs w:val="24"/>
        </w:rPr>
        <w:fldChar w:fldCharType="end"/>
      </w:r>
      <w:r w:rsidRPr="00901194">
        <w:rPr>
          <w:rFonts w:cs="Times New Roman"/>
          <w:szCs w:val="24"/>
        </w:rPr>
        <w:t xml:space="preserve">. Samples were thawed and 500 μl of chilled LC-MS grade water (Fisher Scientific) was added to 50 mg of fecal material. Next, a TissueLyzer homogenized samples at 25 Hz for three minutes. Following homogenization, chilled LC-grade methanol (Fisher Scientific) spiked with 4 μM sulfachloropyridazine as the internal standard (IS) was added, bringing the total concentration to 50% methanol. The TissueLyzer homogenized samples again at 25 Hz for three minutes, followed by overnight incubation at 4 °C. The next day, samples were centrifuged at 16,000 x g at 4 °C for ten minutes. Aqueous supernatant was then removed and dried using a SpeedVac vacuum concentrator. Dried extracts were frozen at -80 °C until the day of MS analysis. Immediately prior to MS analysis, extracts were resuspended in 150 μl chilled LC-MS methanol:water (1:1) spiked with 1 μg/ml sulfadimethoxine as a second IS. After resuspension, samples were diluted to a 1:10 ratio. Diluted samples were sonicated using a Fisher Scientific Ultrasonic Cleaning Bath at maximum power for ten minutes. Supernatants were spun briefly to remove any particulates, then loaded into a 96-well plate for MS analysis. One well contained only 150 μl of the resuspension solution to serve as blank control. </w:t>
      </w:r>
    </w:p>
    <w:p w14:paraId="6899E9FA" w14:textId="7B74A89E" w:rsidR="00D02195" w:rsidRPr="00901194" w:rsidRDefault="00D02195" w:rsidP="00C63D5D">
      <w:pPr>
        <w:pStyle w:val="Subsub-chapterHeading"/>
      </w:pPr>
      <w:bookmarkStart w:id="28" w:name="_Toc134185956"/>
      <w:r w:rsidRPr="00901194">
        <w:t>LC-MS/MS Analysis</w:t>
      </w:r>
      <w:bookmarkEnd w:id="28"/>
    </w:p>
    <w:p w14:paraId="73B21487" w14:textId="77777777" w:rsidR="00D02195" w:rsidRPr="00901194" w:rsidRDefault="00D02195" w:rsidP="00D02195">
      <w:pPr>
        <w:ind w:firstLine="720"/>
        <w:rPr>
          <w:rFonts w:cs="Times New Roman"/>
          <w:szCs w:val="24"/>
        </w:rPr>
      </w:pPr>
      <w:r w:rsidRPr="00901194">
        <w:rPr>
          <w:rFonts w:cs="Times New Roman"/>
          <w:szCs w:val="24"/>
        </w:rPr>
        <w:t xml:space="preserve">LC was performed on a ThermoFisher Scientific Vanquish Flex Binary LC System with a Kinetex C18 core-shell column (50 x 2.1 mm, 1.7 μM particle size, 100 </w:t>
      </w:r>
      <w:r w:rsidRPr="00901194">
        <w:rPr>
          <w:rFonts w:cs="Times New Roman"/>
          <w:color w:val="000000"/>
          <w:szCs w:val="24"/>
        </w:rPr>
        <w:t>Å pore size</w:t>
      </w:r>
      <w:r w:rsidRPr="00901194">
        <w:rPr>
          <w:rFonts w:cs="Times New Roman"/>
          <w:szCs w:val="24"/>
        </w:rPr>
        <w:t xml:space="preserve">). LC column was kept at 40 °C and the sample compartment was held at 10 °C. The LC System was coupled </w:t>
      </w:r>
      <w:r w:rsidRPr="00901194">
        <w:rPr>
          <w:rFonts w:cs="Times New Roman"/>
          <w:szCs w:val="24"/>
        </w:rPr>
        <w:lastRenderedPageBreak/>
        <w:t>to a ThermoFisher Scientific Q Exactive Plus Hybrid Quadrupole-Orbitrap Mass Spectrometer for MS/MS analysis. For the LC mobile phase, Solvent A was LC-MS grade water (Fisher Scientific) with 0.1% formic acid and Solvent B was LC-MS grade acetonitrile (Fisher Scientific) with 0.1% formic acid. Elution gradient started at 5% Solvent B for one minute, increased to 100% Solvent B until minute nine, held at 100% Solvent B for two minutes, dropped to 5% Solvent B over 30 seconds, and 5% Solvent B for one minute as re-equilibration. Samples were injected in random order with an injection volume of 5 μl. After elution, electrospray ionization was conducted with spray voltage of 3.8 kV, auxiliary gas flow rate of 10, auxiliary gas temperature at 350 °C, sheath gas flow rate at 35, and sweep gas flow at 0. Capillary temperature was 320 °C and S-lens RF was 50 V.</w:t>
      </w:r>
    </w:p>
    <w:p w14:paraId="11CA70CA" w14:textId="77777777" w:rsidR="00D02195" w:rsidRPr="00901194" w:rsidRDefault="00D02195" w:rsidP="00D02195">
      <w:pPr>
        <w:ind w:firstLine="720"/>
        <w:rPr>
          <w:rFonts w:cs="Times New Roman"/>
          <w:szCs w:val="24"/>
        </w:rPr>
      </w:pPr>
      <w:r w:rsidRPr="00901194">
        <w:rPr>
          <w:rFonts w:cs="Times New Roman"/>
          <w:szCs w:val="24"/>
        </w:rPr>
        <w:t xml:space="preserve">MS1 scan range was 100-1,500 </w:t>
      </w:r>
      <w:r w:rsidRPr="00901194">
        <w:rPr>
          <w:rFonts w:cs="Times New Roman"/>
          <w:i/>
          <w:iCs/>
          <w:szCs w:val="24"/>
        </w:rPr>
        <w:t>m/z</w:t>
      </w:r>
      <w:r w:rsidRPr="00901194">
        <w:rPr>
          <w:rFonts w:cs="Times New Roman"/>
          <w:szCs w:val="24"/>
        </w:rPr>
        <w:t>,</w:t>
      </w:r>
      <w:r w:rsidRPr="00901194">
        <w:rPr>
          <w:rFonts w:cs="Times New Roman"/>
          <w:i/>
          <w:iCs/>
          <w:szCs w:val="24"/>
        </w:rPr>
        <w:t xml:space="preserve"> </w:t>
      </w:r>
      <w:r w:rsidRPr="00901194">
        <w:rPr>
          <w:rFonts w:cs="Times New Roman"/>
          <w:szCs w:val="24"/>
        </w:rPr>
        <w:t xml:space="preserve">MS1 resolution was set to 35,000 and MS1 AGC target to 1e6. MS1 data were obtained in positive mode and MS2 data were obtained using data-dependent acquisition. In each cycle, 5 MS/MS scans of the most abundant ion were recorded. Both MS1 and MS2 injection times were set at 100 ms. MS2 resolutions were set to 17,500, MS2 AGC target was set to 5e5, and the inclusion window to 2 </w:t>
      </w:r>
      <w:r w:rsidRPr="00901194">
        <w:rPr>
          <w:rFonts w:cs="Times New Roman"/>
          <w:i/>
          <w:iCs/>
          <w:szCs w:val="24"/>
        </w:rPr>
        <w:t>m/z</w:t>
      </w:r>
      <w:r w:rsidRPr="00901194">
        <w:rPr>
          <w:rFonts w:cs="Times New Roman"/>
          <w:szCs w:val="24"/>
        </w:rPr>
        <w:t>. MS/MS was conducted at an apex trigger of 2-8 seconds and an exclusion window of 10 seconds. MS/MS collision energy gradually increased from 20-40%.</w:t>
      </w:r>
    </w:p>
    <w:p w14:paraId="1E559EAC" w14:textId="77777777" w:rsidR="00D02195" w:rsidRPr="00901194" w:rsidRDefault="00D02195" w:rsidP="00D02195">
      <w:pPr>
        <w:ind w:firstLine="720"/>
        <w:rPr>
          <w:rFonts w:cs="Times New Roman"/>
          <w:szCs w:val="24"/>
        </w:rPr>
      </w:pPr>
      <w:r w:rsidRPr="00901194">
        <w:rPr>
          <w:rFonts w:cs="Times New Roman"/>
          <w:szCs w:val="24"/>
        </w:rPr>
        <w:t xml:space="preserve">Authentic standards also underwent LC-MS/MS analysis to validate metabolite annotations. A total of 15 standards were purchased from AA Blocks (hyocholic acid, 13-docosenamide), AvaChem (lenticin), Biosynth (bilirubin, N-acetylmuramic acid, fructosyl-L-lysine), BLD Pharm (N-palmitoylglycine, trans-ferulic acid), ChemScene (leucine enkephalin), LGC Standards (L-saccharopine), Sigma-Aldrich (L-abrine, N-acetyl L-phenylalanine, enoxolone, octadecanamide, lithocholic acid, paraxanthine), and VWR (nicotinamide N-oxide). </w:t>
      </w:r>
      <w:r w:rsidRPr="00901194">
        <w:rPr>
          <w:rFonts w:cs="Times New Roman"/>
          <w:szCs w:val="24"/>
        </w:rPr>
        <w:lastRenderedPageBreak/>
        <w:t>Each pure standard was diluted to 100 μM, 50 μM, 10 μM, 5 μM, and 1 μM concentrations. All standards (and their five dilutions) were analyzed according to the same LC-MS/MS parameters as the original samples. Additionally, fecal extracts with the highest abundance for each standard were re-analyzed as part of the same LC-MS/MS batch to ensure standard peaks were present in samples and to prevent confounding from retention time shifts caused by the gap between initial data acquisition and annotation validation.</w:t>
      </w:r>
    </w:p>
    <w:p w14:paraId="55B4E32E" w14:textId="069D6D17" w:rsidR="00D02195" w:rsidRPr="00901194" w:rsidRDefault="00D02195" w:rsidP="00C63D5D">
      <w:pPr>
        <w:pStyle w:val="Subsub-chapterHeading"/>
      </w:pPr>
      <w:bookmarkStart w:id="29" w:name="_Toc134185957"/>
      <w:r w:rsidRPr="00901194">
        <w:t>Data Analysis and Processing</w:t>
      </w:r>
      <w:bookmarkEnd w:id="29"/>
    </w:p>
    <w:p w14:paraId="177C4C7B" w14:textId="7DB5880C" w:rsidR="00D02195" w:rsidRPr="00901194" w:rsidRDefault="00D02195" w:rsidP="00D02195">
      <w:pPr>
        <w:ind w:firstLine="720"/>
        <w:rPr>
          <w:rFonts w:cs="Times New Roman"/>
          <w:szCs w:val="24"/>
        </w:rPr>
      </w:pPr>
      <w:r w:rsidRPr="00901194">
        <w:rPr>
          <w:rFonts w:cs="Times New Roman"/>
          <w:szCs w:val="24"/>
        </w:rPr>
        <w:t>MSConvert</w:t>
      </w:r>
      <w:r w:rsidRPr="00901194">
        <w:rPr>
          <w:rFonts w:cs="Times New Roman"/>
          <w:b/>
          <w:bCs/>
          <w:szCs w:val="24"/>
        </w:rPr>
        <w:t xml:space="preserve"> </w:t>
      </w:r>
      <w:r w:rsidRPr="00901194">
        <w:rPr>
          <w:rFonts w:cs="Times New Roman"/>
          <w:szCs w:val="24"/>
        </w:rPr>
        <w:t>v3.0.19014</w:t>
      </w:r>
      <w:r w:rsidRPr="00901194">
        <w:rPr>
          <w:rFonts w:cs="Times New Roman"/>
          <w:szCs w:val="24"/>
        </w:rPr>
        <w:fldChar w:fldCharType="begin" w:fldLock="1"/>
      </w:r>
      <w:r w:rsidR="000A1931" w:rsidRPr="00901194">
        <w:rPr>
          <w:rFonts w:cs="Times New Roman"/>
          <w:szCs w:val="24"/>
        </w:rPr>
        <w:instrText>ADDIN CSL_CITATION {"citationItems":[{"id":"ITEM-1","itemData":{"DOI":"10.1038/nbt.2377","ISSN":"1087-0156","abstract":"Mass-spectrometry-based proteomics has become an important component of biological research. Numerous proteomics methods have been developed to identify and quantify the proteins in biological and clinical samples1, identify pathways affected by endogenous and exogenous perturbations2, and characterize protein complexes3. Despite successes, the interpretation of vast proteomics datasets remains a challenge. There have been several calls for improvements and standardization of proteomics data analysis frameworks, as well as for an application- programming interface for proteomics data access4,5. In response, we have developed the ProteoWizard Toolkit, a robust set of open-source, software libraries and applications designed to facilitate proteomics research. The libraries implement the first-ever, non-commercial, unified data access interface for proteomics, bridging field-standard open formats and all common vendor formats. In addition, diverse software classes enable rapid development of vendor-agnostic proteomics software. Additionally, ProteoWizard projects and applications, building upon the core libraries, are becoming standard tools for enabling significant proteomics inquiries.","author":[{"dropping-particle":"","family":"Chambers","given":"Matthew C","non-dropping-particle":"","parse-names":false,"suffix":""},{"dropping-particle":"","family":"Maclean","given":"Brendan","non-dropping-particle":"","parse-names":false,"suffix":""},{"dropping-particle":"","family":"Burke","given":"Robert","non-dropping-particle":"","parse-names":false,"suffix":""},{"dropping-particle":"","family":"Amodei","given":"Dario","non-dropping-particle":"","parse-names":false,"suffix":""},{"dropping-particle":"","family":"Ruderman","given":"Daniel L","non-dropping-particle":"","parse-names":false,"suffix":""},{"dropping-particle":"","family":"Neumann","given":"Steffen","non-dropping-particle":"","parse-names":false,"suffix":""},{"dropping-particle":"","family":"Gatto","given":"Laurent","non-dropping-particle":"","parse-names":false,"suffix":""},{"dropping-particle":"","family":"Fischer","given":"Bernd","non-dropping-particle":"","parse-names":false,"suffix":""},{"dropping-particle":"","family":"Pratt","given":"Brian","non-dropping-particle":"","parse-names":false,"suffix":""},{"dropping-particle":"","family":"Egertson","given":"Jarrett","non-dropping-particle":"","parse-names":false,"suffix":""},{"dropping-particle":"","family":"Hoff","given":"Katherine","non-dropping-particle":"","parse-names":false,"suffix":""},{"dropping-particle":"","family":"Kessner","given":"Darren","non-dropping-particle":"","parse-names":false,"suffix":""},{"dropping-particle":"","family":"Tasman","given":"Natalie","non-dropping-particle":"","parse-names":false,"suffix":""},{"dropping-particle":"","family":"Shulman","given":"Nicholas","non-dropping-particle":"","parse-names":false,"suffix":""},{"dropping-particle":"","family":"Frewen","given":"Barbara","non-dropping-particle":"","parse-names":false,"suffix":""},{"dropping-particle":"","family":"Baker","given":"Tahmina A","non-dropping-particle":"","parse-names":false,"suffix":""},{"dropping-particle":"","family":"Brusniak","given":"Mi-Youn","non-dropping-particle":"","parse-names":false,"suffix":""},{"dropping-particle":"","family":"Paulse","given":"Christopher","non-dropping-particle":"","parse-names":false,"suffix":""},{"dropping-particle":"","family":"Creasy","given":"David","non-dropping-particle":"","parse-names":false,"suffix":""},{"dropping-particle":"","family":"Flashner","given":"Lisa","non-dropping-particle":"","parse-names":false,"suffix":""},{"dropping-particle":"","family":"Kani","given":"Kian","non-dropping-particle":"","parse-names":false,"suffix":""},{"dropping-particle":"","family":"Moulding","given":"Chris","non-dropping-particle":"","parse-names":false,"suffix":""},{"dropping-particle":"","family":"Seymour","given":"Sean L","non-dropping-particle":"","parse-names":false,"suffix":""},{"dropping-particle":"","family":"Nuwaysir","given":"Lydia M","non-dropping-particle":"","parse-names":false,"suffix":""},{"dropping-particle":"","family":"Lefebvre","given":"Brent","non-dropping-particle":"","parse-names":false,"suffix":""},{"dropping-particle":"","family":"Kuhlmann","given":"Frank","non-dropping-particle":"","parse-names":false,"suffix":""},{"dropping-particle":"","family":"Roark","given":"Joe","non-dropping-particle":"","parse-names":false,"suffix":""},{"dropping-particle":"","family":"Rainer","given":"Paape","non-dropping-particle":"","parse-names":false,"suffix":""},{"dropping-particle":"","family":"Detlev","given":"Suckau","non-dropping-particle":"","parse-names":false,"suffix":""},{"dropping-particle":"","family":"Hemenway","given":"Tina","non-dropping-particle":"","parse-names":false,"suffix":""},{"dropping-particle":"","family":"Huhmer","given":"Andreas","non-dropping-particle":"","parse-names":false,"suffix":""},{"dropping-particle":"","family":"Langridge","given":"James","non-dropping-particle":"","parse-names":false,"suffix":""},{"dropping-particle":"","family":"Connolly","given":"Brian","non-dropping-particle":"","parse-names":false,"suffix":""},{"dropping-particle":"","family":"Chadick","given":"Trey","non-dropping-particle":"","parse-names":false,"suffix":""},{"dropping-particle":"","family":"Holly","given":"Krisztina","non-dropping-particle":"","parse-names":false,"suffix":""},{"dropping-particle":"","family":"Eckels","given":"Josh","non-dropping-particle":"","parse-names":false,"suffix":""},{"dropping-particle":"","family":"Deutsch","given":"Eric W","non-dropping-particle":"","parse-names":false,"suffix":""},{"dropping-particle":"","family":"Moritz","given":"Robert L","non-dropping-particle":"","parse-names":false,"suffix":""},{"dropping-particle":"","family":"Katz","given":"Jonathan E","non-dropping-particle":"","parse-names":false,"suffix":""},{"dropping-particle":"","family":"Agus","given":"David B","non-dropping-particle":"","parse-names":false,"suffix":""},{"dropping-particle":"","family":"MacCoss","given":"Michael","non-dropping-particle":"","parse-names":false,"suffix":""},{"dropping-particle":"","family":"Tabb","given":"David L","non-dropping-particle":"","parse-names":false,"suffix":""},{"dropping-particle":"","family":"Mallick","given":"Parag","non-dropping-particle":"","parse-names":false,"suffix":""}],"container-title":"Nature Biotechnology","id":"ITEM-1","issue":"10","issued":{"date-parts":[["2012"]]},"page":"918-920","title":"A cross-platform toolkit for mass spectrometry and proteomics","type":"article-journal","volume":"30"},"uris":["http://www.mendeley.com/documents/?uuid=ddae3bb1-e2d9-4551-8e01-279f63da7e17"]}],"mendeley":{"formattedCitation":"&lt;sup&gt;98&lt;/sup&gt;","plainTextFormattedCitation":"98","previouslyFormattedCitation":"&lt;sup&gt;98&lt;/sup&gt;"},"properties":{"noteIndex":0},"schema":"https://github.com/citation-style-language/schema/raw/master/csl-citation.json"}</w:instrText>
      </w:r>
      <w:r w:rsidRPr="00901194">
        <w:rPr>
          <w:rFonts w:cs="Times New Roman"/>
          <w:szCs w:val="24"/>
        </w:rPr>
        <w:fldChar w:fldCharType="separate"/>
      </w:r>
      <w:bookmarkStart w:id="30" w:name="__Fieldmark__308_848958439"/>
      <w:bookmarkStart w:id="31" w:name="__Fieldmark__802_1847056004"/>
      <w:r w:rsidR="00AB5632" w:rsidRPr="00901194">
        <w:rPr>
          <w:rFonts w:cs="Times New Roman"/>
          <w:noProof/>
          <w:szCs w:val="24"/>
          <w:vertAlign w:val="superscript"/>
        </w:rPr>
        <w:t>98</w:t>
      </w:r>
      <w:r w:rsidRPr="00901194">
        <w:rPr>
          <w:rFonts w:cs="Times New Roman"/>
          <w:szCs w:val="24"/>
        </w:rPr>
        <w:fldChar w:fldCharType="end"/>
      </w:r>
      <w:bookmarkEnd w:id="30"/>
      <w:bookmarkEnd w:id="31"/>
      <w:r w:rsidRPr="00901194">
        <w:rPr>
          <w:rFonts w:cs="Times New Roman"/>
          <w:szCs w:val="24"/>
        </w:rPr>
        <w:t xml:space="preserve"> converted raw data files to mzXML format in preparation for data processing via feature-based molecular networking (FBMN)</w:t>
      </w:r>
      <w:r w:rsidRPr="00901194">
        <w:rPr>
          <w:rFonts w:cs="Times New Roman"/>
          <w:szCs w:val="24"/>
        </w:rPr>
        <w:fldChar w:fldCharType="begin" w:fldLock="1"/>
      </w:r>
      <w:r w:rsidR="000A1931" w:rsidRPr="00901194">
        <w:rPr>
          <w:rFonts w:cs="Times New Roman"/>
          <w:szCs w:val="24"/>
        </w:rPr>
        <w:instrText>ADDIN CSL_CITATION {"citationItems":[{"id":"ITEM-1","itemData":{"abstract":"Molecular networking has become a key method used to visualize and annotate the chemical space in non-targeted mass spectrometry-based experiments. However, distinguishing isomeric compounds and quantitative interpretation are currently limited. Therefore, we created Feature-based Molecular Networking (FBMN) as a new analysis method in the Global Natural Products Social Molecular Networking (GNPS) infrastructure. FBMN leverages feature detection and alignment tools to enhance quantitative analyses and isomer distinction, including from ion-mobility spectrometry experiments, in molecular networks.","author":[{"dropping-particle":"","family":"Nothias","given":"Louis Felix","non-dropping-particle":"","parse-names":false,"suffix":""},{"dropping-particle":"","family":"Petras","given":"Daniel","non-dropping-particle":"","parse-names":false,"suffix":""},{"dropping-particle":"","family":"Schmid","given":"Robin","non-dropping-particle":"","parse-names":false,"suffix":""},{"dropping-particle":"","family":"Dührkop","given":"Kai","non-dropping-particle":"","parse-names":false,"suffix":""},{"dropping-particle":"","family":"Rainer","given":"Johannes","non-dropping-particle":"","parse-names":false,"suffix":""},{"dropping-particle":"","family":"Sarvepalli","given":"Abinesh","non-dropping-particle":"","parse-names":false,"suffix":""},{"dropping-particle":"","family":"Protsyuk","given":"Ivan","non-dropping-particle":"","parse-names":false,"suffix":""},{"dropping-particle":"","family":"Ernst","given":"Madeleine","non-dropping-particle":"","parse-names":false,"suffix":""},{"dropping-particle":"","family":"Tsugawa","given":"Hiroshi","non-dropping-particle":"","parse-names":false,"suffix":""}],"container-title":"biorXiv","id":"ITEM-1","issued":{"date-parts":[["2019"]]},"title":"Feature-based Molecular Networking in the GNPS Analysis Environment","type":"article-journal"},"uris":["http://www.mendeley.com/documents/?uuid=805d3488-c2d2-4a35-b657-f974e5f77206"]}],"mendeley":{"formattedCitation":"&lt;sup&gt;99&lt;/sup&gt;","plainTextFormattedCitation":"99","previouslyFormattedCitation":"&lt;sup&gt;99&lt;/sup&gt;"},"properties":{"noteIndex":0},"schema":"https://github.com/citation-style-language/schema/raw/master/csl-citation.json"}</w:instrText>
      </w:r>
      <w:r w:rsidRPr="00901194">
        <w:rPr>
          <w:rFonts w:cs="Times New Roman"/>
          <w:szCs w:val="24"/>
        </w:rPr>
        <w:fldChar w:fldCharType="separate"/>
      </w:r>
      <w:bookmarkStart w:id="32" w:name="__Fieldmark__315_848958439"/>
      <w:bookmarkStart w:id="33" w:name="__Fieldmark__809_1847056004"/>
      <w:r w:rsidR="00AB5632" w:rsidRPr="00901194">
        <w:rPr>
          <w:rFonts w:cs="Times New Roman"/>
          <w:noProof/>
          <w:szCs w:val="24"/>
          <w:vertAlign w:val="superscript"/>
        </w:rPr>
        <w:t>99</w:t>
      </w:r>
      <w:r w:rsidRPr="00901194">
        <w:rPr>
          <w:rFonts w:cs="Times New Roman"/>
          <w:szCs w:val="24"/>
        </w:rPr>
        <w:fldChar w:fldCharType="end"/>
      </w:r>
      <w:bookmarkEnd w:id="32"/>
      <w:bookmarkEnd w:id="33"/>
      <w:r w:rsidRPr="00901194">
        <w:rPr>
          <w:rFonts w:cs="Times New Roman"/>
          <w:szCs w:val="24"/>
        </w:rPr>
        <w:t>. MZmine v2.33</w:t>
      </w:r>
      <w:r w:rsidRPr="00901194">
        <w:rPr>
          <w:rFonts w:cs="Times New Roman"/>
          <w:szCs w:val="24"/>
        </w:rPr>
        <w:fldChar w:fldCharType="begin" w:fldLock="1"/>
      </w:r>
      <w:r w:rsidR="000A1931" w:rsidRPr="00901194">
        <w:rPr>
          <w:rFonts w:cs="Times New Roman"/>
          <w:szCs w:val="24"/>
        </w:rPr>
        <w:instrText>ADDIN CSL_CITATION {"citationItems":[{"id":"ITEM-1","itemData":{"DOI":"10.1186/1471-2105-11-395","ISSN":"14712105","abstract":"BACKGROUND Mass spectrometry (MS) coupled with online separation methods is commonly applied for differential and quantitative profiling of biological samples in metabolomic as well as proteomic research. Such approaches are used for systems biology, functional genomics, and biomarker discovery, among others. An ongoing challenge of these molecular profiling approaches, however, is the development of better data processing methods. Here we introduce a new generation of a popular open-source data processing toolbox, MZmine 2. RESULTS A key concept of the MZmine 2 software design is the strict separation of core functionality and data processing modules, with emphasis on easy usability and support for high-resolution spectra processing. Data processing modules take advantage of embedded visualization tools, allowing for immediate previews of parameter settings. Newly introduced functionality includes the identification of peaks using online databases, MSn data support, improved isotope pattern support, scatter plot visualization, and a new method for peak list alignment based on the random sample consensus (RANSAC) algorithm. The performance of the RANSAC alignment was evaluated using synthetic datasets as well as actual experimental data, and the results were compared to those obtained using other alignment algorithms. CONCLUSIONS MZmine 2 is freely available under a GNU GPL license and can be obtained from the project website at: http://mzmine.sourceforge.net/. The current version of MZmine 2 is suitable for processing large batches of data and has been applied to both targeted and non-targeted metabolomic analyses.","author":[{"dropping-particle":"","family":"Pluskal","given":"Tomáš","non-dropping-particle":"","parse-names":false,"suffix":""},{"dropping-particle":"","family":"Castillo","given":"Sandra","non-dropping-particle":"","parse-names":false,"suffix":""},{"dropping-particle":"","family":"Villar-Briones","given":"Alejandro","non-dropping-particle":"","parse-names":false,"suffix":""},{"dropping-particle":"","family":"Orešič","given":"Matej","non-dropping-particle":"","parse-names":false,"suffix":""}],"container-title":"BMC Bioinformatics","id":"ITEM-1","issued":{"date-parts":[["2010"]]},"title":"MZmine 2: Modular framework for processing, visualizing, and analyzing mass spectrometry-based molecular profile data","type":"article-journal","volume":"11"},"uris":["http://www.mendeley.com/documents/?uuid=7072d1dd-ad8c-4e5f-9f8f-241da5becf52"]}],"mendeley":{"formattedCitation":"&lt;sup&gt;100&lt;/sup&gt;","plainTextFormattedCitation":"100","previouslyFormattedCitation":"&lt;sup&gt;100&lt;/sup&gt;"},"properties":{"noteIndex":0},"schema":"https://github.com/citation-style-language/schema/raw/master/csl-citation.json"}</w:instrText>
      </w:r>
      <w:r w:rsidRPr="00901194">
        <w:rPr>
          <w:rFonts w:cs="Times New Roman"/>
          <w:szCs w:val="24"/>
        </w:rPr>
        <w:fldChar w:fldCharType="separate"/>
      </w:r>
      <w:bookmarkStart w:id="34" w:name="__Fieldmark__322_848958439"/>
      <w:bookmarkStart w:id="35" w:name="__Fieldmark__816_1847056004"/>
      <w:r w:rsidR="00AB5632" w:rsidRPr="00901194">
        <w:rPr>
          <w:rFonts w:cs="Times New Roman"/>
          <w:noProof/>
          <w:szCs w:val="24"/>
          <w:vertAlign w:val="superscript"/>
        </w:rPr>
        <w:t>100</w:t>
      </w:r>
      <w:r w:rsidRPr="00901194">
        <w:rPr>
          <w:rFonts w:cs="Times New Roman"/>
          <w:szCs w:val="24"/>
        </w:rPr>
        <w:fldChar w:fldCharType="end"/>
      </w:r>
      <w:bookmarkEnd w:id="34"/>
      <w:bookmarkEnd w:id="35"/>
      <w:r w:rsidRPr="00901194">
        <w:rPr>
          <w:rFonts w:cs="Times New Roman"/>
          <w:szCs w:val="24"/>
        </w:rPr>
        <w:t xml:space="preserve"> was used to identify MS features for all samples (Table S</w:t>
      </w:r>
      <w:r w:rsidR="00916771" w:rsidRPr="00901194">
        <w:rPr>
          <w:rFonts w:cs="Times New Roman"/>
          <w:szCs w:val="24"/>
        </w:rPr>
        <w:t>2.</w:t>
      </w:r>
      <w:r w:rsidRPr="00901194">
        <w:rPr>
          <w:rFonts w:cs="Times New Roman"/>
          <w:szCs w:val="24"/>
        </w:rPr>
        <w:t>4). All non-gap filled analyses were performed using identical parameters to the gap filling steps in MZmine, with the exception of the gap filling step. After feature filtering, only features with abundance three times greater than the abundance of blanks were retained in these analyses. Total ion current (TIC) normalization was conducted through R programming language v3.5.3</w:t>
      </w:r>
      <w:r w:rsidRPr="00901194">
        <w:rPr>
          <w:rFonts w:cs="Times New Roman"/>
          <w:szCs w:val="24"/>
        </w:rPr>
        <w:fldChar w:fldCharType="begin" w:fldLock="1"/>
      </w:r>
      <w:r w:rsidR="000A1931" w:rsidRPr="00901194">
        <w:rPr>
          <w:rFonts w:cs="Times New Roman"/>
          <w:szCs w:val="24"/>
        </w:rPr>
        <w:instrText>ADDIN CSL_CITATION {"citationItems":[{"id":"ITEM-1","itemData":{"DOI":"10.1108/eb003648","ISBN":"9781584886181","ISSN":"0019-7858","abstract":"This document describes basic features of dplR by following the initial steps that an analyst might follow when working with a new tree-ring data set. The vignette starts with reading in ring widths and plotting them. We describe a few of the available methods for detrending and then show how to extract basic descriptive statistics. We show how to build and plot a simple mean-value chronology. We also show how to build a chronology using the expressed population signal from the detrended ring widths as an example of how more complicated analysis can be done using dplR.","author":[{"dropping-particle":"","family":"Bunn","given":"Andy","non-dropping-particle":"","parse-names":false,"suffix":""},{"dropping-particle":"","family":"Korpela","given":"Mikko","non-dropping-particle":"","parse-names":false,"suffix":""}],"container-title":"Industrial and Commercial Training","id":"ITEM-1","issued":{"date-parts":[["2018"]]},"page":"1-16","title":"R: A Language for Data Analysis and Graphics","type":"article-journal","volume":"0"},"uris":["http://www.mendeley.com/documents/?uuid=5d4fdb32-6875-4039-a60e-ee34c978f544"]}],"mendeley":{"formattedCitation":"&lt;sup&gt;101&lt;/sup&gt;","plainTextFormattedCitation":"101","previouslyFormattedCitation":"&lt;sup&gt;101&lt;/sup&gt;"},"properties":{"noteIndex":0},"schema":"https://github.com/citation-style-language/schema/raw/master/csl-citation.json"}</w:instrText>
      </w:r>
      <w:r w:rsidRPr="00901194">
        <w:rPr>
          <w:rFonts w:cs="Times New Roman"/>
          <w:szCs w:val="24"/>
        </w:rPr>
        <w:fldChar w:fldCharType="separate"/>
      </w:r>
      <w:bookmarkStart w:id="36" w:name="__Fieldmark__331_848958439"/>
      <w:bookmarkStart w:id="37" w:name="__Fieldmark__829_1847056004"/>
      <w:r w:rsidR="00AB5632" w:rsidRPr="00901194">
        <w:rPr>
          <w:rFonts w:cs="Times New Roman"/>
          <w:noProof/>
          <w:szCs w:val="24"/>
          <w:vertAlign w:val="superscript"/>
        </w:rPr>
        <w:t>101</w:t>
      </w:r>
      <w:r w:rsidRPr="00901194">
        <w:rPr>
          <w:rFonts w:cs="Times New Roman"/>
          <w:szCs w:val="24"/>
        </w:rPr>
        <w:fldChar w:fldCharType="end"/>
      </w:r>
      <w:bookmarkEnd w:id="36"/>
      <w:bookmarkEnd w:id="37"/>
      <w:r w:rsidRPr="00901194">
        <w:rPr>
          <w:rFonts w:cs="Times New Roman"/>
          <w:szCs w:val="24"/>
        </w:rPr>
        <w:t xml:space="preserve"> in Jupyter Notebook</w:t>
      </w:r>
      <w:r w:rsidRPr="00901194">
        <w:rPr>
          <w:rFonts w:cs="Times New Roman"/>
          <w:szCs w:val="24"/>
        </w:rPr>
        <w:fldChar w:fldCharType="begin" w:fldLock="1"/>
      </w:r>
      <w:r w:rsidR="000A1931" w:rsidRPr="00901194">
        <w:rPr>
          <w:rFonts w:cs="Times New Roman"/>
          <w:szCs w:val="24"/>
        </w:rPr>
        <w:instrText>ADDIN CSL_CITATION {"citationItems":[{"id":"ITEM-1","itemData":{"DOI":"10.3233/978-1-61499-649-1-87","ISBN":"9781614996491","abstract":"It is increasingly necessary for researchers in all fields to write computer code, and in order to reproduce research results, it is important that this code is published. We present Jupyter notebooks, a document format for publishing code, results and explanations in a form that is both readable and executable. We discuss various tools and use cases for notebook documents.","author":[{"dropping-particle":"","family":"Kluyver","given":"Thomas","non-dropping-particle":"","parse-names":false,"suffix":""},{"dropping-particle":"","family":"Ragan-kelley","given":"Benjamin","non-dropping-particle":"","parse-names":false,"suffix":""},{"dropping-particle":"","family":"Pérez","given":"Fernando","non-dropping-particle":"","parse-names":false,"suffix":""},{"dropping-particle":"","family":"Granger","given":"Brian","non-dropping-particle":"","parse-names":false,"suffix":""},{"dropping-particle":"","family":"Bussonnier","given":"Matthias","non-dropping-particle":"","parse-names":false,"suffix":""},{"dropping-particle":"","family":"Frederic","given":"Jonathan","non-dropping-particle":"","parse-names":false,"suffix":""},{"dropping-particle":"","family":"Kelley","given":"Kyle","non-dropping-particle":"","parse-names":false,"suffix":""},{"dropping-particle":"","family":"Hamrick","given":"Jessica","non-dropping-particle":"","parse-names":false,"suffix":""},{"dropping-particle":"","family":"Grout","given":"Jason","non-dropping-particle":"","parse-names":false,"suffix":""},{"dropping-particle":"","family":"Corlay","given":"Sylvain","non-dropping-particle":"","parse-names":false,"suffix":""},{"dropping-particle":"","family":"Ivanov","given":"Paul","non-dropping-particle":"","parse-names":false,"suffix":""},{"dropping-particle":"","family":"Avila","given":"Damián","non-dropping-particle":"","parse-names":false,"suffix":""},{"dropping-particle":"","family":"Abdalla","given":"Safia","non-dropping-particle":"","parse-names":false,"suffix":""},{"dropping-particle":"","family":"Willing","given":"Carol","non-dropping-particle":"","parse-names":false,"suffix":""}],"container-title":"Positioning and Power in Academic Publishing: Players, Agents and Agendas","id":"ITEM-1","issued":{"date-parts":[["2016"]]},"page":"87-90","title":"Jupyter Notebooks—a publishing format for reproducible computational workflows","type":"article-journal"},"uris":["http://www.mendeley.com/documents/?uuid=82c8d883-6cfa-4aec-ab61-38ab10e1f4f8"]}],"mendeley":{"formattedCitation":"&lt;sup&gt;102&lt;/sup&gt;","plainTextFormattedCitation":"102","previouslyFormattedCitation":"&lt;sup&gt;102&lt;/sup&gt;"},"properties":{"noteIndex":0},"schema":"https://github.com/citation-style-language/schema/raw/master/csl-citation.json"}</w:instrText>
      </w:r>
      <w:r w:rsidRPr="00901194">
        <w:rPr>
          <w:rFonts w:cs="Times New Roman"/>
          <w:szCs w:val="24"/>
        </w:rPr>
        <w:fldChar w:fldCharType="separate"/>
      </w:r>
      <w:bookmarkStart w:id="38" w:name="__Fieldmark__338_848958439"/>
      <w:bookmarkStart w:id="39" w:name="__Fieldmark__836_1847056004"/>
      <w:r w:rsidR="00AB5632" w:rsidRPr="00901194">
        <w:rPr>
          <w:rFonts w:cs="Times New Roman"/>
          <w:noProof/>
          <w:szCs w:val="24"/>
          <w:vertAlign w:val="superscript"/>
        </w:rPr>
        <w:t>102</w:t>
      </w:r>
      <w:r w:rsidRPr="00901194">
        <w:rPr>
          <w:rFonts w:cs="Times New Roman"/>
          <w:szCs w:val="24"/>
        </w:rPr>
        <w:fldChar w:fldCharType="end"/>
      </w:r>
      <w:bookmarkEnd w:id="38"/>
      <w:bookmarkEnd w:id="39"/>
      <w:r w:rsidRPr="00901194">
        <w:rPr>
          <w:rFonts w:cs="Times New Roman"/>
          <w:szCs w:val="24"/>
        </w:rPr>
        <w:t>. FBMN and library spectral database searches were completed using the FBMN workflow on Global Natural Products Social Molecular Networking (GNPS)</w:t>
      </w:r>
      <w:r w:rsidRPr="00901194">
        <w:rPr>
          <w:rFonts w:cs="Times New Roman"/>
          <w:szCs w:val="24"/>
        </w:rPr>
        <w:fldChar w:fldCharType="begin" w:fldLock="1"/>
      </w:r>
      <w:r w:rsidR="000A1931" w:rsidRPr="00901194">
        <w:rPr>
          <w:rFonts w:cs="Times New Roman"/>
          <w:szCs w:val="24"/>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Pr="00901194">
        <w:rPr>
          <w:rFonts w:cs="Times New Roman"/>
          <w:szCs w:val="24"/>
        </w:rPr>
        <w:fldChar w:fldCharType="separate"/>
      </w:r>
      <w:bookmarkStart w:id="40" w:name="__Fieldmark__345_848958439"/>
      <w:bookmarkStart w:id="41" w:name="__Fieldmark__845_1847056004"/>
      <w:r w:rsidR="00AB5632" w:rsidRPr="00901194">
        <w:rPr>
          <w:rFonts w:cs="Times New Roman"/>
          <w:noProof/>
          <w:szCs w:val="24"/>
          <w:vertAlign w:val="superscript"/>
        </w:rPr>
        <w:t>45</w:t>
      </w:r>
      <w:r w:rsidRPr="00901194">
        <w:rPr>
          <w:rFonts w:cs="Times New Roman"/>
          <w:szCs w:val="24"/>
        </w:rPr>
        <w:fldChar w:fldCharType="end"/>
      </w:r>
      <w:bookmarkEnd w:id="40"/>
      <w:bookmarkEnd w:id="41"/>
      <w:r w:rsidRPr="00901194">
        <w:rPr>
          <w:rFonts w:cs="Times New Roman"/>
          <w:szCs w:val="24"/>
        </w:rPr>
        <w:t xml:space="preserve">. FBMN GNPS parameters for MS/MS analysis were as follows: precursor and fragment ion mass tolerance: 0.02 Da, minimum cosine score for networking and library matches: 0.7, minimum number of matched MS2 fragment ions for networking and library matches: 4, network topK: 50, maximum connected component size: 100, maximum shift between precursors: 500 Da, analog search: enabled, maximum analog mass difference: 100 Da, precursor window filtering: enabled, 50 Da peak window filtering: enabled, normalization per file: row sum normalization. Results were analyzed by visually evaluating mirror plot similarity, cosine score, and match likelihood. Molecular networking results were </w:t>
      </w:r>
      <w:r w:rsidRPr="00901194">
        <w:rPr>
          <w:rFonts w:cs="Times New Roman"/>
          <w:szCs w:val="24"/>
        </w:rPr>
        <w:lastRenderedPageBreak/>
        <w:t>exported to Cytoscape v3.7.1</w:t>
      </w:r>
      <w:r w:rsidRPr="00901194">
        <w:rPr>
          <w:rFonts w:cs="Times New Roman"/>
          <w:szCs w:val="24"/>
        </w:rPr>
        <w:fldChar w:fldCharType="begin" w:fldLock="1"/>
      </w:r>
      <w:r w:rsidR="000A1931" w:rsidRPr="00901194">
        <w:rPr>
          <w:rFonts w:cs="Times New Roman"/>
          <w:szCs w:val="24"/>
        </w:rPr>
        <w:instrText>ADDIN CSL_CITATION {"citationItems":[{"id":"ITEM-1","itemData":{"DOI":"10.1101/gr.1239303.metabolite","ISBN":"1088-9051 (Print) 1088-9051 (Linking)","ISSN":"1088-9051","PMID":"14597658","abstract":"Cytoscape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author":[{"dropping-particle":"","family":"Shannon","given":"Paul","non-dropping-particle":"","parse-names":false,"suffix":""},{"dropping-particle":"","family":"Markiel","given":"Andrew","non-dropping-particle":"","parse-names":false,"suffix":""},{"dropping-particle":"","family":"Ozier","given":"Owen","non-dropping-particle":"","parse-names":false,"suffix":""},{"dropping-particle":"","family":"Baliga","given":"Nitin S.","non-dropping-particle":"","parse-names":false,"suffix":""},{"dropping-particle":"","family":"Wang","given":"Jonathan T.","non-dropping-particle":"","parse-names":false,"suffix":""},{"dropping-particle":"","family":"Ramage","given":"Daniel","non-dropping-particle":"","parse-names":false,"suffix":""},{"dropping-particle":"","family":"Amin","given":"Nada","non-dropping-particle":"","parse-names":false,"suffix":""},{"dropping-particle":"","family":"Schikowski","given":"Benno","non-dropping-particle":"","parse-names":false,"suffix":""},{"dropping-particle":"","family":"Ideker","given":"Trey","non-dropping-particle":"","parse-names":false,"suffix":""}],"container-title":"Genome Research","id":"ITEM-1","issued":{"date-parts":[["2003"]]},"page":"2498-2504","title":"Cytoscape: A Software Environment for Integrated Models","type":"article-journal","volume":"13"},"uris":["http://www.mendeley.com/documents/?uuid=efe6b25c-e11a-48d6-b318-db1a486bcade"]}],"mendeley":{"formattedCitation":"&lt;sup&gt;103&lt;/sup&gt;","plainTextFormattedCitation":"103","previouslyFormattedCitation":"&lt;sup&gt;103&lt;/sup&gt;"},"properties":{"noteIndex":0},"schema":"https://github.com/citation-style-language/schema/raw/master/csl-citation.json"}</w:instrText>
      </w:r>
      <w:r w:rsidRPr="00901194">
        <w:rPr>
          <w:rFonts w:cs="Times New Roman"/>
          <w:szCs w:val="24"/>
        </w:rPr>
        <w:fldChar w:fldCharType="separate"/>
      </w:r>
      <w:bookmarkStart w:id="42" w:name="__Fieldmark__352_848958439"/>
      <w:bookmarkStart w:id="43" w:name="__Fieldmark__864_1847056004"/>
      <w:r w:rsidR="00AB5632" w:rsidRPr="00901194">
        <w:rPr>
          <w:rFonts w:cs="Times New Roman"/>
          <w:noProof/>
          <w:szCs w:val="24"/>
          <w:vertAlign w:val="superscript"/>
        </w:rPr>
        <w:t>103</w:t>
      </w:r>
      <w:r w:rsidRPr="00901194">
        <w:rPr>
          <w:rFonts w:cs="Times New Roman"/>
          <w:szCs w:val="24"/>
        </w:rPr>
        <w:fldChar w:fldCharType="end"/>
      </w:r>
      <w:bookmarkEnd w:id="42"/>
      <w:bookmarkEnd w:id="43"/>
      <w:r w:rsidRPr="00901194">
        <w:rPr>
          <w:rFonts w:cs="Times New Roman"/>
          <w:szCs w:val="24"/>
        </w:rPr>
        <w:t xml:space="preserve"> to visualize and analyze networks. Predicted ClassyFire</w:t>
      </w:r>
      <w:r w:rsidRPr="00901194">
        <w:rPr>
          <w:rFonts w:cs="Times New Roman"/>
          <w:szCs w:val="24"/>
        </w:rPr>
        <w:fldChar w:fldCharType="begin" w:fldLock="1"/>
      </w:r>
      <w:r w:rsidR="000A1931" w:rsidRPr="00901194">
        <w:rPr>
          <w:rFonts w:cs="Times New Roman"/>
          <w:szCs w:val="24"/>
        </w:rPr>
        <w:instrText>ADDIN CSL_CITATION {"citationItems":[{"id":"ITEM-1","itemData":{"DOI":"10.1186/s13321-016-0174-y","ISSN":"17582946","abstract":"Background: Scientists have long been driven by the desire to describe, organize, classify, and compare objects using taxonomies and/or ontologies. In contrast to biology, geology, and many other scientific disciplines, the world of chemistry still lacks a standardized chemical ontology or taxonomy. Several attempts at chemical classification have been made; but they have mostly been limited to either manual, or semi-automated proof-of-principle applications. This is regrettable as comprehensive chemical classification and description tools could not only improve our understanding of chemistry but also improve the linkage between chemistry and many other fields. For instance, the chemical classification of a compound could help predict its metabolic fate in humans, its druggability or potential hazards associated with it, among others. However, the sheer number (tens of millions of compounds) and complexity of chemical structures is such that any manual classification effort would prove to be near impossible. Results: We have developed a comprehensive, flexible, and computable, purely structure-based chemical taxonomy (ChemOnt), along with a computer program (ClassyFire) that uses only chemical structures and structural features to automatically assign all known chemical compounds to a taxonomy consisting of &gt;4800 different categories. This new chemical taxonomy consists of up to 11 different levels (Kingdom, SuperClass, Class, SubClass, etc.) with each of the categories defined by unambiguous, computable structural rules. Furthermore each category is named using a consensus-based nomenclature and described (in English) based on the characteristic common structural properties of the compounds it contains. The ClassyFire webserver is freely accessible at http://classyfire.wishartlab.com/ . Moreover, a Ruby API version is available at https://bitbucket.org/wishartlab/classyfire_api , which provides programmatic access to the ClassyFire server and database. ClassyFire has been used to annotate over 77 million compounds and has already been integrated into other software packages to automatically generate textual descriptions for, and/or infer biological properties of over 100,000 compounds. Additional examples and applications are provided in this paper. Conclusion: ClassyFire, in combination with ChemOnt (ClassyFire's comprehensive chemical taxonomy), now allows chemists and cheminformaticians to perform large-scale, rapid and automated chemical classific…","author":[{"dropping-particle":"","family":"Djoumbou Feunang","given":"Yannick","non-dropping-particle":"","parse-names":false,"suffix":""},{"dropping-particle":"","family":"Eisner","given":"Roman","non-dropping-particle":"","parse-names":false,"suffix":""},{"dropping-particle":"","family":"Knox","given":"Craig","non-dropping-particle":"","parse-names":false,"suffix":""},{"dropping-particle":"","family":"Chepelev","given":"Leonid","non-dropping-particle":"","parse-names":false,"suffix":""},{"dropping-particle":"","family":"Hastings","given":"Janna","non-dropping-particle":"","parse-names":false,"suffix":""},{"dropping-particle":"","family":"Owen","given":"Gareth","non-dropping-particle":"","parse-names":false,"suffix":""},{"dropping-particle":"","family":"Fahy","given":"Eoin","non-dropping-particle":"","parse-names":false,"suffix":""},{"dropping-particle":"","family":"Steinbeck","given":"Christoph","non-dropping-particle":"","parse-names":false,"suffix":""},{"dropping-particle":"","family":"Subramanian","given":"Shankar","non-dropping-particle":"","parse-names":false,"suffix":""},{"dropping-particle":"","family":"Bolton","given":"Evan","non-dropping-particle":"","parse-names":false,"suffix":""},{"dropping-particle":"","family":"Greiner","given":"Russell","non-dropping-particle":"","parse-names":false,"suffix":""},{"dropping-particle":"","family":"Wishart","given":"David S.","non-dropping-particle":"","parse-names":false,"suffix":""}],"container-title":"Journal of Cheminformatics","id":"ITEM-1","issue":"1","issued":{"date-parts":[["2016"]]},"page":"1-20","publisher":"Springer International Publishing","title":"ClassyFire: automated chemical classification with a comprehensive, computable taxonomy","type":"article-journal","volume":"8"},"uris":["http://www.mendeley.com/documents/?uuid=d55f0c48-9474-4c41-a9bf-4b7a92dc6877"]}],"mendeley":{"formattedCitation":"&lt;sup&gt;104&lt;/sup&gt;","plainTextFormattedCitation":"104","previouslyFormattedCitation":"&lt;sup&gt;104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104</w:t>
      </w:r>
      <w:r w:rsidRPr="00901194">
        <w:rPr>
          <w:rFonts w:cs="Times New Roman"/>
          <w:szCs w:val="24"/>
        </w:rPr>
        <w:fldChar w:fldCharType="end"/>
      </w:r>
      <w:r w:rsidRPr="00901194">
        <w:rPr>
          <w:rFonts w:cs="Times New Roman"/>
          <w:szCs w:val="24"/>
        </w:rPr>
        <w:t xml:space="preserve"> classifications for shared metabolites were derived using the MolNetEnhancer</w:t>
      </w:r>
      <w:r w:rsidRPr="00901194">
        <w:rPr>
          <w:rFonts w:cs="Times New Roman"/>
          <w:szCs w:val="24"/>
        </w:rPr>
        <w:fldChar w:fldCharType="begin" w:fldLock="1"/>
      </w:r>
      <w:r w:rsidR="000A1931" w:rsidRPr="00901194">
        <w:rPr>
          <w:rFonts w:cs="Times New Roman"/>
          <w:szCs w:val="24"/>
        </w:rPr>
        <w:instrText>ADDIN CSL_CITATION {"citationItems":[{"id":"ITEM-1","itemData":{"DOI":"10.3390/metabo9070144","ISSN":"2218-1989","abstract":"Metabolomics has started to embrace computational approaches for chemical interpretation of large data sets. Yet, metabolite annotation remains a key challenge. Recently, molecular networking and MS2LDA emerged as molecular mining tools that find molecular families and substructures in mass spectrometry fragmentation data. Moreover, in silico annotation tools obtain and rank candidate molecules for fragmentation spectra. Ideally, all structural information obtained and inferred from these computational tools could be combined to increase the resulting chemical insight one can obtain from a data set. However, integration is currently hampered as each tool has its own output format and efficient matching of data across these tools is lacking. Here, we introduce MolNetEnhancer, a workflow that combines the outputs from molecular networking, MS2LDA, in silico annotation tools (such as Network Annotation Propagation or DEREPLICATOR), and the automated chemical classification through ClassyFire to provide a more comprehensive chemical overview of metabolomics data whilst at the same time illuminating structural details for each fragmentation spectrum. We present examples from four plant and bacterial case studies and show how MolNetEnhancer enables the chemical annotation, visualization, and discovery of the subtle substructural diversity within molecular families. We conclude that MolNetEnhancer is a useful tool that greatly assists the metabolomics researcher in deciphering the metabolome through combination of multiple independent in silico pipelines.","author":[{"dropping-particle":"","family":"Ernst","given":"Madeleine","non-dropping-particle":"","parse-names":false,"suffix":""},{"dropping-particle":"Bin","family":"Kang","given":"Kyo","non-dropping-particle":"","parse-names":false,"suffix":""},{"dropping-particle":"","family":"Caraballo-Rodríguez","given":"Andrés Mauricio","non-dropping-particle":"","parse-names":false,"suffix":""},{"dropping-particle":"","family":"Nothias","given":"Louis-Felix","non-dropping-particle":"","parse-names":false,"suffix":""},{"dropping-particle":"","family":"Wandy","given":"Joe","non-dropping-particle":"","parse-names":false,"suffix":""},{"dropping-particle":"","family":"Chen","given":"Christopher","non-dropping-particle":"","parse-names":false,"suffix":""},{"dropping-particle":"","family":"Wang","given":"Mingxun","non-dropping-particle":"","parse-names":false,"suffix":""},{"dropping-particle":"","family":"Rogers","given":"Simon","non-dropping-particle":"","parse-names":false,"suffix":""},{"dropping-particle":"","family":"Medema","given":"Marnix H.","non-dropping-particle":"","parse-names":false,"suffix":""},{"dropping-particle":"","family":"Dorrestein","given":"Pieter C.","non-dropping-particle":"","parse-names":false,"suffix":""},{"dropping-particle":"","family":"Hooft","given":"Justin J.J.","non-dropping-particle":"van der","parse-names":false,"suffix":""}],"container-title":"Metabolites","id":"ITEM-1","issue":"7","issued":{"date-parts":[["2019"]]},"note":"Summary: Paper describes MolNetEnhancer, which takes MS2 info about molecular networking and chemical families, then calculates/estimates what chemical class best matches to that molecular network for each metabolite feature. Provides ways of getting more annotation info/details about metabolite features in your data, and designed to integrate with existing LC-MS/MS data analysis tools like GNPS and FBMN. Also discusses 4 case studies that show how MolNetEnhancer enhances chemical info in datasets.\nAssessment: Overall good, but hard to understand by itself. Think I get the general gist and how it works though\n\n\nPresents case studies showing how MolNetEnhancer provided more info about detected metab features by giving estimated chemical class info (derived from molecular networking that groups by chemical structure)\n\nBased upon Mass2Motifs principle\n\nMolNetEnhancer is a Python and R package","page":"144","title":"MolNetEnhancer: Enhanced Molecular Networks by Integrating Metabolome Mining and Annotation Tools","type":"article-journal","volume":"9"},"uris":["http://www.mendeley.com/documents/?uuid=182fc1cc-64df-4bee-8e11-0642f1f32c90"]}],"mendeley":{"formattedCitation":"&lt;sup&gt;105&lt;/sup&gt;","plainTextFormattedCitation":"105","previouslyFormattedCitation":"&lt;sup&gt;105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105</w:t>
      </w:r>
      <w:r w:rsidRPr="00901194">
        <w:rPr>
          <w:rFonts w:cs="Times New Roman"/>
          <w:szCs w:val="24"/>
        </w:rPr>
        <w:fldChar w:fldCharType="end"/>
      </w:r>
      <w:r w:rsidRPr="00901194">
        <w:rPr>
          <w:rFonts w:cs="Times New Roman"/>
          <w:szCs w:val="24"/>
        </w:rPr>
        <w:t xml:space="preserve"> workflow in GNPS. In addition, select annotations were confirmed using authentic standards (Figure S</w:t>
      </w:r>
      <w:r w:rsidR="00E762E6" w:rsidRPr="00901194">
        <w:rPr>
          <w:rFonts w:cs="Times New Roman"/>
          <w:szCs w:val="24"/>
        </w:rPr>
        <w:t>2.</w:t>
      </w:r>
      <w:r w:rsidRPr="00901194">
        <w:rPr>
          <w:rFonts w:cs="Times New Roman"/>
          <w:szCs w:val="24"/>
        </w:rPr>
        <w:t>4).</w:t>
      </w:r>
    </w:p>
    <w:p w14:paraId="168ECC53" w14:textId="080F4242" w:rsidR="00D02195" w:rsidRPr="00901194" w:rsidRDefault="00D02195" w:rsidP="00D02195">
      <w:pPr>
        <w:ind w:firstLine="720"/>
        <w:rPr>
          <w:rFonts w:cs="Times New Roman"/>
          <w:szCs w:val="24"/>
        </w:rPr>
      </w:pPr>
      <w:r w:rsidRPr="00901194">
        <w:rPr>
          <w:rFonts w:cs="Times New Roman"/>
          <w:szCs w:val="24"/>
        </w:rPr>
        <w:t>MS filtering was performed in MZmine</w:t>
      </w:r>
      <w:r w:rsidRPr="00901194">
        <w:rPr>
          <w:rFonts w:cs="Times New Roman"/>
          <w:szCs w:val="24"/>
        </w:rPr>
        <w:fldChar w:fldCharType="begin" w:fldLock="1"/>
      </w:r>
      <w:r w:rsidR="000A1931" w:rsidRPr="00901194">
        <w:rPr>
          <w:rFonts w:cs="Times New Roman"/>
          <w:szCs w:val="24"/>
        </w:rPr>
        <w:instrText>ADDIN CSL_CITATION {"citationItems":[{"id":"ITEM-1","itemData":{"DOI":"10.1186/1471-2105-11-395","ISSN":"14712105","abstract":"BACKGROUND Mass spectrometry (MS) coupled with online separation methods is commonly applied for differential and quantitative profiling of biological samples in metabolomic as well as proteomic research. Such approaches are used for systems biology, functional genomics, and biomarker discovery, among others. An ongoing challenge of these molecular profiling approaches, however, is the development of better data processing methods. Here we introduce a new generation of a popular open-source data processing toolbox, MZmine 2. RESULTS A key concept of the MZmine 2 software design is the strict separation of core functionality and data processing modules, with emphasis on easy usability and support for high-resolution spectra processing. Data processing modules take advantage of embedded visualization tools, allowing for immediate previews of parameter settings. Newly introduced functionality includes the identification of peaks using online databases, MSn data support, improved isotope pattern support, scatter plot visualization, and a new method for peak list alignment based on the random sample consensus (RANSAC) algorithm. The performance of the RANSAC alignment was evaluated using synthetic datasets as well as actual experimental data, and the results were compared to those obtained using other alignment algorithms. CONCLUSIONS MZmine 2 is freely available under a GNU GPL license and can be obtained from the project website at: http://mzmine.sourceforge.net/. The current version of MZmine 2 is suitable for processing large batches of data and has been applied to both targeted and non-targeted metabolomic analyses.","author":[{"dropping-particle":"","family":"Pluskal","given":"Tomáš","non-dropping-particle":"","parse-names":false,"suffix":""},{"dropping-particle":"","family":"Castillo","given":"Sandra","non-dropping-particle":"","parse-names":false,"suffix":""},{"dropping-particle":"","family":"Villar-Briones","given":"Alejandro","non-dropping-particle":"","parse-names":false,"suffix":""},{"dropping-particle":"","family":"Orešič","given":"Matej","non-dropping-particle":"","parse-names":false,"suffix":""}],"container-title":"BMC Bioinformatics","id":"ITEM-1","issued":{"date-parts":[["2010"]]},"title":"MZmine 2: Modular framework for processing, visualizing, and analyzing mass spectrometry-based molecular profile data","type":"article-journal","volume":"11"},"uris":["http://www.mendeley.com/documents/?uuid=7072d1dd-ad8c-4e5f-9f8f-241da5becf52"]}],"mendeley":{"formattedCitation":"&lt;sup&gt;100&lt;/sup&gt;","plainTextFormattedCitation":"100","previouslyFormattedCitation":"&lt;sup&gt;100&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100</w:t>
      </w:r>
      <w:r w:rsidRPr="00901194">
        <w:rPr>
          <w:rFonts w:cs="Times New Roman"/>
          <w:szCs w:val="24"/>
        </w:rPr>
        <w:fldChar w:fldCharType="end"/>
      </w:r>
      <w:r w:rsidRPr="00901194">
        <w:rPr>
          <w:rFonts w:cs="Times New Roman"/>
          <w:szCs w:val="24"/>
        </w:rPr>
        <w:t>. Three separate filtering workflows were done: 6 minimum peaks in a row (half the number of samples in a single population), 45 minimum peaks in a row (half our total samples), and 90 minimum peaks in a row (all samples). After each filtering step, gap-filling was performed using the previous parameters. For the six-sample filtering, additional processing was done in R</w:t>
      </w:r>
      <w:r w:rsidRPr="00901194">
        <w:rPr>
          <w:rFonts w:cs="Times New Roman"/>
          <w:szCs w:val="24"/>
        </w:rPr>
        <w:fldChar w:fldCharType="begin" w:fldLock="1"/>
      </w:r>
      <w:r w:rsidR="000A1931" w:rsidRPr="00901194">
        <w:rPr>
          <w:rFonts w:cs="Times New Roman"/>
          <w:szCs w:val="24"/>
        </w:rPr>
        <w:instrText>ADDIN CSL_CITATION {"citationItems":[{"id":"ITEM-1","itemData":{"DOI":"10.1108/eb003648","ISBN":"9781584886181","ISSN":"0019-7858","abstract":"This document describes basic features of dplR by following the initial steps that an analyst might follow when working with a new tree-ring data set. The vignette starts with reading in ring widths and plotting them. We describe a few of the available methods for detrending and then show how to extract basic descriptive statistics. We show how to build and plot a simple mean-value chronology. We also show how to build a chronology using the expressed population signal from the detrended ring widths as an example of how more complicated analysis can be done using dplR.","author":[{"dropping-particle":"","family":"Bunn","given":"Andy","non-dropping-particle":"","parse-names":false,"suffix":""},{"dropping-particle":"","family":"Korpela","given":"Mikko","non-dropping-particle":"","parse-names":false,"suffix":""}],"container-title":"Industrial and Commercial Training","id":"ITEM-1","issued":{"date-parts":[["2018"]]},"page":"1-16","title":"R: A Language for Data Analysis and Graphics","type":"article-journal","volume":"0"},"uris":["http://www.mendeley.com/documents/?uuid=5d4fdb32-6875-4039-a60e-ee34c978f544"]}],"mendeley":{"formattedCitation":"&lt;sup&gt;101&lt;/sup&gt;","plainTextFormattedCitation":"101","previouslyFormattedCitation":"&lt;sup&gt;101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101</w:t>
      </w:r>
      <w:r w:rsidRPr="00901194">
        <w:rPr>
          <w:rFonts w:cs="Times New Roman"/>
          <w:szCs w:val="24"/>
        </w:rPr>
        <w:fldChar w:fldCharType="end"/>
      </w:r>
      <w:r w:rsidRPr="00901194">
        <w:rPr>
          <w:rFonts w:cs="Times New Roman"/>
          <w:szCs w:val="24"/>
        </w:rPr>
        <w:t xml:space="preserve"> to remove any features that were not found in at least six samples from each population. The resulting files were also analyzed in GNPS as described above.</w:t>
      </w:r>
    </w:p>
    <w:p w14:paraId="7F41441F" w14:textId="5A05AE91" w:rsidR="00D02195" w:rsidRPr="00901194" w:rsidRDefault="00D02195" w:rsidP="00D02195">
      <w:pPr>
        <w:ind w:firstLine="720"/>
        <w:rPr>
          <w:rFonts w:cs="Times New Roman"/>
          <w:szCs w:val="24"/>
        </w:rPr>
      </w:pPr>
      <w:r w:rsidRPr="00901194">
        <w:rPr>
          <w:rFonts w:cs="Times New Roman"/>
          <w:szCs w:val="24"/>
        </w:rPr>
        <w:t>Mass Spectrometry Search Tool (MASST</w:t>
      </w:r>
      <w:r w:rsidRPr="00901194">
        <w:rPr>
          <w:rFonts w:cs="Times New Roman"/>
          <w:szCs w:val="24"/>
        </w:rPr>
        <w:fldChar w:fldCharType="begin" w:fldLock="1"/>
      </w:r>
      <w:r w:rsidR="000A1931" w:rsidRPr="00901194">
        <w:rPr>
          <w:rFonts w:cs="Times New Roman"/>
          <w:szCs w:val="24"/>
        </w:rPr>
        <w:instrText>ADDIN CSL_CITATION {"citationItems":[{"id":"ITEM-1","itemData":{"DOI":"10.1038/s41587-019-0367-9","ISSN":"15461696","PMID":"31857735","author":[{"dropping-particle":"","family":"Wang","given":"Mingxun","non-dropping-particle":"","parse-names":false,"suffix":""},{"dropping-particle":"","family":"Jarmusch","given":"Alan K.","non-dropping-particle":"","parse-names":false,"suffix":""},{"dropping-particle":"","family":"Vargas","given":"Fernando","non-dropping-particle":"","parse-names":false,"suffix":""},{"dropping-particle":"","family":"Aksenov","given":"Alexander A.","non-dropping-particle":"","parse-names":false,"suffix":""},{"dropping-particle":"","family":"Gauglitz","given":"Julia M.","non-dropping-particle":"","parse-names":false,"suffix":""},{"dropping-particle":"","family":"Weldon","given":"Kelly","non-dropping-particle":"","parse-names":false,"suffix":""},{"dropping-particle":"","family":"Petras","given":"Daniel","non-dropping-particle":"","parse-names":false,"suffix":""},{"dropping-particle":"","family":"Silva","given":"Ricardo","non-dropping-particle":"da","parse-names":false,"suffix":""},{"dropping-particle":"","family":"Quinn","given":"Robert","non-dropping-particle":"","parse-names":false,"suffix":""},{"dropping-particle":"V.","family":"Melnik","given":"Alexey","non-dropping-particle":"","parse-names":false,"suffix":""},{"dropping-particle":"","family":"Hooft","given":"Justin J.J.","non-dropping-particle":"van der","parse-names":false,"suffix":""},{"dropping-particle":"","family":"Caraballo-Rodríguez","given":"Andrés Mauricio","non-dropping-particle":"","parse-names":false,"suffix":""},{"dropping-particle":"","family":"Nothias","given":"Louis Felix","non-dropping-particle":"","parse-names":false,"suffix":""},{"dropping-particle":"","family":"Aceves","given":"Christine M.","non-dropping-particle":"","parse-names":false,"suffix":""},{"dropping-particle":"","family":"Panitchpakdi","given":"Morgan","non-dropping-particle":"","parse-names":false,"suffix":""},{"dropping-particle":"","family":"Brown","given":"Elizabeth","non-dropping-particle":"","parse-names":false,"suffix":""},{"dropping-particle":"","family":"Ottavio","given":"Francesca","non-dropping-particle":"Di","parse-names":false,"suffix":""},{"dropping-particle":"","family":"Sikora","given":"Nicole","non-dropping-particle":"","parse-names":false,"suffix":""},{"dropping-particle":"","family":"Elijah","given":"Emmanuel O.","non-dropping-particle":"","parse-names":false,"suffix":""},{"dropping-particle":"","family":"Labarta-Bajo","given":"Lara","non-dropping-particle":"","parse-names":false,"suffix":""},{"dropping-particle":"","family":"Gentry","given":"Emily C.","non-dropping-particle":"","parse-names":false,"suffix":""},{"dropping-particle":"","family":"Shalapour","given":"Shabnam","non-dropping-particle":"","parse-names":false,"suffix":""},{"dropping-particle":"","family":"Kyle","given":"Kathleen E.","non-dropping-particle":"","parse-names":false,"suffix":""},{"dropping-particle":"","family":"Puckett","given":"Sara P.","non-dropping-particle":"","parse-names":false,"suffix":""},{"dropping-particle":"","family":"Watrous","given":"Jeramie D.","non-dropping-particle":"","parse-names":false,"suffix":""},{"dropping-particle":"","family":"Carpenter","given":"Carolina S.","non-dropping-particle":"","parse-names":false,"suffix":""},{"dropping-particle":"","family":"Bouslimani","given":"Amina","non-dropping-particle":"","parse-names":false,"suffix":""},{"dropping-particle":"","family":"Ernst","given":"Madeleine","non-dropping-particle":"","parse-names":false,"suffix":""},{"dropping-particle":"","family":"Swafford","given":"Austin D.","non-dropping-particle":"","parse-names":false,"suffix":""},{"dropping-particle":"","family":"Zúñiga","given":"Elina I.","non-dropping-particle":"","parse-names":false,"suffix":""},{"dropping-particle":"","family":"Balunas","given":"Marcy J.","non-dropping-particle":"","parse-names":false,"suffix":""},{"dropping-particle":"","family":"Klassen","given":"Jonathan L.","non-dropping-particle":"","parse-names":false,"suffix":""},{"dropping-particle":"","family":"Loomba","given":"Rohit","non-dropping-particle":"","parse-names":false,"suffix":""},{"dropping-particle":"","family":"Knight","given":"Rob","non-dropping-particle":"","parse-names":false,"suffix":""},{"dropping-particle":"","family":"Bandeira","given":"Nuno","non-dropping-particle":"","parse-names":false,"suffix":""},{"dropping-particle":"","family":"Dorrestein","given":"Pieter C.","non-dropping-particle":"","parse-names":false,"suffix":""}],"container-title":"Nature Biotechnology","id":"ITEM-1","issue":"1","issued":{"date-parts":[["2020"]]},"note":"Summary: Describing MASST: mass spectrometry search tool, takes single MS/MS spectrum and searches for it in public data repositories (GNPS/MassIVE, Metabolomics Workbench, MetaboLights, etc.). Furthermore, metadata can be added when data is made public, which will show those categories when getting a MASST result. MASST results are equivalent to level 2 (spectral similarity) or level 3 (chemical class based on spectral similarity) according to MSI. Has some limitations, like when chemicals have near-identical fragmentation patterns or issues with parameters, but still a useful tool.","page":"19-22","title":"Mass spectrometry searches using MASST","type":"article-journal","volume":"38"},"uris":["http://www.mendeley.com/documents/?uuid=8ec94342-4525-4d22-8dd1-ada2347c0d4c"]}],"mendeley":{"formattedCitation":"&lt;sup&gt;106&lt;/sup&gt;","plainTextFormattedCitation":"106","previouslyFormattedCitation":"&lt;sup&gt;106&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106</w:t>
      </w:r>
      <w:r w:rsidRPr="00901194">
        <w:rPr>
          <w:rFonts w:cs="Times New Roman"/>
          <w:szCs w:val="24"/>
        </w:rPr>
        <w:fldChar w:fldCharType="end"/>
      </w:r>
      <w:r w:rsidRPr="00901194">
        <w:rPr>
          <w:rFonts w:cs="Times New Roman"/>
          <w:szCs w:val="24"/>
        </w:rPr>
        <w:t>) was used to search for dataset matches to the MS2 spectra of our shared metabolites. MASST parameters were as follows: parent mass tolerance: 0.02 Da; minimum matched peaks: 4; ion tolerance: 0.5 Da; score threshold: 0.7; top hits per spectrum: 1; selected databases to search: all (GNPS</w:t>
      </w:r>
      <w:r w:rsidRPr="00901194">
        <w:rPr>
          <w:rFonts w:cs="Times New Roman"/>
          <w:szCs w:val="24"/>
        </w:rPr>
        <w:fldChar w:fldCharType="begin" w:fldLock="1"/>
      </w:r>
      <w:r w:rsidR="000A1931" w:rsidRPr="00901194">
        <w:rPr>
          <w:rFonts w:cs="Times New Roman"/>
          <w:szCs w:val="24"/>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45</w:t>
      </w:r>
      <w:r w:rsidRPr="00901194">
        <w:rPr>
          <w:rFonts w:cs="Times New Roman"/>
          <w:szCs w:val="24"/>
        </w:rPr>
        <w:fldChar w:fldCharType="end"/>
      </w:r>
      <w:r w:rsidRPr="00901194">
        <w:rPr>
          <w:rFonts w:cs="Times New Roman"/>
          <w:szCs w:val="24"/>
        </w:rPr>
        <w:t>, Metabolomics Workbench</w:t>
      </w:r>
      <w:r w:rsidRPr="00901194">
        <w:rPr>
          <w:rFonts w:cs="Times New Roman"/>
          <w:szCs w:val="24"/>
        </w:rPr>
        <w:fldChar w:fldCharType="begin" w:fldLock="1"/>
      </w:r>
      <w:r w:rsidR="000A1931" w:rsidRPr="00901194">
        <w:rPr>
          <w:rFonts w:cs="Times New Roman"/>
          <w:szCs w:val="24"/>
        </w:rPr>
        <w:instrText>ADDIN CSL_CITATION {"citationItems":[{"id":"ITEM-1","itemData":{"DOI":"10.1093/nar/gkv1042","ISSN":"13624962","PMID":"26467476","abstract":"The Metabolomics Workbench, available at www.metabolomicsworkbench.org, is a public repository for metabolomics metadata and experimental data spanning various species and experimental platforms, metabolite standards, metabolite structures, protocols, tutorials, and training material and other educational resources. It provides a computational platform to integrate, analyze, track, deposit and disseminate large volumes of heterogeneous data from a wide variety of metabolomics studies including mass spectrometry (MS) and nuclear magnetic resonance spectrometry (NMR) data spanning over 20 different species covering all the major taxonomic categories including humans and other mammals, plants, insects, invertebrates and microorganisms. Additionally, a number of protocols are provided for a range of metabolite classes, sample types, and both MS and NMR-based studies, along with a metabolite structure database. The metabolites characterized in the studies available on the Metabolomics Workbench are linked to chemical structures in the metabolite structure database to facilitate comparative analysis across studies. The Metabolomics Workbench, part of the data coordinating effort of the National Institute of Health (NIH) Common Fund's Metabolomics Program, provides data from the Common Fund's Metabolomics Resource Cores, metabolite standards, and analysis tools to the wider metabolomics community and seeks data depositions from metabolomics researchers across the world.","author":[{"dropping-particle":"","family":"Sud","given":"Manish","non-dropping-particle":"","parse-names":false,"suffix":""},{"dropping-particle":"","family":"Fahy","given":"Eoin","non-dropping-particle":"","parse-names":false,"suffix":""},{"dropping-particle":"","family":"Cotter","given":"Dawn","non-dropping-particle":"","parse-names":false,"suffix":""},{"dropping-particle":"","family":"Azam","given":"Kenan","non-dropping-particle":"","parse-names":false,"suffix":""},{"dropping-particle":"","family":"Vadivelu","given":"Ilango","non-dropping-particle":"","parse-names":false,"suffix":""},{"dropping-particle":"","family":"Burant","given":"Charles","non-dropping-particle":"","parse-names":false,"suffix":""},{"dropping-particle":"","family":"Edison","given":"Arthur","non-dropping-particle":"","parse-names":false,"suffix":""},{"dropping-particle":"","family":"Fiehn","given":"Oliver","non-dropping-particle":"","parse-names":false,"suffix":""},{"dropping-particle":"","family":"Higashi","given":"Richard","non-dropping-particle":"","parse-names":false,"suffix":""},{"dropping-particle":"","family":"Nair","given":"K. Sreekumaran","non-dropping-particle":"","parse-names":false,"suffix":""},{"dropping-particle":"","family":"Sumner","given":"Susan","non-dropping-particle":"","parse-names":false,"suffix":""},{"dropping-particle":"","family":"Subramaniam","given":"Shankar","non-dropping-particle":"","parse-names":false,"suffix":""}],"container-title":"Nucleic Acids Research","id":"ITEM-1","issue":"D1","issued":{"date-parts":[["2016"]]},"page":"D463-D470","title":"Metabolomics Workbench: An international repository for metabolomics data and metadata, metabolite standards, protocols, tutorials and training, and analysis tools","type":"article-journal","volume":"44"},"uris":["http://www.mendeley.com/documents/?uuid=f19748b7-e1f5-471e-a264-fe249441827a"]}],"mendeley":{"formattedCitation":"&lt;sup&gt;107&lt;/sup&gt;","plainTextFormattedCitation":"107","previouslyFormattedCitation":"&lt;sup&gt;107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107</w:t>
      </w:r>
      <w:r w:rsidRPr="00901194">
        <w:rPr>
          <w:rFonts w:cs="Times New Roman"/>
          <w:szCs w:val="24"/>
        </w:rPr>
        <w:fldChar w:fldCharType="end"/>
      </w:r>
      <w:r w:rsidRPr="00901194">
        <w:rPr>
          <w:rFonts w:cs="Times New Roman"/>
          <w:szCs w:val="24"/>
        </w:rPr>
        <w:t>, Metabolights</w:t>
      </w:r>
      <w:r w:rsidRPr="00901194">
        <w:rPr>
          <w:rFonts w:cs="Times New Roman"/>
          <w:szCs w:val="24"/>
        </w:rPr>
        <w:fldChar w:fldCharType="begin" w:fldLock="1"/>
      </w:r>
      <w:r w:rsidR="000A1931" w:rsidRPr="00901194">
        <w:rPr>
          <w:rFonts w:cs="Times New Roman"/>
          <w:szCs w:val="24"/>
        </w:rPr>
        <w:instrText>ADDIN CSL_CITATION {"citationItems":[{"id":"ITEM-1","itemData":{"DOI":"10.1093/nar/gks1004","ISSN":"03051048","PMID":"23109552","abstract":"MetaboLights (http://www.ebi.ac.uk/metabolights) is the first general-purpose, open-access repository for metabolomics studies, their raw experimental data and associated metadata, maintained by one of the major open-access data providers in molecular biology. Metabolomic profiling is an important tool for research into biological functioning and into the systemic perturbations caused by diseases, diet and the environment. The effectiveness of such methods depends on the availability of public open data across a broad range of experimental methods and conditions. The MetaboLights repository, powered by the open source ISA framework, is cross-species and cross-technique. It will cover metabolite structures and their reference spectra as well as their biological roles, locations, concentrations and raw data from metabolic experiments. Studies automatically receive a stable unique accession number that can be used as a publication reference (e.g. MTBLS1). At present, the repository includes 15 submitted studies, encompassing 93 protocols for 714 assays, and span over 8 different species including human, Caenor-habditis elegans, Mus musculus and Arabidopsis thaliana. Eight hundred twenty-seven of the metabolites identified in these studies have been mapped to ChEBI. These studies cover a variety of techniques, including NMR spectroscopyand mass spectrometry. © The Author(s) 2012.","author":[{"dropping-particle":"","family":"Haug","given":"Kenneth","non-dropping-particle":"","parse-names":false,"suffix":""},{"dropping-particle":"","family":"Salek","given":"Reza M.","non-dropping-particle":"","parse-names":false,"suffix":""},{"dropping-particle":"","family":"Conesa","given":"Pablo","non-dropping-particle":"","parse-names":false,"suffix":""},{"dropping-particle":"","family":"Hastings","given":"Janna","non-dropping-particle":"","parse-names":false,"suffix":""},{"dropping-particle":"","family":"Matos","given":"Paula","non-dropping-particle":"De","parse-names":false,"suffix":""},{"dropping-particle":"","family":"Rijnbeek","given":"Mark","non-dropping-particle":"","parse-names":false,"suffix":""},{"dropping-particle":"","family":"Mahendraker","given":"Tejasvi","non-dropping-particle":"","parse-names":false,"suffix":""},{"dropping-particle":"","family":"Williams","given":"Mark","non-dropping-particle":"","parse-names":false,"suffix":""},{"dropping-particle":"","family":"Neumann","given":"Steffen","non-dropping-particle":"","parse-names":false,"suffix":""},{"dropping-particle":"","family":"Rocca-Serra","given":"Philippe","non-dropping-particle":"","parse-names":false,"suffix":""},{"dropping-particle":"","family":"Maguire","given":"Eamonn","non-dropping-particle":"","parse-names":false,"suffix":""},{"dropping-particle":"","family":"González-Beltrán","given":"Alejandra","non-dropping-particle":"","parse-names":false,"suffix":""},{"dropping-particle":"","family":"Sansone","given":"Susanna Assunta","non-dropping-particle":"","parse-names":false,"suffix":""},{"dropping-particle":"","family":"Griffin","given":"Julian L.","non-dropping-particle":"","parse-names":false,"suffix":""},{"dropping-particle":"","family":"Steinbeck","given":"Christoph","non-dropping-particle":"","parse-names":false,"suffix":""}],"container-title":"Nucleic Acids Research","id":"ITEM-1","issue":"D1","issued":{"date-parts":[["2013"]]},"page":"781-786","title":"MetaboLights - An open-access general-purpose repository for metabolomics studies and associated meta-data","type":"article-journal","volume":"41"},"uris":["http://www.mendeley.com/documents/?uuid=ef1820e2-d46a-4634-9f05-e1ef6a0e5e04"]}],"mendeley":{"formattedCitation":"&lt;sup&gt;108&lt;/sup&gt;","plainTextFormattedCitation":"108","previouslyFormattedCitation":"&lt;sup&gt;108&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108</w:t>
      </w:r>
      <w:r w:rsidRPr="00901194">
        <w:rPr>
          <w:rFonts w:cs="Times New Roman"/>
          <w:szCs w:val="24"/>
        </w:rPr>
        <w:fldChar w:fldCharType="end"/>
      </w:r>
      <w:r w:rsidRPr="00901194">
        <w:rPr>
          <w:rFonts w:cs="Times New Roman"/>
          <w:szCs w:val="24"/>
        </w:rPr>
        <w:t>, Foodomics</w:t>
      </w:r>
      <w:r w:rsidRPr="00901194">
        <w:rPr>
          <w:rFonts w:cs="Times New Roman"/>
          <w:szCs w:val="24"/>
        </w:rPr>
        <w:fldChar w:fldCharType="begin" w:fldLock="1"/>
      </w:r>
      <w:r w:rsidR="000A1931" w:rsidRPr="00901194">
        <w:rPr>
          <w:rFonts w:cs="Times New Roman"/>
          <w:szCs w:val="24"/>
        </w:rPr>
        <w:instrText>ADDIN CSL_CITATION {"citationItems":[{"id":"ITEM-1","itemData":{"DOI":"10.3945/ajcn.113.076133","ISSN":"19383207","PMID":"24760973","abstract":"The food metabolome is defined as the part of the human metabolome directly derived from the digestion and biotransformation of foods and their constituents. With .25,000 compounds known in various foods, the food metabolome is extremely complex, with a composition varying widely according to the diet. By its very nature it represents a considerable and still largely unexploited source of novel dietary biomarkers that could be used to measure dietary exposures with a high level of detail and precision. Most dietary biomarkers currently have been identified on the basis of our knowledge of food compositions by using hypothesis-driven approaches. However, the rapid development of metabolomics resulting from the development of highly sensitive modern analytic instruments, the availability of metabolite databases, and progress in (bio)informatics has made agnostic approaches more attractive as shown by the recent identification of novel biomarkers of intakes for fruit, vegetables, beverages, meats, or complex diets. Moreover, examples also show how the scrutiny of the food metabolome can lead to the discovery of bioactive molecules and dietary factors associated with diseases. However, researchers still face hurdles, which slow progress and need to be resolved to bring this emerging field of research to maturity. These limits were discussed during the First International Workshop on the Food Metabolome held in Glasgow. Key recommendations made during the workshop included more coordination of efforts; development of new databases, software tools, and chemical libraries for the food metabolome; and shared repositories of metabolomic data. Once achieved, major progress can be expected toward a better understanding of the complex interactions between diet and human health. © 2014 American Society for Nutrition.","author":[{"dropping-particle":"","family":"Scalbert","given":"Augustin","non-dropping-particle":"","parse-names":false,"suffix":""},{"dropping-particle":"","family":"Brennan","given":"Lorraine","non-dropping-particle":"","parse-names":false,"suffix":""},{"dropping-particle":"","family":"Manach","given":"Claudine","non-dropping-particle":"","parse-names":false,"suffix":""},{"dropping-particle":"","family":"Andres-Lacueva","given":"Cristina","non-dropping-particle":"","parse-names":false,"suffix":""},{"dropping-particle":"","family":"Dragsted","given":"Lars O.","non-dropping-particle":"","parse-names":false,"suffix":""},{"dropping-particle":"","family":"Draper","given":"John","non-dropping-particle":"","parse-names":false,"suffix":""},{"dropping-particle":"","family":"Rappaport","given":"Stephen M.","non-dropping-particle":"","parse-names":false,"suffix":""},{"dropping-particle":"","family":"Hooft","given":"Justin J.J.","non-dropping-particle":"Van Der","parse-names":false,"suffix":""},{"dropping-particle":"","family":"Wishart","given":"David S.","non-dropping-particle":"","parse-names":false,"suffix":""}],"container-title":"American Journal of Clinical Nutrition","id":"ITEM-1","issue":"6","issued":{"date-parts":[["2014"]]},"page":"1286-1308","title":"The food metabolome: A window over dietary exposure","type":"article-journal","volume":"99"},"uris":["http://www.mendeley.com/documents/?uuid=8ce45c92-56c0-4480-9141-223dbefd6317"]}],"mendeley":{"formattedCitation":"&lt;sup&gt;109&lt;/sup&gt;","plainTextFormattedCitation":"109","previouslyFormattedCitation":"&lt;sup&gt;109&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109</w:t>
      </w:r>
      <w:r w:rsidRPr="00901194">
        <w:rPr>
          <w:rFonts w:cs="Times New Roman"/>
          <w:szCs w:val="24"/>
        </w:rPr>
        <w:fldChar w:fldCharType="end"/>
      </w:r>
      <w:r w:rsidRPr="00901194">
        <w:rPr>
          <w:rFonts w:cs="Times New Roman"/>
          <w:szCs w:val="24"/>
        </w:rPr>
        <w:t>, and Skin Trace Evidence); no analog searches; and no unclustered data search.</w:t>
      </w:r>
    </w:p>
    <w:p w14:paraId="05DF4D68" w14:textId="18F85722" w:rsidR="00D02195" w:rsidRPr="00901194" w:rsidRDefault="00D02195" w:rsidP="00D02195">
      <w:pPr>
        <w:ind w:firstLine="720"/>
        <w:rPr>
          <w:rFonts w:cs="Times New Roman"/>
          <w:szCs w:val="24"/>
        </w:rPr>
      </w:pPr>
      <w:r w:rsidRPr="00901194">
        <w:rPr>
          <w:rFonts w:cs="Times New Roman"/>
          <w:szCs w:val="24"/>
        </w:rPr>
        <w:t>For 16S rRNA gene sequencing data, we used AdapterRemoval v2</w:t>
      </w:r>
      <w:r w:rsidRPr="00901194">
        <w:rPr>
          <w:rFonts w:cs="Times New Roman"/>
          <w:szCs w:val="24"/>
        </w:rPr>
        <w:fldChar w:fldCharType="begin" w:fldLock="1"/>
      </w:r>
      <w:r w:rsidR="000A1931" w:rsidRPr="00901194">
        <w:rPr>
          <w:rFonts w:cs="Times New Roman"/>
          <w:szCs w:val="24"/>
        </w:rPr>
        <w:instrText>ADDIN CSL_CITATION {"citationItems":[{"id":"ITEM-1","itemData":{"DOI":"10.1186/s13104-016-1900-2","ISSN":"1756-0500","abstract":"As high-throughput sequencing platforms produce longer and longer reads, sequences generated from short inserts, such as those obtained from fossil and degraded material, are increasingly expected to contain adapter sequences. Efficient adapter trimming algorithms are also needed to process the growing amount of data generated per sequencing run.","author":[{"dropping-particle":"","family":"Schubert","given":"Mikkel","non-dropping-particle":"","parse-names":false,"suffix":""},{"dropping-particle":"","family":"Lindgreen","given":"Stinus","non-dropping-particle":"","parse-names":false,"suffix":""},{"dropping-particle":"","family":"Orlando","given":"Ludovic","non-dropping-particle":"","parse-names":false,"suffix":""}],"container-title":"BMC Research Notes","id":"ITEM-1","issue":"1","issued":{"date-parts":[["2016","2"]]},"page":"88","title":"AdapterRemoval v2: rapid adapter trimming, identification, and read merging","type":"article-journal","volume":"9"},"uris":["http://www.mendeley.com/documents/?uuid=8852d000-ae0f-4f0e-89f4-a46a10ca8a7f"]}],"mendeley":{"formattedCitation":"&lt;sup&gt;110&lt;/sup&gt;","plainTextFormattedCitation":"110","previouslyFormattedCitation":"&lt;sup&gt;110&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110</w:t>
      </w:r>
      <w:r w:rsidRPr="00901194">
        <w:rPr>
          <w:rFonts w:cs="Times New Roman"/>
          <w:szCs w:val="24"/>
        </w:rPr>
        <w:fldChar w:fldCharType="end"/>
      </w:r>
      <w:r w:rsidRPr="00901194">
        <w:rPr>
          <w:rFonts w:cs="Times New Roman"/>
          <w:szCs w:val="24"/>
        </w:rPr>
        <w:t xml:space="preserve"> to filter out sequences &lt; 90 bp in length. QIIME1</w:t>
      </w:r>
      <w:r w:rsidRPr="00901194">
        <w:rPr>
          <w:rFonts w:cs="Times New Roman"/>
          <w:szCs w:val="24"/>
        </w:rPr>
        <w:fldChar w:fldCharType="begin" w:fldLock="1"/>
      </w:r>
      <w:r w:rsidR="000A1931" w:rsidRPr="00901194">
        <w:rPr>
          <w:rFonts w:cs="Times New Roman"/>
          <w:szCs w:val="24"/>
        </w:rPr>
        <w:instrText>ADDIN CSL_CITATION {"citationItems":[{"id":"ITEM-1","itemData":{"DOI":"10.1038/nmeth.f.303","ISSN":"1548-7091","abstract":"To the Editor: High-throughput sequencing is revolutionizing microbial ecology studies. Efforts like the Human Microbiome Projects and the US National Ecological Observatory Network are helping us to understand the role of microbial diversity in habitats within our own bodies and throughout the planet.","author":[{"dropping-particle":"","family":"Caporaso","given":"J Gregory","non-dropping-particle":"","parse-names":false,"suffix":""},{"dropping-particle":"","family":"Kuczynski","given":"Justin","non-dropping-particle":"","parse-names":false,"suffix":""},{"dropping-particle":"","family":"Stombaugh","given":"Jesse","non-dropping-particle":"","parse-names":false,"suffix":""},{"dropping-particle":"","family":"Bittinger","given":"Kyle","non-dropping-particle":"","parse-names":false,"suffix":""},{"dropping-particle":"","family":"Bushman","given":"Frederic D","non-dropping-particle":"","parse-names":false,"suffix":""},{"dropping-particle":"","family":"Costello","given":"Elizabeth K","non-dropping-particle":"","parse-names":false,"suffix":""},{"dropping-particle":"","family":"Fierer","given":"Noah","non-dropping-particle":"","parse-names":false,"suffix":""},{"dropping-particle":"","family":"Peña","given":"Antonio Gonzalez","non-dropping-particle":"","parse-names":false,"suffix":""},{"dropping-particle":"","family":"Goodrich","given":"Julia K","non-dropping-particle":"","parse-names":false,"suffix":""},{"dropping-particle":"","family":"Gordon","given":"Jeffrey I","non-dropping-particle":"","parse-names":false,"suffix":""},{"dropping-particle":"","family":"Huttley","given":"Gavin A","non-dropping-particle":"","parse-names":false,"suffix":""},{"dropping-particle":"","family":"Kelley","given":"Scott T","non-dropping-particle":"","parse-names":false,"suffix":""},{"dropping-particle":"","family":"Knights","given":"Dan","non-dropping-particle":"","parse-names":false,"suffix":""},{"dropping-particle":"","family":"Koenig","given":"Jeremy E","non-dropping-particle":"","parse-names":false,"suffix":""},{"dropping-particle":"","family":"Ley","given":"Ruth E","non-dropping-particle":"","parse-names":false,"suffix":""},{"dropping-particle":"","family":"Lozupone","given":"Catherine A","non-dropping-particle":"","parse-names":false,"suffix":""},{"dropping-particle":"","family":"McDonald","given":"Daniel","non-dropping-particle":"","parse-names":false,"suffix":""},{"dropping-particle":"","family":"Muegge","given":"Brian D","non-dropping-particle":"","parse-names":false,"suffix":""},{"dropping-particle":"","family":"Pirrung","given":"Meg","non-dropping-particle":"","parse-names":false,"suffix":""},{"dropping-particle":"","family":"Reeder","given":"Jens","non-dropping-particle":"","parse-names":false,"suffix":""},{"dropping-particle":"","family":"Sevinsky","given":"Joel R","non-dropping-particle":"","parse-names":false,"suffix":""},{"dropping-particle":"","family":"Turnbaugh","given":"Peter J","non-dropping-particle":"","parse-names":false,"suffix":""},{"dropping-particle":"","family":"Walters","given":"William A","non-dropping-particle":"","parse-names":false,"suffix":""},{"dropping-particle":"","family":"Widmann","given":"Jeremy","non-dropping-particle":"","parse-names":false,"suffix":""},{"dropping-particle":"","family":"Yatsunenko","given":"Tanya","non-dropping-particle":"","parse-names":false,"suffix":""},{"dropping-particle":"","family":"Zaneveld","given":"Jesse","non-dropping-particle":"","parse-names":false,"suffix":""},{"dropping-particle":"","family":"Knight","given":"Rob","non-dropping-particle":"","parse-names":false,"suffix":""}],"container-title":"Nature Methods","id":"ITEM-1","issue":"5","issued":{"date-parts":[["2010","5","11"]]},"page":"335-336","title":"QIIME allows analysis of high-throughput community sequencing data","type":"article-journal","volume":"7"},"uris":["http://www.mendeley.com/documents/?uuid=82478b07-5043-32ab-bf3b-5de495a33a8d"]}],"mendeley":{"formattedCitation":"&lt;sup&gt;111&lt;/sup&gt;","plainTextFormattedCitation":"111","previouslyFormattedCitation":"&lt;sup&gt;111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111</w:t>
      </w:r>
      <w:r w:rsidRPr="00901194">
        <w:rPr>
          <w:rFonts w:cs="Times New Roman"/>
          <w:szCs w:val="24"/>
        </w:rPr>
        <w:fldChar w:fldCharType="end"/>
      </w:r>
      <w:r w:rsidRPr="00901194">
        <w:rPr>
          <w:rFonts w:cs="Times New Roman"/>
          <w:szCs w:val="24"/>
        </w:rPr>
        <w:t xml:space="preserve"> was used generate ASVs/zero-operational taxonomic unis (zOTUs) using the EzTaxon database</w:t>
      </w:r>
      <w:r w:rsidRPr="00901194">
        <w:rPr>
          <w:rFonts w:cs="Times New Roman"/>
          <w:szCs w:val="24"/>
        </w:rPr>
        <w:fldChar w:fldCharType="begin" w:fldLock="1"/>
      </w:r>
      <w:r w:rsidR="000A1931" w:rsidRPr="00901194">
        <w:rPr>
          <w:rFonts w:cs="Times New Roman"/>
          <w:szCs w:val="24"/>
        </w:rPr>
        <w:instrText>ADDIN CSL_CITATION {"citationItems":[{"id":"ITEM-1","itemData":{"DOI":"10.1099/ijs.0.64915-0","ISSN":"14665026","abstract":"16S rRNA gene sequences have been widely used for the identification of prokaryotes. However, the flood of sequences of non-type strains and the lack of a peer-reviewed database for 16S rRNA gene sequences of type strains have made routine identification of isolates difficult and labour-intensive. In the present study, we generated a database containing 16S rRNA gene sequences of all prokaryotic type strains. In addition, a web-based tool, named EzTaxon, for analysis of 16S rRNA gene sequences was constructed to achieve identification of isolates based on pairwise nucleotide similarity values and phylogenetic inference methods. The system developed provides users with a similarity-based search, multiple sequence alignment and various phylogenetic analyses. All of these functions together with the 16S rRNA gene sequence database of type strains can be successfully used for automated and reliable identification of prokaryotic isolates. The EzTaxon server is freely accessible over the Internet at http://www.eztaxon.org/","author":[{"dropping-particle":"","family":"Chun","given":"Jongsik","non-dropping-particle":"","parse-names":false,"suffix":""},{"dropping-particle":"","family":"Lee","given":"Jae Hak","non-dropping-particle":"","parse-names":false,"suffix":""},{"dropping-particle":"","family":"Jung","given":"Yoonyoung","non-dropping-particle":"","parse-names":false,"suffix":""},{"dropping-particle":"","family":"Kim","given":"Myungjin","non-dropping-particle":"","parse-names":false,"suffix":""},{"dropping-particle":"","family":"Kim","given":"Seil","non-dropping-particle":"","parse-names":false,"suffix":""},{"dropping-particle":"","family":"Kim","given":"Byung Kwon","non-dropping-particle":"","parse-names":false,"suffix":""},{"dropping-particle":"","family":"Lim","given":"Young Woon","non-dropping-particle":"","parse-names":false,"suffix":""}],"container-title":"International Journal of Systematic and Evolutionary Microbiology","id":"ITEM-1","issue":"10","issued":{"date-parts":[["2007"]]},"page":"2259-2261","title":"EzTaxon: A web-based tool for the identification of prokaryotes based on 16S ribosomal RNA gene sequences","type":"article-journal","volume":"57"},"uris":["http://www.mendeley.com/documents/?uuid=dd383b66-058d-4a67-b1f7-bddee3e984b7"]}],"mendeley":{"formattedCitation":"&lt;sup&gt;112&lt;/sup&gt;","plainTextFormattedCitation":"112","previouslyFormattedCitation":"&lt;sup&gt;112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112</w:t>
      </w:r>
      <w:r w:rsidRPr="00901194">
        <w:rPr>
          <w:rFonts w:cs="Times New Roman"/>
          <w:szCs w:val="24"/>
        </w:rPr>
        <w:fldChar w:fldCharType="end"/>
      </w:r>
      <w:r w:rsidRPr="00901194">
        <w:rPr>
          <w:rFonts w:cs="Times New Roman"/>
          <w:szCs w:val="24"/>
        </w:rPr>
        <w:t xml:space="preserve"> for assigning taxonomic identifiers. EzTaxon was selected over other databases like GreenGenes</w:t>
      </w:r>
      <w:r w:rsidRPr="00901194">
        <w:rPr>
          <w:rFonts w:cs="Times New Roman"/>
          <w:szCs w:val="24"/>
        </w:rPr>
        <w:fldChar w:fldCharType="begin" w:fldLock="1"/>
      </w:r>
      <w:r w:rsidR="000A1931" w:rsidRPr="00901194">
        <w:rPr>
          <w:rFonts w:cs="Times New Roman"/>
          <w:szCs w:val="24"/>
        </w:rPr>
        <w:instrText>ADDIN CSL_CITATION {"citationItems":[{"id":"ITEM-1","itemData":{"DOI":"10.1128/AEM.03006-05","ISSN":"00992240","PMID":"16820507","abstract":"A 16S rRNA gene database (http://greengenes.lbl.gov) addresses limitations of public repositories by providing chimera screening, standard alignment, and taxonomic classification using multiple published taxonomies. It was found that there is incongruent taxonomic nomenclature among curators even at the phylum level. Putative chimeras were identified in 3% of environmental sequences and in 0.2% of records derived from isolates. Environmental sequences were classified into 100 phylum-level lineages in the Archaea and Bacteria. Copyright © 2006, American Society for Microbiology. All Rights Reserved.","author":[{"dropping-particle":"","family":"DeSantis","given":"T. Z.","non-dropping-particle":"","parse-names":false,"suffix":""},{"dropping-particle":"","family":"Hugenholtz","given":"P.","non-dropping-particle":"","parse-names":false,"suffix":""},{"dropping-particle":"","family":"Larsen","given":"N.","non-dropping-particle":"","parse-names":false,"suffix":""},{"dropping-particle":"","family":"Rojas","given":"M.","non-dropping-particle":"","parse-names":false,"suffix":""},{"dropping-particle":"","family":"Brodie","given":"E. L.","non-dropping-particle":"","parse-names":false,"suffix":""},{"dropping-particle":"","family":"Keller","given":"K.","non-dropping-particle":"","parse-names":false,"suffix":""},{"dropping-particle":"","family":"Huber","given":"T.","non-dropping-particle":"","parse-names":false,"suffix":""},{"dropping-particle":"","family":"Dalevi","given":"D.","non-dropping-particle":"","parse-names":false,"suffix":""},{"dropping-particle":"","family":"Hu","given":"P.","non-dropping-particle":"","parse-names":false,"suffix":""},{"dropping-particle":"","family":"Andersen","given":"G. L.","non-dropping-particle":"","parse-names":false,"suffix":""}],"container-title":"Applied and Environmental Microbiology","id":"ITEM-1","issue":"7","issued":{"date-parts":[["2006"]]},"page":"5069-5072","title":"Greengenes, a chimera-checked 16S rRNA gene database and workbench compatible with ARB","type":"article-journal","volume":"72"},"uris":["http://www.mendeley.com/documents/?uuid=37005c28-cf91-42a7-953d-8863bfd455d3"]}],"mendeley":{"formattedCitation":"&lt;sup&gt;113&lt;/sup&gt;","plainTextFormattedCitation":"113","previouslyFormattedCitation":"&lt;sup&gt;113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113</w:t>
      </w:r>
      <w:r w:rsidRPr="00901194">
        <w:rPr>
          <w:rFonts w:cs="Times New Roman"/>
          <w:szCs w:val="24"/>
        </w:rPr>
        <w:fldChar w:fldCharType="end"/>
      </w:r>
      <w:r w:rsidRPr="00901194">
        <w:rPr>
          <w:rFonts w:cs="Times New Roman"/>
          <w:szCs w:val="24"/>
        </w:rPr>
        <w:t xml:space="preserve"> because EzTaxon is regularly updated and taxonomic identification was not the purpose for utilizing our 16S data. All samples with fewer than 10,000 reads were removed from analyses. Any ASVs with detected in fewer than ten samples with a maximum abundance &lt;0.01% were also removed.  Generated taxa summaries </w:t>
      </w:r>
      <w:r w:rsidRPr="00901194">
        <w:rPr>
          <w:rFonts w:cs="Times New Roman"/>
          <w:szCs w:val="24"/>
        </w:rPr>
        <w:lastRenderedPageBreak/>
        <w:t>were limited to genus-level identifications. Only ASVs with &gt;0.5% relative frequency were included in mmvec analyses.</w:t>
      </w:r>
    </w:p>
    <w:p w14:paraId="62A930DF" w14:textId="41ECF4C8" w:rsidR="00D02195" w:rsidRPr="00901194" w:rsidRDefault="00D02195" w:rsidP="00C63D5D">
      <w:pPr>
        <w:pStyle w:val="Subsub-chapterHeading"/>
      </w:pPr>
      <w:bookmarkStart w:id="44" w:name="_Toc134185958"/>
      <w:r w:rsidRPr="00901194">
        <w:t>Mmvec and Statistical Analyses</w:t>
      </w:r>
      <w:bookmarkEnd w:id="44"/>
    </w:p>
    <w:p w14:paraId="0FC4CDA8" w14:textId="582CF8CA" w:rsidR="00D02195" w:rsidRPr="00901194" w:rsidRDefault="00D02195" w:rsidP="00D02195">
      <w:pPr>
        <w:ind w:firstLine="720"/>
        <w:rPr>
          <w:rFonts w:cs="Times New Roman"/>
          <w:szCs w:val="24"/>
        </w:rPr>
      </w:pPr>
      <w:r w:rsidRPr="00901194">
        <w:rPr>
          <w:rFonts w:cs="Times New Roman"/>
          <w:szCs w:val="24"/>
        </w:rPr>
        <w:t>Metabolite and microbe feature tables were input to the Quantitative Insights Into Microbial Ecology 2 (QIIME2)</w:t>
      </w:r>
      <w:r w:rsidRPr="00901194">
        <w:rPr>
          <w:rFonts w:cs="Times New Roman"/>
          <w:szCs w:val="24"/>
        </w:rPr>
        <w:fldChar w:fldCharType="begin" w:fldLock="1"/>
      </w:r>
      <w:r w:rsidR="000A1931" w:rsidRPr="00901194">
        <w:rPr>
          <w:rFonts w:cs="Times New Roman"/>
          <w:szCs w:val="24"/>
        </w:rPr>
        <w:instrText>ADDIN CSL_CITATION {"citationItems":[{"id":"ITEM-1","itemData":{"DOI":"10.1038/s41587-019-0209-9","ISSN":"15461696","PMID":"31341288","author":[{"dropping-particle":"","family":"Bolyen","given":"Evan","non-dropping-particle":"","parse-names":false,"suffix":""},{"dropping-particle":"","family":"Rideout","given":"Jai Ram","non-dropping-particle":"","parse-names":false,"suffix":""},{"dropping-particle":"","family":"Dillon","given":"Matthew R.","non-dropping-particle":"","parse-names":false,"suffix":""},{"dropping-particle":"","family":"Bokulich","given":"Nicholas A.","non-dropping-particle":"","parse-names":false,"suffix":""},{"dropping-particle":"","family":"Abnet","given":"Christian C.","non-dropping-particle":"","parse-names":false,"suffix":""},{"dropping-particle":"","family":"Al-Ghalith","given":"Gabriel A.","non-dropping-particle":"","parse-names":false,"suffix":""},{"dropping-particle":"","family":"Alexander","given":"Harriet","non-dropping-particle":"","parse-names":false,"suffix":""},{"dropping-particle":"","family":"Alm","given":"Eric J.","non-dropping-particle":"","parse-names":false,"suffix":""},{"dropping-particle":"","family":"Arumugam","given":"Manimozhiyan","non-dropping-particle":"","parse-names":false,"suffix":""},{"dropping-particle":"","family":"Asnicar","given":"Francesco","non-dropping-particle":"","parse-names":false,"suffix":""},{"dropping-particle":"","family":"Bai","given":"Yang","non-dropping-particle":"","parse-names":false,"suffix":""},{"dropping-particle":"","family":"Bisanz","given":"Jordan E.","non-dropping-particle":"","parse-names":false,"suffix":""},{"dropping-particle":"","family":"Bittinger","given":"Kyle","non-dropping-particle":"","parse-names":false,"suffix":""},{"dropping-particle":"","family":"Brejnrod","given":"Asker","non-dropping-particle":"","parse-names":false,"suffix":""},{"dropping-particle":"","family":"Brislawn","given":"Colin J.","non-dropping-particle":"","parse-names":false,"suffix":""},{"dropping-particle":"","family":"Brown","given":"C. Titus","non-dropping-particle":"","parse-names":false,"suffix":""},{"dropping-particle":"","family":"Callahan","given":"Benjamin J.","non-dropping-particle":"","parse-names":false,"suffix":""},{"dropping-particle":"","family":"Caraballo-Rodríguez","given":"Andrés Mauricio","non-dropping-particle":"","parse-names":false,"suffix":""},{"dropping-particle":"","family":"Chase","given":"John","non-dropping-particle":"","parse-names":false,"suffix":""},{"dropping-particle":"","family":"Cope","given":"Emily K.","non-dropping-particle":"","parse-names":false,"suffix":""},{"dropping-particle":"","family":"Silva","given":"Ricardo","non-dropping-particle":"Da","parse-names":false,"suffix":""},{"dropping-particle":"","family":"Diener","given":"Christian","non-dropping-particle":"","parse-names":false,"suffix":""},{"dropping-particle":"","family":"Dorrestein","given":"Pieter C.","non-dropping-particle":"","parse-names":false,"suffix":""},{"dropping-particle":"","family":"Douglas","given":"Gavin M.","non-dropping-particle":"","parse-names":false,"suffix":""},{"dropping-particle":"","family":"Durall","given":"Daniel M.","non-dropping-particle":"","parse-names":false,"suffix":""},{"dropping-particle":"","family":"Duvallet","given":"Claire","non-dropping-particle":"","parse-names":false,"suffix":""},{"dropping-particle":"","family":"Edwardson","given":"Christian F.","non-dropping-particle":"","parse-names":false,"suffix":""},{"dropping-particle":"","family":"Ernst","given":"Madeleine","non-dropping-particle":"","parse-names":false,"suffix":""},{"dropping-particle":"","family":"Estaki","given":"Mehrbod","non-dropping-particle":"","parse-names":false,"suffix":""},{"dropping-particle":"","family":"Fouquier","given":"Jennifer","non-dropping-particle":"","parse-names":false,"suffix":""},{"dropping-particle":"","family":"Gauglitz","given":"Julia M.","non-dropping-particle":"","parse-names":false,"suffix":""},{"dropping-particle":"","family":"Gibbons","given":"Sean M.","non-dropping-particle":"","parse-names":false,"suffix":""},{"dropping-particle":"","family":"Gibson","given":"Deanna L.","non-dropping-particle":"","parse-names":false,"suffix":""},{"dropping-particle":"","family":"Gonzalez","given":"Antonio","non-dropping-particle":"","parse-names":false,"suffix":""},{"dropping-particle":"","family":"Gorlick","given":"Kestrel","non-dropping-particle":"","parse-names":false,"suffix":""},{"dropping-particle":"","family":"Guo","given":"Jiarong","non-dropping-particle":"","parse-names":false,"suffix":""},{"dropping-particle":"","family":"Hillmann","given":"Benjamin","non-dropping-particle":"","parse-names":false,"suffix":""},{"dropping-particle":"","family":"Holmes","given":"Susan","non-dropping-particle":"","parse-names":false,"suffix":""},{"dropping-particle":"","family":"Holste","given":"Hannes","non-dropping-particle":"","parse-names":false,"suffix":""},{"dropping-particle":"","family":"Huttenhower","given":"Curtis","non-dropping-particle":"","parse-names":false,"suffix":""},{"dropping-particle":"","family":"Huttley","given":"Gavin A.","non-dropping-particle":"","parse-names":false,"suffix":""},{"dropping-particle":"","family":"Janssen","given":"Stefan","non-dropping-particle":"","parse-names":false,"suffix":""},{"dropping-particle":"","family":"Jarmusch","given":"Alan K.","non-dropping-particle":"","parse-names":false,"suffix":""},{"dropping-particle":"","family":"Jiang","given":"Lingjing","non-dropping-particle":"","parse-names":false,"suffix":""},{"dropping-particle":"","family":"Kaehler","given":"Benjamin D.","non-dropping-particle":"","parse-names":false,"suffix":""},{"dropping-particle":"Bin","family":"Kang","given":"Kyo","non-dropping-particle":"","parse-names":false,"suffix":""},{"dropping-particle":"","family":"Keefe","given":"Christopher R.","non-dropping-particle":"","parse-names":false,"suffix":""},{"dropping-particle":"","family":"Keim","given":"Paul","non-dropping-particle":"","parse-names":false,"suffix":""},{"dropping-particle":"","family":"Kelley","given":"Scott T.","non-dropping-particle":"","parse-names":false,"suffix":""},{"dropping-particle":"","family":"Knights","given":"Dan","non-dropping-particle":"","parse-names":false,"suffix":""},{"dropping-particle":"","family":"Koester","given":"Irina","non-dropping-particle":"","parse-names":false,"suffix":""},{"dropping-particle":"","family":"Kosciolek","given":"Tomasz","non-dropping-particle":"","parse-names":false,"suffix":""},{"dropping-particle":"","family":"Kreps","given":"Jorden","non-dropping-particle":"","parse-names":false,"suffix":""},{"dropping-particle":"","family":"Langille","given":"Morgan G.I.","non-dropping-particle":"","parse-names":false,"suffix":""},{"dropping-particle":"","family":"Lee","given":"Joslynn","non-dropping-particle":"","parse-names":false,"suffix":""},{"dropping-particle":"","family":"Ley","given":"Ruth","non-dropping-particle":"","parse-names":false,"suffix":""},{"dropping-particle":"","family":"Liu","given":"Yong Xin","non-dropping-particle":"","parse-names":false,"suffix":""},{"dropping-particle":"","family":"Loftfield","given":"Erikka","non-dropping-particle":"","parse-names":false,"suffix":""},{"dropping-particle":"","family":"Lozupone","given":"Catherine","non-dropping-particle":"","parse-names":false,"suffix":""},{"dropping-particle":"","family":"Maher","given":"Massoud","non-dropping-particle":"","parse-names":false,"suffix":""},{"dropping-particle":"","family":"Marotz","given":"Clarisse","non-dropping-particle":"","parse-names":false,"suffix":""},{"dropping-particle":"","family":"Martin","given":"Bryan D.","non-dropping-particle":"","parse-names":false,"suffix":""},{"dropping-particle":"","family":"McDonald","given":"Daniel","non-dropping-particle":"","parse-names":false,"suffix":""},{"dropping-particle":"","family":"McIver","given":"Lauren J.","non-dropping-particle":"","parse-names":false,"suffix":""},{"dropping-particle":"V.","family":"Melnik","given":"Alexey","non-dropping-particle":"","parse-names":false,"suffix":""},{"dropping-particle":"","family":"Metcalf","given":"Jessica L.","non-dropping-particle":"","parse-names":false,"suffix":""},{"dropping-particle":"","family":"Morgan","given":"Sydney C.","non-dropping-particle":"","parse-names":false,"suffix":""},{"dropping-particle":"","family":"Morton","given":"Jamie T.","non-dropping-particle":"","parse-names":false,"suffix":""},{"dropping-particle":"","family":"Naimey","given":"Ahmad Turan","non-dropping-particle":"","parse-names":false,"suffix":""},{"dropping-particle":"","family":"Navas-Molina","given":"Jose A.","non-dropping-particle":"","parse-names":false,"suffix":""},{"dropping-particle":"","family":"Nothias","given":"Louis Felix","non-dropping-particle":"","parse-names":false,"suffix":""},{"dropping-particle":"","family":"Orchanian","given":"Stephanie B.","non-dropping-particle":"","parse-names":false,"suffix":""},{"dropping-particle":"","family":"Pearson","given":"Talima","non-dropping-particle":"","parse-names":false,"suffix":""},{"dropping-particle":"","family":"Peoples","given":"Samuel L.","non-dropping-particle":"","parse-names":false,"suffix":""},{"dropping-particle":"","family":"Petras","given":"Daniel","non-dropping-particle":"","parse-names":false,"suffix":""},{"dropping-particle":"","family":"Preuss","given":"Mary Lai","non-dropping-particle":"","parse-names":false,"suffix":""},{"dropping-particle":"","family":"Pruesse","given":"Elmar","non-dropping-particle":"","parse-names":false,"suffix":""},{"dropping-particle":"","family":"Rasmussen","given":"Lasse Buur","non-dropping-particle":"","parse-names":false,"suffix":""},{"dropping-particle":"","family":"Rivers","given":"Adam","non-dropping-particle":"","parse-names":false,"suffix":""},{"dropping-particle":"","family":"Robeson","given":"Michael S.","non-dropping-particle":"","parse-names":false,"suffix":""},{"dropping-particle":"","family":"Rosenthal","given":"Patrick","non-dropping-particle":"","parse-names":false,"suffix":""},{"dropping-particle":"","family":"Segata","given":"Nicola","non-dropping-particle":"","parse-names":false,"suffix":""},{"dropping-particle":"","family":"Shaffer","given":"Michael","non-dropping-particle":"","parse-names":false,"suffix":""},{"dropping-particle":"","family":"Shiffer","given":"Arron","non-dropping-particle":"","parse-names":false,"suffix":""},{"dropping-particle":"","family":"Sinha","given":"Rashmi","non-dropping-particle":"","parse-names":false,"suffix":""},{"dropping-particle":"","family":"Song","given":"Se Jin","non-dropping-particle":"","parse-names":false,"suffix":""},{"dropping-particle":"","family":"Spear","given":"John R.","non-dropping-particle":"","parse-names":false,"suffix":""},{"dropping-particle":"","family":"Swafford","given":"Austin D.","non-dropping-particle":"","parse-names":false,"suffix":""},{"dropping-particle":"","family":"Thompson","given":"Luke R.","non-dropping-particle":"","parse-names":false,"suffix":""},{"dropping-particle":"","family":"Torres","given":"Pedro J.","non-dropping-particle":"","parse-names":false,"suffix":""},{"dropping-particle":"","family":"Trinh","given":"Pauline","non-dropping-particle":"","parse-names":false,"suffix":""},{"dropping-particle":"","family":"Tripathi","given":"Anupriya","non-dropping-particle":"","parse-names":false,"suffix":""},{"dropping-particle":"","family":"Turnbaugh","given":"Peter J.","non-dropping-particle":"","parse-names":false,"suffix":""},{"dropping-particle":"","family":"Ul-Hasan","given":"Sabah","non-dropping-particle":"","parse-names":false,"suffix":""},{"dropping-particle":"","family":"Hooft","given":"Justin J.J.","non-dropping-particle":"van der","parse-names":false,"suffix":""},{"dropping-particle":"","family":"Vargas","given":"Fernando","non-dropping-particle":"","parse-names":false,"suffix":""},{"dropping-particle":"","family":"Vázquez-Baeza","given":"Yoshiki","non-dropping-particle":"","parse-names":false,"suffix":""},{"dropping-particle":"","family":"Vogtmann","given":"Emily","non-dropping-particle":"","parse-names":false,"suffix":""},{"dropping-particle":"","family":"Hippel","given":"Max","non-dropping-particle":"von","parse-names":false,"suffix":""},{"dropping-particle":"","family":"Walters","given":"William","non-dropping-particle":"","parse-names":false,"suffix":""},{"dropping-particle":"","family":"Wan","given":"Yunhu","non-dropping-particle":"","parse-names":false,"suffix":""},{"dropping-particle":"","family":"Wang","given":"Mingxun","non-dropping-particle":"","parse-names":false,"suffix":""},{"dropping-particle":"","family":"Warren","given":"Jonathan","non-dropping-particle":"","parse-names":false,"suffix":""},{"dropping-particle":"","family":"Weber","given":"Kyle C.","non-dropping-particle":"","parse-names":false,"suffix":""},{"dropping-particle":"","family":"Williamson","given":"Charles H.D.","non-dropping-particle":"","parse-names":false,"suffix":""},{"dropping-particle":"","family":"Willis","given":"Amy D.","non-dropping-particle":"","parse-names":false,"suffix":""},{"dropping-particle":"","family":"Xu","given":"Zhenjiang Zech","non-dropping-particle":"","parse-names":false,"suffix":""},{"dropping-particle":"","family":"Zaneveld","given":"Jesse R.","non-dropping-particle":"","parse-names":false,"suffix":""},{"dropping-particle":"","family":"Zhang","given":"Yilong","non-dropping-particle":"","parse-names":false,"suffix":""},{"dropping-particle":"","family":"Zhu","given":"Qiyun","non-dropping-particle":"","parse-names":false,"suffix":""},{"dropping-particle":"","family":"Knight","given":"Rob","non-dropping-particle":"","parse-names":false,"suffix":""},{"dropping-particle":"","family":"Caporaso","given":"J. Gregory","non-dropping-particle":"","parse-names":false,"suffix":""}],"container-title":"Nature Biotechnology","id":"ITEM-1","issue":"8","issued":{"date-parts":[["2019"]]},"page":"852-857","title":"Reproducible, interactive, scalable and extensible microbiome data science using QIIME 2","type":"article-journal","volume":"37"},"uris":["http://www.mendeley.com/documents/?uuid=3aee306c-8433-43fd-838c-97b6e40530cb"]}],"mendeley":{"formattedCitation":"&lt;sup&gt;114&lt;/sup&gt;","plainTextFormattedCitation":"114","previouslyFormattedCitation":"&lt;sup&gt;114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114</w:t>
      </w:r>
      <w:r w:rsidRPr="00901194">
        <w:rPr>
          <w:rFonts w:cs="Times New Roman"/>
          <w:szCs w:val="24"/>
        </w:rPr>
        <w:fldChar w:fldCharType="end"/>
      </w:r>
      <w:r w:rsidRPr="00901194">
        <w:rPr>
          <w:rFonts w:cs="Times New Roman"/>
          <w:szCs w:val="24"/>
        </w:rPr>
        <w:t xml:space="preserve"> microbe-metabolite vectors (mmvec) plugin</w:t>
      </w:r>
      <w:r w:rsidRPr="00901194">
        <w:rPr>
          <w:rFonts w:cs="Times New Roman"/>
          <w:szCs w:val="24"/>
        </w:rPr>
        <w:fldChar w:fldCharType="begin" w:fldLock="1"/>
      </w:r>
      <w:r w:rsidR="000A1931" w:rsidRPr="00901194">
        <w:rPr>
          <w:rFonts w:cs="Times New Roman"/>
          <w:szCs w:val="24"/>
        </w:rPr>
        <w:instrText>ADDIN CSL_CITATION {"citationItems":[{"id":"ITEM-1","itemData":{"DOI":"10.1038/s41592-019-0616-3","ISSN":"15487105","PMID":"31686038","abstract":"Integrating multiomics datasets is critical for microbiome research; however, inferring interactions across omics datasets has multiple statistical challenges. We solve this problem by using neural networks (https://github.com/biocore/mmvec) to estimate the conditional probability that each molecule is present given the presence of a specific microorganism. We show with known environmental (desert soil biocrust wetting) and clinical (cystic fibrosis lung) examples, our ability to recover microbe–metabolite relationships, and demonstrate how the method can discover relationships between microbially produced metabolites and inflammatory bowel disease.","author":[{"dropping-particle":"","family":"Morton","given":"James T.","non-dropping-particle":"","parse-names":false,"suffix":""},{"dropping-particle":"","family":"Aksenov","given":"Alexander A.","non-dropping-particle":"","parse-names":false,"suffix":""},{"dropping-particle":"","family":"Nothias","given":"Louis Felix","non-dropping-particle":"","parse-names":false,"suffix":""},{"dropping-particle":"","family":"Foulds","given":"James R.","non-dropping-particle":"","parse-names":false,"suffix":""},{"dropping-particle":"","family":"Quinn","given":"Robert A.","non-dropping-particle":"","parse-names":false,"suffix":""},{"dropping-particle":"","family":"Badri","given":"Michelle H.","non-dropping-particle":"","parse-names":false,"suffix":""},{"dropping-particle":"","family":"Swenson","given":"Tami L.","non-dropping-particle":"","parse-names":false,"suffix":""},{"dropping-particle":"","family":"Goethem","given":"Marc W.","non-dropping-particle":"Van","parse-names":false,"suffix":""},{"dropping-particle":"","family":"Northen","given":"Trent R.","non-dropping-particle":"","parse-names":false,"suffix":""},{"dropping-particle":"","family":"Vazquez-Baeza","given":"Yoshiki","non-dropping-particle":"","parse-names":false,"suffix":""},{"dropping-particle":"","family":"Wang","given":"Mingxun","non-dropping-particle":"","parse-names":false,"suffix":""},{"dropping-particle":"","family":"Bokulich","given":"Nicholas A.","non-dropping-particle":"","parse-names":false,"suffix":""},{"dropping-particle":"","family":"Watters","given":"Aaron","non-dropping-particle":"","parse-names":false,"suffix":""},{"dropping-particle":"","family":"Song","given":"Se Jin","non-dropping-particle":"","parse-names":false,"suffix":""},{"dropping-particle":"","family":"Bonneau","given":"Richard","non-dropping-particle":"","parse-names":false,"suffix":""},{"dropping-particle":"","family":"Dorrestein","given":"Pieter C.","non-dropping-particle":"","parse-names":false,"suffix":""},{"dropping-particle":"","family":"Knight","given":"Rob","non-dropping-particle":"","parse-names":false,"suffix":""}],"container-title":"Nature Methods","id":"ITEM-1","issue":"12","issued":{"date-parts":[["2019"]]},"note":"Summary: Article is presenting mmvec as a new approach for exploring the interactions of microbe-metabolite interactions, using it to demonstrate how/why it's better than previous options (e.g., Spearman and Pearson correlations are weaker b/c they assume independence b/w data). mmvec works by estimating the probability of each molecule being present given the presence of a specific microbe, to explore co-occurrence. However, it doesn't yet have a way to statistically assess the rank probabilities.\nSummary: Decent paper, but does a good jopb at explaining mmvec nonetheless. Uses data from case studies to highlight how mmvec can provide specific microbe-metabolite interactions that other models cannot.\n\nmmvec works by estimating the probability of each molecule being present given the presence of a specific microbe\n\nmmvec = mircobe-metabolite vectors\n\nmmvec looks at co-occurrence probabilities (prob. of observing a metabolite given a microbe was observed)","page":"1306-1314","publisher":"Springer US","title":"Learning representations of microbe–metabolite interactions","type":"article-journal","volume":"16"},"uris":["http://www.mendeley.com/documents/?uuid=f000d347-78d6-428d-b039-cb5d5dfe8226"]}],"mendeley":{"formattedCitation":"&lt;sup&gt;115&lt;/sup&gt;","plainTextFormattedCitation":"115","previouslyFormattedCitation":"&lt;sup&gt;115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115</w:t>
      </w:r>
      <w:r w:rsidRPr="00901194">
        <w:rPr>
          <w:rFonts w:cs="Times New Roman"/>
          <w:szCs w:val="24"/>
        </w:rPr>
        <w:fldChar w:fldCharType="end"/>
      </w:r>
      <w:r w:rsidRPr="00901194">
        <w:rPr>
          <w:rFonts w:cs="Times New Roman"/>
          <w:szCs w:val="24"/>
        </w:rPr>
        <w:t>. Conditional probabilities were exported to R</w:t>
      </w:r>
      <w:r w:rsidRPr="00901194">
        <w:rPr>
          <w:rFonts w:cs="Times New Roman"/>
          <w:szCs w:val="24"/>
        </w:rPr>
        <w:fldChar w:fldCharType="begin" w:fldLock="1"/>
      </w:r>
      <w:r w:rsidR="000A1931" w:rsidRPr="00901194">
        <w:rPr>
          <w:rFonts w:cs="Times New Roman"/>
          <w:szCs w:val="24"/>
        </w:rPr>
        <w:instrText>ADDIN CSL_CITATION {"citationItems":[{"id":"ITEM-1","itemData":{"DOI":"10.1108/eb003648","ISBN":"9781584886181","ISSN":"0019-7858","abstract":"This document describes basic features of dplR by following the initial steps that an analyst might follow when working with a new tree-ring data set. The vignette starts with reading in ring widths and plotting them. We describe a few of the available methods for detrending and then show how to extract basic descriptive statistics. We show how to build and plot a simple mean-value chronology. We also show how to build a chronology using the expressed population signal from the detrended ring widths as an example of how more complicated analysis can be done using dplR.","author":[{"dropping-particle":"","family":"Bunn","given":"Andy","non-dropping-particle":"","parse-names":false,"suffix":""},{"dropping-particle":"","family":"Korpela","given":"Mikko","non-dropping-particle":"","parse-names":false,"suffix":""}],"container-title":"Industrial and Commercial Training","id":"ITEM-1","issued":{"date-parts":[["2018"]]},"page":"1-16","title":"R: A Language for Data Analysis and Graphics","type":"article-journal","volume":"0"},"uris":["http://www.mendeley.com/documents/?uuid=5d4fdb32-6875-4039-a60e-ee34c978f544"]}],"mendeley":{"formattedCitation":"&lt;sup&gt;101&lt;/sup&gt;","plainTextFormattedCitation":"101","previouslyFormattedCitation":"&lt;sup&gt;101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101</w:t>
      </w:r>
      <w:r w:rsidRPr="00901194">
        <w:rPr>
          <w:rFonts w:cs="Times New Roman"/>
          <w:szCs w:val="24"/>
        </w:rPr>
        <w:fldChar w:fldCharType="end"/>
      </w:r>
      <w:r w:rsidRPr="00901194">
        <w:rPr>
          <w:rFonts w:cs="Times New Roman"/>
          <w:szCs w:val="24"/>
        </w:rPr>
        <w:t>. Conditionals were subset to our 67 annotated shared metabolites while major taxa were filtered by exploring high conditional probability values. Filtered results were exported to a new table as .csv. Principal component analyses were run and visualized using the R</w:t>
      </w:r>
      <w:r w:rsidRPr="00901194">
        <w:rPr>
          <w:rFonts w:cs="Times New Roman"/>
          <w:szCs w:val="24"/>
        </w:rPr>
        <w:fldChar w:fldCharType="begin" w:fldLock="1"/>
      </w:r>
      <w:r w:rsidR="000A1931" w:rsidRPr="00901194">
        <w:rPr>
          <w:rFonts w:cs="Times New Roman"/>
          <w:szCs w:val="24"/>
        </w:rPr>
        <w:instrText>ADDIN CSL_CITATION {"citationItems":[{"id":"ITEM-1","itemData":{"DOI":"10.1108/eb003648","ISBN":"9781584886181","ISSN":"0019-7858","abstract":"This document describes basic features of dplR by following the initial steps that an analyst might follow when working with a new tree-ring data set. The vignette starts with reading in ring widths and plotting them. We describe a few of the available methods for detrending and then show how to extract basic descriptive statistics. We show how to build and plot a simple mean-value chronology. We also show how to build a chronology using the expressed population signal from the detrended ring widths as an example of how more complicated analysis can be done using dplR.","author":[{"dropping-particle":"","family":"Bunn","given":"Andy","non-dropping-particle":"","parse-names":false,"suffix":""},{"dropping-particle":"","family":"Korpela","given":"Mikko","non-dropping-particle":"","parse-names":false,"suffix":""}],"container-title":"Industrial and Commercial Training","id":"ITEM-1","issued":{"date-parts":[["2018"]]},"page":"1-16","title":"R: A Language for Data Analysis and Graphics","type":"article-journal","volume":"0"},"uris":["http://www.mendeley.com/documents/?uuid=5d4fdb32-6875-4039-a60e-ee34c978f544"]}],"mendeley":{"formattedCitation":"&lt;sup&gt;101&lt;/sup&gt;","plainTextFormattedCitation":"101","previouslyFormattedCitation":"&lt;sup&gt;101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101</w:t>
      </w:r>
      <w:r w:rsidRPr="00901194">
        <w:rPr>
          <w:rFonts w:cs="Times New Roman"/>
          <w:szCs w:val="24"/>
        </w:rPr>
        <w:fldChar w:fldCharType="end"/>
      </w:r>
      <w:r w:rsidRPr="00901194">
        <w:rPr>
          <w:rFonts w:cs="Times New Roman"/>
          <w:szCs w:val="24"/>
        </w:rPr>
        <w:t xml:space="preserve"> package “pca3d”</w:t>
      </w:r>
      <w:r w:rsidRPr="00901194" w:rsidDel="005559F9">
        <w:rPr>
          <w:rFonts w:cs="Times New Roman"/>
          <w:szCs w:val="24"/>
        </w:rPr>
        <w:t xml:space="preserve"> </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{"citationItems":[{"id":"ITEM-1","itemData":{"author":[{"dropping-particle":"","family":"Weiner","given":"January","non-dropping-particle":"","parse-names":false,"suffix":""}],"id":"ITEM-1","issued":{"date-parts":[["2020"]]},"title":"Package ‘pca3d’: Three Dimensional PCA Plots","type":"article-journal"},"uris":["http://www.mendeley.com/documents/?uuid=b3ed7e58-4fad-486e-8754-2a34025b8e1e"]}],"mendeley":{"formattedCitation":"&lt;sup&gt;116&lt;/sup&gt;","plainTextFormattedCitation":"116","previouslyFormattedCitation":"&lt;sup&gt;116&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116</w:t>
      </w:r>
      <w:r w:rsidRPr="00901194">
        <w:rPr>
          <w:rFonts w:cs="Times New Roman"/>
          <w:szCs w:val="24"/>
        </w:rPr>
        <w:fldChar w:fldCharType="end"/>
      </w:r>
      <w:r w:rsidRPr="00901194">
        <w:rPr>
          <w:rFonts w:cs="Times New Roman"/>
          <w:szCs w:val="24"/>
        </w:rPr>
        <w:t>. Further figure modifications were done using Inkscape (</w:t>
      </w:r>
      <w:hyperlink r:id="rId10" w:history="1">
        <w:r w:rsidRPr="00901194">
          <w:rPr>
            <w:rStyle w:val="Hyperlink"/>
            <w:rFonts w:cs="Times New Roman"/>
            <w:szCs w:val="24"/>
          </w:rPr>
          <w:t>https://inkscape.org/</w:t>
        </w:r>
      </w:hyperlink>
      <w:r w:rsidRPr="00901194">
        <w:rPr>
          <w:rFonts w:cs="Times New Roman"/>
          <w:szCs w:val="24"/>
        </w:rPr>
        <w:t xml:space="preserve">) v1.2. </w:t>
      </w:r>
    </w:p>
    <w:p w14:paraId="0C125610" w14:textId="25E01C20" w:rsidR="00D02195" w:rsidRPr="00901194" w:rsidRDefault="00D02195" w:rsidP="00D02195">
      <w:pPr>
        <w:ind w:firstLine="720"/>
        <w:rPr>
          <w:rFonts w:cs="Times New Roman"/>
          <w:b/>
          <w:bCs/>
          <w:szCs w:val="24"/>
        </w:rPr>
      </w:pPr>
      <w:r w:rsidRPr="00901194">
        <w:rPr>
          <w:rFonts w:cs="Times New Roman"/>
          <w:szCs w:val="24"/>
        </w:rPr>
        <w:t>Principal coordinate analysis (PCoA) plots were created using Canberra distance metrics from QIIME2</w:t>
      </w:r>
      <w:r w:rsidRPr="00901194">
        <w:rPr>
          <w:rFonts w:cs="Times New Roman"/>
          <w:szCs w:val="24"/>
        </w:rPr>
        <w:fldChar w:fldCharType="begin" w:fldLock="1"/>
      </w:r>
      <w:r w:rsidR="000A1931" w:rsidRPr="00901194">
        <w:rPr>
          <w:rFonts w:cs="Times New Roman"/>
          <w:szCs w:val="24"/>
        </w:rPr>
        <w:instrText>ADDIN CSL_CITATION {"citationItems":[{"id":"ITEM-1","itemData":{"DOI":"10.1038/s41587-019-0209-9","ISSN":"15461696","PMID":"31341288","author":[{"dropping-particle":"","family":"Bolyen","given":"Evan","non-dropping-particle":"","parse-names":false,"suffix":""},{"dropping-particle":"","family":"Rideout","given":"Jai Ram","non-dropping-particle":"","parse-names":false,"suffix":""},{"dropping-particle":"","family":"Dillon","given":"Matthew R.","non-dropping-particle":"","parse-names":false,"suffix":""},{"dropping-particle":"","family":"Bokulich","given":"Nicholas A.","non-dropping-particle":"","parse-names":false,"suffix":""},{"dropping-particle":"","family":"Abnet","given":"Christian C.","non-dropping-particle":"","parse-names":false,"suffix":""},{"dropping-particle":"","family":"Al-Ghalith","given":"Gabriel A.","non-dropping-particle":"","parse-names":false,"suffix":""},{"dropping-particle":"","family":"Alexander","given":"Harriet","non-dropping-particle":"","parse-names":false,"suffix":""},{"dropping-particle":"","family":"Alm","given":"Eric J.","non-dropping-particle":"","parse-names":false,"suffix":""},{"dropping-particle":"","family":"Arumugam","given":"Manimozhiyan","non-dropping-particle":"","parse-names":false,"suffix":""},{"dropping-particle":"","family":"Asnicar","given":"Francesco","non-dropping-particle":"","parse-names":false,"suffix":""},{"dropping-particle":"","family":"Bai","given":"Yang","non-dropping-particle":"","parse-names":false,"suffix":""},{"dropping-particle":"","family":"Bisanz","given":"Jordan E.","non-dropping-particle":"","parse-names":false,"suffix":""},{"dropping-particle":"","family":"Bittinger","given":"Kyle","non-dropping-particle":"","parse-names":false,"suffix":""},{"dropping-particle":"","family":"Brejnrod","given":"Asker","non-dropping-particle":"","parse-names":false,"suffix":""},{"dropping-particle":"","family":"Brislawn","given":"Colin J.","non-dropping-particle":"","parse-names":false,"suffix":""},{"dropping-particle":"","family":"Brown","given":"C. Titus","non-dropping-particle":"","parse-names":false,"suffix":""},{"dropping-particle":"","family":"Callahan","given":"Benjamin J.","non-dropping-particle":"","parse-names":false,"suffix":""},{"dropping-particle":"","family":"Caraballo-Rodríguez","given":"Andrés Mauricio","non-dropping-particle":"","parse-names":false,"suffix":""},{"dropping-particle":"","family":"Chase","given":"John","non-dropping-particle":"","parse-names":false,"suffix":""},{"dropping-particle":"","family":"Cope","given":"Emily K.","non-dropping-particle":"","parse-names":false,"suffix":""},{"dropping-particle":"","family":"Silva","given":"Ricardo","non-dropping-particle":"Da","parse-names":false,"suffix":""},{"dropping-particle":"","family":"Diener","given":"Christian","non-dropping-particle":"","parse-names":false,"suffix":""},{"dropping-particle":"","family":"Dorrestein","given":"Pieter C.","non-dropping-particle":"","parse-names":false,"suffix":""},{"dropping-particle":"","family":"Douglas","given":"Gavin M.","non-dropping-particle":"","parse-names":false,"suffix":""},{"dropping-particle":"","family":"Durall","given":"Daniel M.","non-dropping-particle":"","parse-names":false,"suffix":""},{"dropping-particle":"","family":"Duvallet","given":"Claire","non-dropping-particle":"","parse-names":false,"suffix":""},{"dropping-particle":"","family":"Edwardson","given":"Christian F.","non-dropping-particle":"","parse-names":false,"suffix":""},{"dropping-particle":"","family":"Ernst","given":"Madeleine","non-dropping-particle":"","parse-names":false,"suffix":""},{"dropping-particle":"","family":"Estaki","given":"Mehrbod","non-dropping-particle":"","parse-names":false,"suffix":""},{"dropping-particle":"","family":"Fouquier","given":"Jennifer","non-dropping-particle":"","parse-names":false,"suffix":""},{"dropping-particle":"","family":"Gauglitz","given":"Julia M.","non-dropping-particle":"","parse-names":false,"suffix":""},{"dropping-particle":"","family":"Gibbons","given":"Sean M.","non-dropping-particle":"","parse-names":false,"suffix":""},{"dropping-particle":"","family":"Gibson","given":"Deanna L.","non-dropping-particle":"","parse-names":false,"suffix":""},{"dropping-particle":"","family":"Gonzalez","given":"Antonio","non-dropping-particle":"","parse-names":false,"suffix":""},{"dropping-particle":"","family":"Gorlick","given":"Kestrel","non-dropping-particle":"","parse-names":false,"suffix":""},{"dropping-particle":"","family":"Guo","given":"Jiarong","non-dropping-particle":"","parse-names":false,"suffix":""},{"dropping-particle":"","family":"Hillmann","given":"Benjamin","non-dropping-particle":"","parse-names":false,"suffix":""},{"dropping-particle":"","family":"Holmes","given":"Susan","non-dropping-particle":"","parse-names":false,"suffix":""},{"dropping-particle":"","family":"Holste","given":"Hannes","non-dropping-particle":"","parse-names":false,"suffix":""},{"dropping-particle":"","family":"Huttenhower","given":"Curtis","non-dropping-particle":"","parse-names":false,"suffix":""},{"dropping-particle":"","family":"Huttley","given":"Gavin A.","non-dropping-particle":"","parse-names":false,"suffix":""},{"dropping-particle":"","family":"Janssen","given":"Stefan","non-dropping-particle":"","parse-names":false,"suffix":""},{"dropping-particle":"","family":"Jarmusch","given":"Alan K.","non-dropping-particle":"","parse-names":false,"suffix":""},{"dropping-particle":"","family":"Jiang","given":"Lingjing","non-dropping-particle":"","parse-names":false,"suffix":""},{"dropping-particle":"","family":"Kaehler","given":"Benjamin D.","non-dropping-particle":"","parse-names":false,"suffix":""},{"dropping-particle":"Bin","family":"Kang","given":"Kyo","non-dropping-particle":"","parse-names":false,"suffix":""},{"dropping-particle":"","family":"Keefe","given":"Christopher R.","non-dropping-particle":"","parse-names":false,"suffix":""},{"dropping-particle":"","family":"Keim","given":"Paul","non-dropping-particle":"","parse-names":false,"suffix":""},{"dropping-particle":"","family":"Kelley","given":"Scott T.","non-dropping-particle":"","parse-names":false,"suffix":""},{"dropping-particle":"","family":"Knights","given":"Dan","non-dropping-particle":"","parse-names":false,"suffix":""},{"dropping-particle":"","family":"Koester","given":"Irina","non-dropping-particle":"","parse-names":false,"suffix":""},{"dropping-particle":"","family":"Kosciolek","given":"Tomasz","non-dropping-particle":"","parse-names":false,"suffix":""},{"dropping-particle":"","family":"Kreps","given":"Jorden","non-dropping-particle":"","parse-names":false,"suffix":""},{"dropping-particle":"","family":"Langille","given":"Morgan G.I.","non-dropping-particle":"","parse-names":false,"suffix":""},{"dropping-particle":"","family":"Lee","given":"Joslynn","non-dropping-particle":"","parse-names":false,"suffix":""},{"dropping-particle":"","family":"Ley","given":"Ruth","non-dropping-particle":"","parse-names":false,"suffix":""},{"dropping-particle":"","family":"Liu","given":"Yong Xin","non-dropping-particle":"","parse-names":false,"suffix":""},{"dropping-particle":"","family":"Loftfield","given":"Erikka","non-dropping-particle":"","parse-names":false,"suffix":""},{"dropping-particle":"","family":"Lozupone","given":"Catherine","non-dropping-particle":"","parse-names":false,"suffix":""},{"dropping-particle":"","family":"Maher","given":"Massoud","non-dropping-particle":"","parse-names":false,"suffix":""},{"dropping-particle":"","family":"Marotz","given":"Clarisse","non-dropping-particle":"","parse-names":false,"suffix":""},{"dropping-particle":"","family":"Martin","given":"Bryan D.","non-dropping-particle":"","parse-names":false,"suffix":""},{"dropping-particle":"","family":"McDonald","given":"Daniel","non-dropping-particle":"","parse-names":false,"suffix":""},{"dropping-particle":"","family":"McIver","given":"Lauren J.","non-dropping-particle":"","parse-names":false,"suffix":""},{"dropping-particle":"V.","family":"Melnik","given":"Alexey","non-dropping-particle":"","parse-names":false,"suffix":""},{"dropping-particle":"","family":"Metcalf","given":"Jessica L.","non-dropping-particle":"","parse-names":false,"suffix":""},{"dropping-particle":"","family":"Morgan","given":"Sydney C.","non-dropping-particle":"","parse-names":false,"suffix":""},{"dropping-particle":"","family":"Morton","given":"Jamie T.","non-dropping-particle":"","parse-names":false,"suffix":""},{"dropping-particle":"","family":"Naimey","given":"Ahmad Turan","non-dropping-particle":"","parse-names":false,"suffix":""},{"dropping-particle":"","family":"Navas-Molina","given":"Jose A.","non-dropping-particle":"","parse-names":false,"suffix":""},{"dropping-particle":"","family":"Nothias","given":"Louis Felix","non-dropping-particle":"","parse-names":false,"suffix":""},{"dropping-particle":"","family":"Orchanian","given":"Stephanie B.","non-dropping-particle":"","parse-names":false,"suffix":""},{"dropping-particle":"","family":"Pearson","given":"Talima","non-dropping-particle":"","parse-names":false,"suffix":""},{"dropping-particle":"","family":"Peoples","given":"Samuel L.","non-dropping-particle":"","parse-names":false,"suffix":""},{"dropping-particle":"","family":"Petras","given":"Daniel","non-dropping-particle":"","parse-names":false,"suffix":""},{"dropping-particle":"","family":"Preuss","given":"Mary Lai","non-dropping-particle":"","parse-names":false,"suffix":""},{"dropping-particle":"","family":"Pruesse","given":"Elmar","non-dropping-particle":"","parse-names":false,"suffix":""},{"dropping-particle":"","family":"Rasmussen","given":"Lasse Buur","non-dropping-particle":"","parse-names":false,"suffix":""},{"dropping-particle":"","family":"Rivers","given":"Adam","non-dropping-particle":"","parse-names":false,"suffix":""},{"dropping-particle":"","family":"Robeson","given":"Michael S.","non-dropping-particle":"","parse-names":false,"suffix":""},{"dropping-particle":"","family":"Rosenthal","given":"Patrick","non-dropping-particle":"","parse-names":false,"suffix":""},{"dropping-particle":"","family":"Segata","given":"Nicola","non-dropping-particle":"","parse-names":false,"suffix":""},{"dropping-particle":"","family":"Shaffer","given":"Michael","non-dropping-particle":"","parse-names":false,"suffix":""},{"dropping-particle":"","family":"Shiffer","given":"Arron","non-dropping-particle":"","parse-names":false,"suffix":""},{"dropping-particle":"","family":"Sinha","given":"Rashmi","non-dropping-particle":"","parse-names":false,"suffix":""},{"dropping-particle":"","family":"Song","given":"Se Jin","non-dropping-particle":"","parse-names":false,"suffix":""},{"dropping-particle":"","family":"Spear","given":"John R.","non-dropping-particle":"","parse-names":false,"suffix":""},{"dropping-particle":"","family":"Swafford","given":"Austin D.","non-dropping-particle":"","parse-names":false,"suffix":""},{"dropping-particle":"","family":"Thompson","given":"Luke R.","non-dropping-particle":"","parse-names":false,"suffix":""},{"dropping-particle":"","family":"Torres","given":"Pedro J.","non-dropping-particle":"","parse-names":false,"suffix":""},{"dropping-particle":"","family":"Trinh","given":"Pauline","non-dropping-particle":"","parse-names":false,"suffix":""},{"dropping-particle":"","family":"Tripathi","given":"Anupriya","non-dropping-particle":"","parse-names":false,"suffix":""},{"dropping-particle":"","family":"Turnbaugh","given":"Peter J.","non-dropping-particle":"","parse-names":false,"suffix":""},{"dropping-particle":"","family":"Ul-Hasan","given":"Sabah","non-dropping-particle":"","parse-names":false,"suffix":""},{"dropping-particle":"","family":"Hooft","given":"Justin J.J.","non-dropping-particle":"van der","parse-names":false,"suffix":""},{"dropping-particle":"","family":"Vargas","given":"Fernando","non-dropping-particle":"","parse-names":false,"suffix":""},{"dropping-particle":"","family":"Vázquez-Baeza","given":"Yoshiki","non-dropping-particle":"","parse-names":false,"suffix":""},{"dropping-particle":"","family":"Vogtmann","given":"Emily","non-dropping-particle":"","parse-names":false,"suffix":""},{"dropping-particle":"","family":"Hippel","given":"Max","non-dropping-particle":"von","parse-names":false,"suffix":""},{"dropping-particle":"","family":"Walters","given":"William","non-dropping-particle":"","parse-names":false,"suffix":""},{"dropping-particle":"","family":"Wan","given":"Yunhu","non-dropping-particle":"","parse-names":false,"suffix":""},{"dropping-particle":"","family":"Wang","given":"Mingxun","non-dropping-particle":"","parse-names":false,"suffix":""},{"dropping-particle":"","family":"Warren","given":"Jonathan","non-dropping-particle":"","parse-names":false,"suffix":""},{"dropping-particle":"","family":"Weber","given":"Kyle C.","non-dropping-particle":"","parse-names":false,"suffix":""},{"dropping-particle":"","family":"Williamson","given":"Charles H.D.","non-dropping-particle":"","parse-names":false,"suffix":""},{"dropping-particle":"","family":"Willis","given":"Amy D.","non-dropping-particle":"","parse-names":false,"suffix":""},{"dropping-particle":"","family":"Xu","given":"Zhenjiang Zech","non-dropping-particle":"","parse-names":false,"suffix":""},{"dropping-particle":"","family":"Zaneveld","given":"Jesse R.","non-dropping-particle":"","parse-names":false,"suffix":""},{"dropping-particle":"","family":"Zhang","given":"Yilong","non-dropping-particle":"","parse-names":false,"suffix":""},{"dropping-particle":"","family":"Zhu","given":"Qiyun","non-dropping-particle":"","parse-names":false,"suffix":""},{"dropping-particle":"","family":"Knight","given":"Rob","non-dropping-particle":"","parse-names":false,"suffix":""},{"dropping-particle":"","family":"Caporaso","given":"J. Gregory","non-dropping-particle":"","parse-names":false,"suffix":""}],"container-title":"Nature Biotechnology","id":"ITEM-1","issue":"8","issued":{"date-parts":[["2019"]]},"page":"852-857","title":"Reproducible, interactive, scalable and extensible microbiome data science using QIIME 2","type":"article-journal","volume":"37"},"uris":["http://www.mendeley.com/documents/?uuid=3aee306c-8433-43fd-838c-97b6e40530cb"]}],"mendeley":{"formattedCitation":"&lt;sup&gt;114&lt;/sup&gt;","plainTextFormattedCitation":"114","previouslyFormattedCitation":"&lt;sup&gt;114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114</w:t>
      </w:r>
      <w:r w:rsidRPr="00901194">
        <w:rPr>
          <w:rFonts w:cs="Times New Roman"/>
          <w:szCs w:val="24"/>
        </w:rPr>
        <w:fldChar w:fldCharType="end"/>
      </w:r>
      <w:r w:rsidRPr="00901194">
        <w:rPr>
          <w:rFonts w:cs="Times New Roman"/>
          <w:szCs w:val="24"/>
        </w:rPr>
        <w:t xml:space="preserve"> and visualized using Emperor</w:t>
      </w:r>
      <w:r w:rsidRPr="00901194">
        <w:rPr>
          <w:rFonts w:cs="Times New Roman"/>
          <w:szCs w:val="24"/>
        </w:rPr>
        <w:fldChar w:fldCharType="begin" w:fldLock="1"/>
      </w:r>
      <w:r w:rsidR="000A1931" w:rsidRPr="00901194">
        <w:rPr>
          <w:rFonts w:cs="Times New Roman"/>
          <w:szCs w:val="24"/>
        </w:rPr>
        <w:instrText>ADDIN CSL_CITATION {"citationItems":[{"id":"ITEM-1","itemData":{"DOI":"10.1186/2047-217X-2-16","ISSN":"2047217X","PMID":"24280061","abstract":"Background: As microbial ecologists take advantage of high-throughput sequencing technologies to describe microbial communities across ever-increasing numbers of samples, new analysis tools are required to relate the distribution of microbes among larger numbers of communities, and to use increasingly rich and standards-compliant metadata to understand the biological factors driving these relationships. In particular, the Earth Microbiome Project drives these needs by profiling the genomic content of tens of thousands of samples across multiple environment types. Findings: Features of EMPeror include: ability to visualize gradients and categorical data, visualize different principal coordinates axes, present the data in the form of parallel coordinates, show taxa as well as environmental samples, dynamically adjust the size and transparency of the spheres representing the communities on a per-category basis, dynamically scale the axes according to the fraction of variance each explains, show, hide or recolor points according to arbitrary metadata including that compliant with the MIxS family of standards developed by the Genomic Standards Consortium, display jackknifed-resampled data to assess statistical confidence in clustering, perform coordinate comparisons (useful for procrustes analysis plots), and greatly reduce loading times and overall memory footprint compared with existing approaches. Additionally, ease of sharing, given EMPeror's small output file size, enables agile collaboration by allowing users to embed these visualizations via emails or web pages without the need for extra plugins. Conclusions: Here we present EMPeror, an open source and web browser enabled tool with a versatile command line interface that allows researchers to perform rapid exploratory investigations of 3D visualizations of microbial community data, such as the widely used principal coordinates plots. EMPeror includes a rich set of controllers to modify features as a function of the metadata. By being specifically tailored to the requirements of microbial ecologists, EMPeror thus increases the speed with which insight can be gained from large microbiome datasets.","author":[{"dropping-particle":"","family":"Vázquez-Baeza","given":"Yoshiki","non-dropping-particle":"","parse-names":false,"suffix":""},{"dropping-particle":"","family":"Pirrung","given":"Meg","non-dropping-particle":"","parse-names":false,"suffix":""},{"dropping-particle":"","family":"Gonzalez","given":"Antonio","non-dropping-particle":"","parse-names":false,"suffix":""},{"dropping-particle":"","family":"Knight","given":"Rob","non-dropping-particle":"","parse-names":false,"suffix":""}],"container-title":"GigaScience","id":"ITEM-1","issue":"1","issued":{"date-parts":[["2013"]]},"note":"Summary: Article advocating for EMPeror, highlighting its features for analyzing large datasets: visualize gradients and categorical data, visualize different PC axes, present data as parallel coordinates, show taxa and environmental samples dynamically with adjusted visualizations based on metadata categories, dynamically scale axes based on degree of variation each shows, show/hide/recolor points based on metadata, display jackknife-resampled data to assess clustering's statistical significance, perform coordinate comparisons, and greatly reduce loading times","page":"2-5","title":"EMPeror: A tool for visualizing high-throughput microbial community data","type":"article-journal","volume":"2"},"uris":["http://www.mendeley.com/documents/?uuid=f80b8fa6-06e9-477a-a9d3-8409bf99fff1"]}],"mendeley":{"formattedCitation":"&lt;sup&gt;117&lt;/sup&gt;","plainTextFormattedCitation":"117","previouslyFormattedCitation":"&lt;sup&gt;117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117</w:t>
      </w:r>
      <w:r w:rsidRPr="00901194">
        <w:rPr>
          <w:rFonts w:cs="Times New Roman"/>
          <w:szCs w:val="24"/>
        </w:rPr>
        <w:fldChar w:fldCharType="end"/>
      </w:r>
      <w:r w:rsidRPr="00901194">
        <w:rPr>
          <w:rFonts w:cs="Times New Roman"/>
          <w:szCs w:val="24"/>
        </w:rPr>
        <w:t>. PERMANOVA</w:t>
      </w:r>
      <w:r w:rsidRPr="00901194">
        <w:rPr>
          <w:rFonts w:cs="Times New Roman"/>
          <w:szCs w:val="24"/>
        </w:rPr>
        <w:fldChar w:fldCharType="begin" w:fldLock="1"/>
      </w:r>
      <w:r w:rsidR="000A1931" w:rsidRPr="00901194">
        <w:rPr>
          <w:rFonts w:cs="Times New Roman"/>
          <w:szCs w:val="24"/>
        </w:rPr>
        <w:instrText>ADDIN CSL_CITATION {"citationItems":[{"id":"ITEM-1","itemData":{"DOI":"10.1002/9781118445112.stat07841","ISBN":"9781118445112","abstract":"PERMANOVA is a computer program for testing the simultaneous response of one or more variables to one or more factors in an ANOVA experimental design on the basis of any distance measure, using permutation methods. These notes for users assume knowledge of multi-factorial ANOVA, which has the same basic logic in multivariate as in univariate analysis, and an understanding of what it means to test a multivariate hypothesis. A more complete description of the method is given in Anderson (2001a) and McArdle &amp; Anderson (2001). The program includes: choice of appropriate transformation and/or standardization of the data; choice of 19 distance (or dissimilarity) measures to use as the basis of the analysis; option to rank the distances in the distance matrix before the analysis; analysis and partitioning of the total sum of squares according to the full model, including appropriate treatment of factors that are fixed or random, crossed (orthogonal) or nested (hierarchical), and all interaction terms; correct calculation of an appropriate distance-based pseudo F-statistic for each term in the model, based on expected mean squares as in univariate ANOVA (Winer et al. 1991, Searle et al.1992); correct permutation procedures to obtain P-values for each term in the model, using the correct permutable units (Anderson &amp; ter Braak 2003); choice of permutation method: raw data units or residuals under either a reduced or a full model (Anderson 2001b, Anderson &amp; Legendre 1999, Anderson &amp; Robinson 2001); correct P-values also obtained through Monte Carlo random draws from the asymptotic permutation distribution (Anderson &amp; Robinson 2003); option to include one or more covariables (i.e., to perform ANCOVA or MANCOVA); pair-wise a posteriori comparisons of levels for single factors, including within individual levels of other factors in the case of significant interactions and the use of correct permutable units in each case.","author":[{"dropping-particle":"","family":"Anderson","given":"Marti J.","non-dropping-particle":"","parse-names":false,"suffix":""}],"container-title":"Wiley StatsRef: Statistics Reference Online","id":"ITEM-1","issued":{"date-parts":[["2017"]]},"page":"1-15","title":" Permutational Multivariate Analysis of Variance ( PERMANOVA ) ","type":"article-journal"},"uris":["http://www.mendeley.com/documents/?uuid=d29cbffc-ca9b-49d9-8535-5b9270184b5d"]}],"mendeley":{"formattedCitation":"&lt;sup&gt;118&lt;/sup&gt;","plainTextFormattedCitation":"118","previouslyFormattedCitation":"&lt;sup&gt;118&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118</w:t>
      </w:r>
      <w:r w:rsidRPr="00901194">
        <w:rPr>
          <w:rFonts w:cs="Times New Roman"/>
          <w:szCs w:val="24"/>
        </w:rPr>
        <w:fldChar w:fldCharType="end"/>
      </w:r>
      <w:r w:rsidRPr="00901194">
        <w:rPr>
          <w:rFonts w:cs="Times New Roman"/>
          <w:szCs w:val="24"/>
        </w:rPr>
        <w:t xml:space="preserve"> via QIIME2 assessed statistical significance for beta diversity measures. Kruskal-Wallis p-values were calculated in R</w:t>
      </w:r>
      <w:r w:rsidRPr="00901194">
        <w:rPr>
          <w:rFonts w:cs="Times New Roman"/>
          <w:szCs w:val="24"/>
        </w:rPr>
        <w:fldChar w:fldCharType="begin" w:fldLock="1"/>
      </w:r>
      <w:r w:rsidR="000A1931" w:rsidRPr="00901194">
        <w:rPr>
          <w:rFonts w:cs="Times New Roman"/>
          <w:szCs w:val="24"/>
        </w:rPr>
        <w:instrText>ADDIN CSL_CITATION {"citationItems":[{"id":"ITEM-1","itemData":{"DOI":"10.1108/eb003648","ISBN":"9781584886181","ISSN":"0019-7858","abstract":"This document describes basic features of dplR by following the initial steps that an analyst might follow when working with a new tree-ring data set. The vignette starts with reading in ring widths and plotting them. We describe a few of the available methods for detrending and then show how to extract basic descriptive statistics. We show how to build and plot a simple mean-value chronology. We also show how to build a chronology using the expressed population signal from the detrended ring widths as an example of how more complicated analysis can be done using dplR.","author":[{"dropping-particle":"","family":"Bunn","given":"Andy","non-dropping-particle":"","parse-names":false,"suffix":""},{"dropping-particle":"","family":"Korpela","given":"Mikko","non-dropping-particle":"","parse-names":false,"suffix":""}],"container-title":"Industrial and Commercial Training","id":"ITEM-1","issued":{"date-parts":[["2018"]]},"page":"1-16","title":"R: A Language for Data Analysis and Graphics","type":"article-journal","volume":"0"},"uris":["http://www.mendeley.com/documents/?uuid=5d4fdb32-6875-4039-a60e-ee34c978f544"]}],"mendeley":{"formattedCitation":"&lt;sup&gt;101&lt;/sup&gt;","plainTextFormattedCitation":"101","previouslyFormattedCitation":"&lt;sup&gt;101&lt;/sup&gt;"},"properties":{"noteIndex":0},"schema":"https://github.com/citation-style-language/schema/raw/master/csl-citation.json"}</w:instrText>
      </w:r>
      <w:r w:rsidRPr="00901194">
        <w:rPr>
          <w:rFonts w:cs="Times New Roman"/>
          <w:szCs w:val="24"/>
        </w:rPr>
        <w:fldChar w:fldCharType="separate"/>
      </w:r>
      <w:bookmarkStart w:id="45" w:name="__Fieldmark__370_848958439"/>
      <w:bookmarkStart w:id="46" w:name="__Fieldmark__882_1847056004"/>
      <w:r w:rsidR="00AB5632" w:rsidRPr="00901194">
        <w:rPr>
          <w:rFonts w:cs="Times New Roman"/>
          <w:noProof/>
          <w:szCs w:val="24"/>
          <w:vertAlign w:val="superscript"/>
        </w:rPr>
        <w:t>101</w:t>
      </w:r>
      <w:r w:rsidRPr="00901194">
        <w:rPr>
          <w:rFonts w:cs="Times New Roman"/>
          <w:szCs w:val="24"/>
        </w:rPr>
        <w:fldChar w:fldCharType="end"/>
      </w:r>
      <w:bookmarkEnd w:id="45"/>
      <w:bookmarkEnd w:id="46"/>
      <w:r w:rsidRPr="00901194">
        <w:rPr>
          <w:rFonts w:cs="Times New Roman"/>
          <w:szCs w:val="24"/>
        </w:rPr>
        <w:t xml:space="preserve"> through Jupyter Notebook</w:t>
      </w:r>
      <w:r w:rsidRPr="00901194">
        <w:rPr>
          <w:rFonts w:cs="Times New Roman"/>
          <w:szCs w:val="24"/>
        </w:rPr>
        <w:fldChar w:fldCharType="begin" w:fldLock="1"/>
      </w:r>
      <w:r w:rsidR="000A1931" w:rsidRPr="00901194">
        <w:rPr>
          <w:rFonts w:cs="Times New Roman"/>
          <w:szCs w:val="24"/>
        </w:rPr>
        <w:instrText>ADDIN CSL_CITATION {"citationItems":[{"id":"ITEM-1","itemData":{"DOI":"10.3233/978-1-61499-649-1-87","ISBN":"9781614996491","abstract":"It is increasingly necessary for researchers in all fields to write computer code, and in order to reproduce research results, it is important that this code is published. We present Jupyter notebooks, a document format for publishing code, results and explanations in a form that is both readable and executable. We discuss various tools and use cases for notebook documents.","author":[{"dropping-particle":"","family":"Kluyver","given":"Thomas","non-dropping-particle":"","parse-names":false,"suffix":""},{"dropping-particle":"","family":"Ragan-kelley","given":"Benjamin","non-dropping-particle":"","parse-names":false,"suffix":""},{"dropping-particle":"","family":"Pérez","given":"Fernando","non-dropping-particle":"","parse-names":false,"suffix":""},{"dropping-particle":"","family":"Granger","given":"Brian","non-dropping-particle":"","parse-names":false,"suffix":""},{"dropping-particle":"","family":"Bussonnier","given":"Matthias","non-dropping-particle":"","parse-names":false,"suffix":""},{"dropping-particle":"","family":"Frederic","given":"Jonathan","non-dropping-particle":"","parse-names":false,"suffix":""},{"dropping-particle":"","family":"Kelley","given":"Kyle","non-dropping-particle":"","parse-names":false,"suffix":""},{"dropping-particle":"","family":"Hamrick","given":"Jessica","non-dropping-particle":"","parse-names":false,"suffix":""},{"dropping-particle":"","family":"Grout","given":"Jason","non-dropping-particle":"","parse-names":false,"suffix":""},{"dropping-particle":"","family":"Corlay","given":"Sylvain","non-dropping-particle":"","parse-names":false,"suffix":""},{"dropping-particle":"","family":"Ivanov","given":"Paul","non-dropping-particle":"","parse-names":false,"suffix":""},{"dropping-particle":"","family":"Avila","given":"Damián","non-dropping-particle":"","parse-names":false,"suffix":""},{"dropping-particle":"","family":"Abdalla","given":"Safia","non-dropping-particle":"","parse-names":false,"suffix":""},{"dropping-particle":"","family":"Willing","given":"Carol","non-dropping-particle":"","parse-names":false,"suffix":""}],"container-title":"Positioning and Power in Academic Publishing: Players, Agents and Agendas","id":"ITEM-1","issued":{"date-parts":[["2016"]]},"page":"87-90","title":"Jupyter Notebooks—a publishing format for reproducible computational workflows","type":"article-journal"},"uris":["http://www.mendeley.com/documents/?uuid=82c8d883-6cfa-4aec-ab61-38ab10e1f4f8"]}],"mendeley":{"formattedCitation":"&lt;sup&gt;102&lt;/sup&gt;","plainTextFormattedCitation":"102","previouslyFormattedCitation":"&lt;sup&gt;102&lt;/sup&gt;"},"properties":{"noteIndex":0},"schema":"https://github.com/citation-style-language/schema/raw/master/csl-citation.json"}</w:instrText>
      </w:r>
      <w:r w:rsidRPr="00901194">
        <w:rPr>
          <w:rFonts w:cs="Times New Roman"/>
          <w:szCs w:val="24"/>
        </w:rPr>
        <w:fldChar w:fldCharType="separate"/>
      </w:r>
      <w:bookmarkStart w:id="47" w:name="__Fieldmark__377_848958439"/>
      <w:bookmarkStart w:id="48" w:name="__Fieldmark__889_1847056004"/>
      <w:r w:rsidR="00AB5632" w:rsidRPr="00901194">
        <w:rPr>
          <w:rFonts w:cs="Times New Roman"/>
          <w:noProof/>
          <w:szCs w:val="24"/>
          <w:vertAlign w:val="superscript"/>
        </w:rPr>
        <w:t>102</w:t>
      </w:r>
      <w:r w:rsidRPr="00901194">
        <w:rPr>
          <w:rFonts w:cs="Times New Roman"/>
          <w:szCs w:val="24"/>
        </w:rPr>
        <w:fldChar w:fldCharType="end"/>
      </w:r>
      <w:bookmarkEnd w:id="47"/>
      <w:bookmarkEnd w:id="48"/>
      <w:r w:rsidRPr="00901194">
        <w:rPr>
          <w:rFonts w:cs="Times New Roman"/>
          <w:szCs w:val="24"/>
        </w:rPr>
        <w:t xml:space="preserve">. Boxplots (Figure </w:t>
      </w:r>
      <w:r w:rsidR="00502505" w:rsidRPr="00901194">
        <w:rPr>
          <w:rFonts w:cs="Times New Roman"/>
          <w:szCs w:val="24"/>
        </w:rPr>
        <w:t>2.</w:t>
      </w:r>
      <w:r w:rsidRPr="00901194">
        <w:rPr>
          <w:rFonts w:cs="Times New Roman"/>
          <w:szCs w:val="24"/>
        </w:rPr>
        <w:t>1c-h, Figures S2</w:t>
      </w:r>
      <w:r w:rsidR="00502505" w:rsidRPr="00901194">
        <w:rPr>
          <w:rFonts w:cs="Times New Roman"/>
          <w:szCs w:val="24"/>
        </w:rPr>
        <w:t>.2</w:t>
      </w:r>
      <w:r w:rsidRPr="00901194">
        <w:rPr>
          <w:rFonts w:cs="Times New Roman"/>
          <w:szCs w:val="24"/>
        </w:rPr>
        <w:t>-</w:t>
      </w:r>
      <w:r w:rsidR="00502505" w:rsidRPr="00901194">
        <w:rPr>
          <w:rFonts w:cs="Times New Roman"/>
          <w:szCs w:val="24"/>
        </w:rPr>
        <w:t>2.</w:t>
      </w:r>
      <w:r w:rsidRPr="00901194">
        <w:rPr>
          <w:rFonts w:cs="Times New Roman"/>
          <w:szCs w:val="24"/>
        </w:rPr>
        <w:t xml:space="preserve">3) and principal component analyses (Figure </w:t>
      </w:r>
      <w:r w:rsidR="0085307A" w:rsidRPr="00901194">
        <w:rPr>
          <w:rFonts w:cs="Times New Roman"/>
          <w:szCs w:val="24"/>
        </w:rPr>
        <w:t>2.</w:t>
      </w:r>
      <w:r w:rsidRPr="00901194">
        <w:rPr>
          <w:rFonts w:cs="Times New Roman"/>
          <w:szCs w:val="24"/>
        </w:rPr>
        <w:t>3) were also generated using R</w:t>
      </w:r>
      <w:r w:rsidRPr="00901194">
        <w:rPr>
          <w:rFonts w:cs="Times New Roman"/>
          <w:szCs w:val="24"/>
        </w:rPr>
        <w:fldChar w:fldCharType="begin" w:fldLock="1"/>
      </w:r>
      <w:r w:rsidR="000A1931" w:rsidRPr="00901194">
        <w:rPr>
          <w:rFonts w:cs="Times New Roman"/>
          <w:szCs w:val="24"/>
        </w:rPr>
        <w:instrText>ADDIN CSL_CITATION {"citationItems":[{"id":"ITEM-1","itemData":{"DOI":"10.1108/eb003648","ISBN":"9781584886181","ISSN":"0019-7858","abstract":"This document describes basic features of dplR by following the initial steps that an analyst might follow when working with a new tree-ring data set. The vignette starts with reading in ring widths and plotting them. We describe a few of the available methods for detrending and then show how to extract basic descriptive statistics. We show how to build and plot a simple mean-value chronology. We also show how to build a chronology using the expressed population signal from the detrended ring widths as an example of how more complicated analysis can be done using dplR.","author":[{"dropping-particle":"","family":"Bunn","given":"Andy","non-dropping-particle":"","parse-names":false,"suffix":""},{"dropping-particle":"","family":"Korpela","given":"Mikko","non-dropping-particle":"","parse-names":false,"suffix":""}],"container-title":"Industrial and Commercial Training","id":"ITEM-1","issued":{"date-parts":[["2018"]]},"page":"1-16","title":"R: A Language for Data Analysis and Graphics","type":"article-journal","volume":"0"},"uris":["http://www.mendeley.com/documents/?uuid=5d4fdb32-6875-4039-a60e-ee34c978f544"]}],"mendeley":{"formattedCitation":"&lt;sup&gt;101&lt;/sup&gt;","plainTextFormattedCitation":"101","previouslyFormattedCitation":"&lt;sup&gt;101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101</w:t>
      </w:r>
      <w:r w:rsidRPr="00901194">
        <w:rPr>
          <w:rFonts w:cs="Times New Roman"/>
          <w:szCs w:val="24"/>
        </w:rPr>
        <w:fldChar w:fldCharType="end"/>
      </w:r>
      <w:r w:rsidRPr="00901194">
        <w:rPr>
          <w:rFonts w:cs="Times New Roman"/>
          <w:szCs w:val="24"/>
        </w:rPr>
        <w:t xml:space="preserve"> in JupyterNotebook</w:t>
      </w:r>
      <w:r w:rsidRPr="00901194">
        <w:rPr>
          <w:rFonts w:cs="Times New Roman"/>
          <w:szCs w:val="24"/>
        </w:rPr>
        <w:fldChar w:fldCharType="begin" w:fldLock="1"/>
      </w:r>
      <w:r w:rsidR="000A1931" w:rsidRPr="00901194">
        <w:rPr>
          <w:rFonts w:cs="Times New Roman"/>
          <w:szCs w:val="24"/>
        </w:rPr>
        <w:instrText>ADDIN CSL_CITATION {"citationItems":[{"id":"ITEM-1","itemData":{"DOI":"10.3233/978-1-61499-649-1-87","ISBN":"9781614996491","abstract":"It is increasingly necessary for researchers in all fields to write computer code, and in order to reproduce research results, it is important that this code is published. We present Jupyter notebooks, a document format for publishing code, results and explanations in a form that is both readable and executable. We discuss various tools and use cases for notebook documents.","author":[{"dropping-particle":"","family":"Kluyver","given":"Thomas","non-dropping-particle":"","parse-names":false,"suffix":""},{"dropping-particle":"","family":"Ragan-kelley","given":"Benjamin","non-dropping-particle":"","parse-names":false,"suffix":""},{"dropping-particle":"","family":"Pérez","given":"Fernando","non-dropping-particle":"","parse-names":false,"suffix":""},{"dropping-particle":"","family":"Granger","given":"Brian","non-dropping-particle":"","parse-names":false,"suffix":""},{"dropping-particle":"","family":"Bussonnier","given":"Matthias","non-dropping-particle":"","parse-names":false,"suffix":""},{"dropping-particle":"","family":"Frederic","given":"Jonathan","non-dropping-particle":"","parse-names":false,"suffix":""},{"dropping-particle":"","family":"Kelley","given":"Kyle","non-dropping-particle":"","parse-names":false,"suffix":""},{"dropping-particle":"","family":"Hamrick","given":"Jessica","non-dropping-particle":"","parse-names":false,"suffix":""},{"dropping-particle":"","family":"Grout","given":"Jason","non-dropping-particle":"","parse-names":false,"suffix":""},{"dropping-particle":"","family":"Corlay","given":"Sylvain","non-dropping-particle":"","parse-names":false,"suffix":""},{"dropping-particle":"","family":"Ivanov","given":"Paul","non-dropping-particle":"","parse-names":false,"suffix":""},{"dropping-particle":"","family":"Avila","given":"Damián","non-dropping-particle":"","parse-names":false,"suffix":""},{"dropping-particle":"","family":"Abdalla","given":"Safia","non-dropping-particle":"","parse-names":false,"suffix":""},{"dropping-particle":"","family":"Willing","given":"Carol","non-dropping-particle":"","parse-names":false,"suffix":""}],"container-title":"Positioning and Power in Academic Publishing: Players, Agents and Agendas","id":"ITEM-1","issued":{"date-parts":[["2016"]]},"page":"87-90","title":"Jupyter Notebooks—a publishing format for reproducible computational workflows","type":"article-journal"},"uris":["http://www.mendeley.com/documents/?uuid=82c8d883-6cfa-4aec-ab61-38ab10e1f4f8"]}],"mendeley":{"formattedCitation":"&lt;sup&gt;102&lt;/sup&gt;","plainTextFormattedCitation":"102","previouslyFormattedCitation":"&lt;sup&gt;102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102</w:t>
      </w:r>
      <w:r w:rsidRPr="00901194">
        <w:rPr>
          <w:rFonts w:cs="Times New Roman"/>
          <w:szCs w:val="24"/>
        </w:rPr>
        <w:fldChar w:fldCharType="end"/>
      </w:r>
      <w:r w:rsidRPr="00901194">
        <w:rPr>
          <w:rFonts w:cs="Times New Roman"/>
          <w:szCs w:val="24"/>
        </w:rPr>
        <w:t>. For these boxplots, the center line represents the median, the upper and lower box lines reflect upper and lower quartiles, whiskers reflect the interquartile range multiplied by one-and-a-half, and outliers are dots. R packages “ggplot2”</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{"citationItems":[{"id":"ITEM-1","itemData":{"author":[{"dropping-particle":"","family":"Wickham","given":"Hadley","non-dropping-particle":"","parse-names":false,"suffix":""}],"id":"ITEM-1","issued":{"date-parts":[["2016"]]},"publisher":"Springer US","title":"Ggplot2: Elegant Graphics for Data Analysis","type":"book"},"uris":["http://www.mendeley.com/documents/?uuid=4e30e8d8-1e04-4f8c-b5a4-a620ec2cd7ea"]}],"mendeley":{"formattedCitation":"&lt;sup&gt;119&lt;/sup&gt;","plainTextFormattedCitation":"119","previouslyFormattedCitation":"&lt;sup&gt;119&lt;/sup&gt;"},"properties":{"noteIndex":0},"schema":"https://github.com/citation-style-language/schema/raw/master/csl-citation.json"}</w:instrText>
      </w:r>
      <w:r w:rsidRPr="00901194">
        <w:rPr>
          <w:rFonts w:cs="Times New Roman"/>
          <w:szCs w:val="24"/>
        </w:rPr>
        <w:fldChar w:fldCharType="separate"/>
      </w:r>
      <w:bookmarkStart w:id="49" w:name="__Fieldmark__384_848958439"/>
      <w:bookmarkStart w:id="50" w:name="__Fieldmark__895_1847056004"/>
      <w:r w:rsidR="00AB5632" w:rsidRPr="00901194">
        <w:rPr>
          <w:rFonts w:cs="Times New Roman"/>
          <w:noProof/>
          <w:szCs w:val="24"/>
          <w:vertAlign w:val="superscript"/>
        </w:rPr>
        <w:t>119</w:t>
      </w:r>
      <w:r w:rsidRPr="00901194">
        <w:rPr>
          <w:rFonts w:cs="Times New Roman"/>
          <w:szCs w:val="24"/>
        </w:rPr>
        <w:fldChar w:fldCharType="end"/>
      </w:r>
      <w:bookmarkEnd w:id="49"/>
      <w:bookmarkEnd w:id="50"/>
      <w:r w:rsidRPr="00901194">
        <w:rPr>
          <w:rFonts w:cs="Times New Roman"/>
          <w:szCs w:val="24"/>
        </w:rPr>
        <w:t xml:space="preserve"> and “rworldmap”</w:t>
      </w:r>
      <w:r w:rsidRPr="00901194">
        <w:rPr>
          <w:rFonts w:cs="Times New Roman"/>
          <w:szCs w:val="24"/>
        </w:rPr>
        <w:fldChar w:fldCharType="begin" w:fldLock="1"/>
      </w:r>
      <w:r w:rsidR="000A1931" w:rsidRPr="00901194">
        <w:rPr>
          <w:rFonts w:cs="Times New Roman"/>
          <w:szCs w:val="24"/>
        </w:rPr>
        <w:instrText>ADDIN CSL_CITATION {"citationItems":[{"id":"ITEM-1","itemData":{"DOI":"10.32614/rj-2011-006","ISSN":"20734859","abstract":"rworldmap is a relatively new package available on CRAN for the mapping and visualisation of global data. The vision is to make the display of global data easier, to facilitate understanding and communication. The initial focus is on data referenced by country or grid due to the frequency of use of such data in global assessments. Tools to link data referenced by country (either name or code) to a map, and then to display the map are provided as are functions to map global gridded data. Country and gridded functions accept the same arguments to specify the nature of categories and colour and how legends are formatted. This package builds on the functionality of existing packages, particularly sp, maptools and fields. Example code is provided to produce maps, to link with the packages classInt, RColorBrewer and ncdf, and to plot examples of publicly available country and gridded data.","author":[{"dropping-particle":"","family":"South","given":"Andy","non-dropping-particle":"","parse-names":false,"suffix":""}],"container-title":"R Journal","id":"ITEM-1","issue":"1","issued":{"date-parts":[["2011"]]},"page":"35-43","title":"rworldmap: A new R package for mapping global data","type":"article-journal","volume":"3"},"uris":["http://www.mendeley.com/documents/?uuid=8f84645d-d6b7-4649-98ce-0c5d79c565d1"]}],"mendeley":{"formattedCitation":"&lt;sup&gt;120&lt;/sup&gt;","plainTextFormattedCitation":"120","previouslyFormattedCitation":"&lt;sup&gt;120&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120</w:t>
      </w:r>
      <w:r w:rsidRPr="00901194">
        <w:rPr>
          <w:rFonts w:cs="Times New Roman"/>
          <w:szCs w:val="24"/>
        </w:rPr>
        <w:fldChar w:fldCharType="end"/>
      </w:r>
      <w:r w:rsidRPr="00901194">
        <w:rPr>
          <w:rFonts w:cs="Times New Roman"/>
          <w:szCs w:val="24"/>
        </w:rPr>
        <w:t xml:space="preserve"> were used to create Figures </w:t>
      </w:r>
      <w:r w:rsidR="0085307A" w:rsidRPr="00901194">
        <w:rPr>
          <w:rFonts w:cs="Times New Roman"/>
          <w:szCs w:val="24"/>
        </w:rPr>
        <w:t>2.</w:t>
      </w:r>
      <w:r w:rsidRPr="00901194">
        <w:rPr>
          <w:rFonts w:cs="Times New Roman"/>
          <w:szCs w:val="24"/>
        </w:rPr>
        <w:t xml:space="preserve">1a and </w:t>
      </w:r>
      <w:r w:rsidR="0085307A" w:rsidRPr="00901194">
        <w:rPr>
          <w:rFonts w:cs="Times New Roman"/>
          <w:szCs w:val="24"/>
        </w:rPr>
        <w:t>2.</w:t>
      </w:r>
      <w:r w:rsidRPr="00901194">
        <w:rPr>
          <w:rFonts w:cs="Times New Roman"/>
          <w:szCs w:val="24"/>
        </w:rPr>
        <w:t>1c-h. R package “effectsize”</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Ben-Shachar","given":"M.","non-dropping-particle":"","parse-names":false,"suffix":""},{"dropping-particle":"","family":"Makowski","given":"D.","non-dropping-particle":"","parse-names":false,"suffix":""},{"dropping-particle":"","family":"Lüdecke","given":"D.","non-dropping-particle":"","parse-names":false,"suffix":""}],"container-title":"CRAN","id":"ITEM-1","issued":{"date-parts":[["2020"]]},"title":"Compute and interpret indices of effect size","type":"article-journal"},"uris":["http://www.mendeley.com/documents/?uuid=6a574664-1424-425b-b69e-4d745d572a93"]}],"mendeley":{"formattedCitation":"&lt;sup&gt;121&lt;/sup&gt;","plainTextFormattedCitation":"121","previouslyFormattedCitation":"&lt;sup&gt;121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121</w:t>
      </w:r>
      <w:r w:rsidRPr="00901194">
        <w:rPr>
          <w:rFonts w:cs="Times New Roman"/>
          <w:szCs w:val="24"/>
        </w:rPr>
        <w:fldChar w:fldCharType="end"/>
      </w:r>
      <w:r w:rsidRPr="00901194">
        <w:rPr>
          <w:rFonts w:cs="Times New Roman"/>
          <w:szCs w:val="24"/>
        </w:rPr>
        <w:t xml:space="preserve"> provided p-values for ANOVA effect size. UpSet plots</w:t>
      </w:r>
      <w:r w:rsidRPr="00901194">
        <w:rPr>
          <w:rFonts w:cs="Times New Roman"/>
          <w:szCs w:val="24"/>
        </w:rPr>
        <w:fldChar w:fldCharType="begin" w:fldLock="1"/>
      </w:r>
      <w:r w:rsidR="000A1931" w:rsidRPr="00901194">
        <w:rPr>
          <w:rFonts w:cs="Times New Roman"/>
          <w:szCs w:val="24"/>
        </w:rPr>
        <w:instrText>ADDIN CSL_CITATION {"citationItems":[{"id":"ITEM-1","itemData":{"DOI":"10.1109/TVCG.2014.2346248","ISSN":"10772626","abstract":"Understanding relationships between sets is an important analysis task that has received widespread attention in the visualization community. The major challenge in this context is the combinatorial explosion of the number of set intersections if the number of sets exceeds a trivial threshold. In this paper we introduce UpSet, a novel visualization technique for the quantitative analysis of sets, their intersections, and aggregates of intersections. UpSet is focused on creating task-driven aggregates, communicating the size and properties of aggregates and intersections, and a duality between the visualization of the elements in a dataset and their set membership. UpSet visualizes set intersections in a matrix layout and introduces aggregates based on groupings and queries. The matrix layout enables the effective representation of associated data, such as the number of elements in the aggregates and intersections, as well as additional summary statistics derived from subset or element attributes. Sorting according to various measures enables a task-driven analysis of relevant intersections and aggregates. The elements represented in the sets and their associated attributes are visualized in a separate view. Queries based on containment in specific intersections, aggregates or driven by attribute filters are propagated between both views. We also introduce several advanced visual encodings and interaction methods to overcome the problems of varying scales and to address scalability. UpSet is web-based and open source. We demonstrate its general utility in multiple use cases from various domains.","author":[{"dropping-particle":"","family":"Lex","given":"Alexander","non-dropping-particle":"","parse-names":false,"suffix":""},{"dropping-particle":"","family":"Gehlenborg","given":"Nils","non-dropping-particle":"","parse-names":false,"suffix":""},{"dropping-particle":"","family":"Strobelt","given":"Hendrik","non-dropping-particle":"","parse-names":false,"suffix":""},{"dropping-particle":"","family":"Vuillemot","given":"Romain","non-dropping-particle":"","parse-names":false,"suffix":""},{"dropping-particle":"","family":"Pfister","given":"Hanspeter","non-dropping-particle":"","parse-names":false,"suffix":""}],"container-title":"IEEE Transactions on Visualization and Computer Graphics","id":"ITEM-1","issue":"12","issued":{"date-parts":[["2014"]]},"page":"1983-1992","publisher":"IEEE","title":"UpSet: Visualization of intersecting sets","type":"article-journal","volume":"20"},"uris":["http://www.mendeley.com/documents/?uuid=3a619b0c-132f-44ab-b781-215f749fe774"]}],"mendeley":{"formattedCitation":"&lt;sup&gt;122&lt;/sup&gt;","plainTextFormattedCitation":"122","previouslyFormattedCitation":"&lt;sup&gt;122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122</w:t>
      </w:r>
      <w:r w:rsidRPr="00901194">
        <w:rPr>
          <w:rFonts w:cs="Times New Roman"/>
          <w:szCs w:val="24"/>
        </w:rPr>
        <w:fldChar w:fldCharType="end"/>
      </w:r>
      <w:r w:rsidRPr="00901194">
        <w:rPr>
          <w:rFonts w:cs="Times New Roman"/>
          <w:szCs w:val="24"/>
        </w:rPr>
        <w:t xml:space="preserve"> (Figure </w:t>
      </w:r>
      <w:r w:rsidR="0085307A" w:rsidRPr="00901194">
        <w:rPr>
          <w:rFonts w:cs="Times New Roman"/>
          <w:szCs w:val="24"/>
        </w:rPr>
        <w:t>2.</w:t>
      </w:r>
      <w:r w:rsidRPr="00901194">
        <w:rPr>
          <w:rFonts w:cs="Times New Roman"/>
          <w:szCs w:val="24"/>
        </w:rPr>
        <w:t>2b-c; Figure S</w:t>
      </w:r>
      <w:r w:rsidR="0085307A" w:rsidRPr="00901194">
        <w:rPr>
          <w:rFonts w:cs="Times New Roman"/>
          <w:szCs w:val="24"/>
        </w:rPr>
        <w:t>2.</w:t>
      </w:r>
      <w:r w:rsidRPr="00901194">
        <w:rPr>
          <w:rFonts w:cs="Times New Roman"/>
          <w:szCs w:val="24"/>
        </w:rPr>
        <w:t>1b) were created using Python 3</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{"citationItems":[{"id":"ITEM-1","itemData":{"author":[{"dropping-particle":"","family":"Rossum","given":"Guido","non-dropping-particle":"van","parse-names":false,"suffix":""},{"dropping-particle":"","family":"Drake","given":"Fred L","non-dropping-particle":"","parse-names":false,"suffix":""}],"id":"ITEM-1","issued":{"date-parts":[["2009"]]},"title":"Python 3 Reference Manual","type":"article"},"uris":["http://www.mendeley.com/documents/?uuid=948888c1-b576-40a8-ae9c-9a0b068daa89"]}],"mendeley":{"formattedCitation":"&lt;sup&gt;123&lt;/sup&gt;","plainTextFormattedCitation":"123","previouslyFormattedCitation":"&lt;sup&gt;123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123</w:t>
      </w:r>
      <w:r w:rsidRPr="00901194">
        <w:rPr>
          <w:rFonts w:cs="Times New Roman"/>
          <w:szCs w:val="24"/>
        </w:rPr>
        <w:fldChar w:fldCharType="end"/>
      </w:r>
      <w:r w:rsidRPr="00901194">
        <w:rPr>
          <w:rFonts w:cs="Times New Roman"/>
          <w:szCs w:val="24"/>
        </w:rPr>
        <w:t xml:space="preserve"> packages “pandas”</w:t>
      </w:r>
      <w:r w:rsidRPr="00901194">
        <w:rPr>
          <w:rFonts w:cs="Times New Roman"/>
          <w:szCs w:val="24"/>
        </w:rPr>
        <w:fldChar w:fldCharType="begin" w:fldLock="1"/>
      </w:r>
      <w:r w:rsidR="000A1931" w:rsidRPr="00901194">
        <w:rPr>
          <w:rFonts w:cs="Times New Roman"/>
          <w:szCs w:val="24"/>
        </w:rPr>
        <w:instrText>ADDIN CSL_CITATION {"citationItems":[{"id":"ITEM-1","itemData":{"DOI":"10.1002/mmce.20381","ISSN":"10964290","abstract":"This article presents a strategy for enhancing efficiency in power amplifiers (PAs) by combining digital predistortion (DPD) linearization and clipping strategies for orthogonal frequency division multiplexing signals in a WiMAX scenario. On the one hand, by reducing the peak-to-average power ratio of multicarrier signals using the well-known clipping technique, it is possible to perform a more efficient PA amplification. On the other hand, nonlinear and linear distortion introduced by the PA operating close to saturation is compensated by the baseband adaptive DPD linearizer. The DPD has to counteract not only the PA nonlinear behavior, but also its dynamics. A test-bench implementing a WiMAX transmitter was deployed to evaluate the possibilities for enhancing power efficiency while fulfilling the demanded linearity requirements. Experimental results showing the power efficiency and linearity enhancement achieved by the proposed strategy are provided. © 2009 Wiley Periodicals, Inc.","author":[{"dropping-particle":"","family":"McKinney","given":"Wes","non-dropping-particle":"","parse-names":false,"suffix":""}],"container-title":"Python for high performance and scientific computing","id":"ITEM-1","issue":"9","issued":{"date-parts":[["2011"]]},"page":"1-9","title":"pandas: a Foundational Python Library for Data Analysis and Statistics","type":"article-journal","volume":"14"},"uris":["http://www.mendeley.com/documents/?uuid=c738a23f-7bd8-440f-846c-fc3195ed80b2"]}],"mendeley":{"formattedCitation":"&lt;sup&gt;124&lt;/sup&gt;","plainTextFormattedCitation":"124","previouslyFormattedCitation":"&lt;sup&gt;124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124</w:t>
      </w:r>
      <w:r w:rsidRPr="00901194">
        <w:rPr>
          <w:rFonts w:cs="Times New Roman"/>
          <w:szCs w:val="24"/>
        </w:rPr>
        <w:fldChar w:fldCharType="end"/>
      </w:r>
      <w:r w:rsidRPr="00901194">
        <w:rPr>
          <w:rFonts w:cs="Times New Roman"/>
          <w:szCs w:val="24"/>
        </w:rPr>
        <w:t>, “upsetplot”</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{"citationItems":[{"id":"ITEM-1","itemData":{"author":[{"dropping-particle":"","family":"Nothman","given":"Joel","non-dropping-particle":"","parse-names":false,"suffix":""}],"id":"ITEM-1","issued":{"date-parts":[["2018"]]},"title":"UpSetPlot documentation","type":"article"},"uris":["http://www.mendeley.com/documents/?uuid=87a75fb0-14b7-422e-b202-1b03ce6c26a9"]}],"mendeley":{"formattedCitation":"&lt;sup&gt;125&lt;/sup&gt;","plainTextFormattedCitation":"125","previouslyFormattedCitation":"&lt;sup&gt;125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125</w:t>
      </w:r>
      <w:r w:rsidRPr="00901194">
        <w:rPr>
          <w:rFonts w:cs="Times New Roman"/>
          <w:szCs w:val="24"/>
        </w:rPr>
        <w:fldChar w:fldCharType="end"/>
      </w:r>
      <w:r w:rsidRPr="00901194">
        <w:rPr>
          <w:rFonts w:cs="Times New Roman"/>
          <w:szCs w:val="24"/>
        </w:rPr>
        <w:t>, and “matplotlib”</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{"citationItems":[{"id":"ITEM-1","itemData":{"author":[{"dropping-particle":"","family":"Hunter","given":"John D.","non-dropping-particle":"","parse-names":false,"suffix":""}],"container-title":"Computing in Science and Engineering","id":"ITEM-1","issue":"3","issued":{"date-parts":[["2007"]]},"page":"90-95","title":"Matplotlib: A 2D Graphics Environment","type":"article-journal","volume":"9"},"uris":["http://www.mendeley.com/documents/?uuid=a99fa73a-bd9b-4a0b-9d2e-c03a6b9cf3e0"]}],"mendeley":{"formattedCitation":"&lt;sup&gt;126&lt;/sup&gt;","plainTextFormattedCitation":"126","previouslyFormattedCitation":"&lt;sup&gt;126&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126</w:t>
      </w:r>
      <w:r w:rsidRPr="00901194">
        <w:rPr>
          <w:rFonts w:cs="Times New Roman"/>
          <w:szCs w:val="24"/>
        </w:rPr>
        <w:fldChar w:fldCharType="end"/>
      </w:r>
      <w:r w:rsidRPr="00901194">
        <w:rPr>
          <w:rFonts w:cs="Times New Roman"/>
          <w:szCs w:val="24"/>
        </w:rPr>
        <w:t>.</w:t>
      </w:r>
    </w:p>
    <w:p w14:paraId="367C67D9" w14:textId="7AEE3B59" w:rsidR="00D02195" w:rsidRPr="00901194" w:rsidRDefault="00D02195" w:rsidP="00D02195">
      <w:pPr>
        <w:ind w:firstLine="720"/>
        <w:rPr>
          <w:rFonts w:cs="Times New Roman"/>
          <w:szCs w:val="24"/>
        </w:rPr>
      </w:pPr>
      <w:r w:rsidRPr="00901194">
        <w:rPr>
          <w:rFonts w:cs="Times New Roman"/>
          <w:szCs w:val="24"/>
        </w:rPr>
        <w:t xml:space="preserve">To identify metabolite features unique to specific populations or lifestyles, a random forest machine learning algorithm from the R package “randomForest” was used in Jupyter </w:t>
      </w:r>
      <w:r w:rsidRPr="00901194">
        <w:rPr>
          <w:rFonts w:cs="Times New Roman"/>
          <w:szCs w:val="24"/>
        </w:rPr>
        <w:lastRenderedPageBreak/>
        <w:t>Notebook</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Liaw","given":"Andy","non-dropping-particle":"","parse-names":false,"suffix":""},{"dropping-particle":"","family":"Wiener","given":"Matthew","non-dropping-particle":"","parse-names":false,"suffix":""}],"container-title":"R News","id":"ITEM-1","issue":"3","issued":{"date-parts":[["2002"]]},"page":"18-22","title":"Classification and Regression by RandomForest","type":"article-journal","volume":"3"},"uris":["http://www.mendeley.com/documents/?uuid=7133899a-3178-4ae6-9925-64b64059fd27"]}],"mendeley":{"formattedCitation":"&lt;sup&gt;127&lt;/sup&gt;","plainTextFormattedCitation":"127","previouslyFormattedCitation":"&lt;sup&gt;127&lt;/sup&gt;"},"properties":{"noteIndex":0},"schema":"https://github.com/citation-style-language/schema/raw/master/csl-citation.json"}</w:instrText>
      </w:r>
      <w:r w:rsidRPr="00901194">
        <w:rPr>
          <w:rFonts w:cs="Times New Roman"/>
          <w:szCs w:val="24"/>
        </w:rPr>
        <w:fldChar w:fldCharType="separate"/>
      </w:r>
      <w:bookmarkStart w:id="51" w:name="__Fieldmark__393_848958439"/>
      <w:bookmarkStart w:id="52" w:name="__Fieldmark__908_1847056004"/>
      <w:r w:rsidR="00AB5632" w:rsidRPr="00901194">
        <w:rPr>
          <w:rFonts w:cs="Times New Roman"/>
          <w:noProof/>
          <w:szCs w:val="24"/>
          <w:vertAlign w:val="superscript"/>
        </w:rPr>
        <w:t>127</w:t>
      </w:r>
      <w:r w:rsidRPr="00901194">
        <w:rPr>
          <w:rFonts w:cs="Times New Roman"/>
          <w:szCs w:val="24"/>
        </w:rPr>
        <w:fldChar w:fldCharType="end"/>
      </w:r>
      <w:bookmarkEnd w:id="51"/>
      <w:bookmarkEnd w:id="52"/>
      <w:r w:rsidRPr="00901194">
        <w:rPr>
          <w:rFonts w:cs="Times New Roman"/>
          <w:szCs w:val="24"/>
        </w:rPr>
        <w:t>. The number of trees increased gradually from five until reaching a plateau from out-of-bag error at 200 trees. SIRIUS v4.4.26</w:t>
      </w:r>
      <w:r w:rsidRPr="00901194">
        <w:rPr>
          <w:rFonts w:cs="Times New Roman"/>
          <w:szCs w:val="24"/>
        </w:rPr>
        <w:fldChar w:fldCharType="begin" w:fldLock="1"/>
      </w:r>
      <w:r w:rsidR="000A1931" w:rsidRPr="00901194">
        <w:rPr>
          <w:rFonts w:cs="Times New Roman"/>
          <w:szCs w:val="24"/>
        </w:rPr>
        <w:instrText>ADDIN CSL_CITATION {"citationItems":[{"id":"ITEM-1","itemData":{"DOI":"10.1038/s41592-019-0344-8","ISBN":"4159201903","ISSN":"15487105","abstract":"Mass spectrometry is a predominant experimental technique in metabolomics and related fields, but metabolite structural elucidation remains highly challenging. We report SIRIUS 4 (https://bio.informatik.uni-jena.de/sirius/), which provides a fast computational approach for molecular structure identification. SIRIUS 4 integrates CSI:FingerID for searching in molecular structure databases. Using SIRIUS 4, we achieved identification rates of more than 70% on challenging metabolomics datasets.","author":[{"dropping-particle":"","family":"Dührkop","given":"Kai","non-dropping-particle":"","parse-names":false,"suffix":""},{"dropping-particle":"","family":"Fleischauer","given":"Markus","non-dropping-particle":"","parse-names":false,"suffix":""},{"dropping-particle":"","family":"Ludwig","given":"Marcus","non-dropping-particle":"","parse-names":false,"suffix":""},{"dropping-particle":"","family":"Aksenov","given":"Alexander A.","non-dropping-particle":"","parse-names":false,"suffix":""},{"dropping-particle":"V.","family":"Melnik","given":"Alexey","non-dropping-particle":"","parse-names":false,"suffix":""},{"dropping-particle":"","family":"Meusel","given":"Marvin","non-dropping-particle":"","parse-names":false,"suffix":""},{"dropping-particle":"","family":"Dorrestein","given":"Pieter C.","non-dropping-particle":"","parse-names":false,"suffix":""},{"dropping-particle":"","family":"Rousu","given":"Juho","non-dropping-particle":"","parse-names":false,"suffix":""},{"dropping-particle":"","family":"Böcker","given":"Sebastian","non-dropping-particle":"","parse-names":false,"suffix":""}],"container-title":"Nature Methods","id":"ITEM-1","issue":"4","issued":{"date-parts":[["2019"]]},"page":"299-302","publisher":"Springer US","title":"SIRIUS 4: a rapid tool for turning tandem mass spectra into metabolite structure information","type":"article-journal","volume":"16"},"uris":["http://www.mendeley.com/documents/?uuid=48e61eb1-c739-4462-a2f5-c5993ad1f7ac"]}],"mendeley":{"formattedCitation":"&lt;sup&gt;128&lt;/sup&gt;","plainTextFormattedCitation":"128","previouslyFormattedCitation":"&lt;sup&gt;128&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128</w:t>
      </w:r>
      <w:r w:rsidRPr="00901194">
        <w:rPr>
          <w:rFonts w:cs="Times New Roman"/>
          <w:szCs w:val="24"/>
        </w:rPr>
        <w:fldChar w:fldCharType="end"/>
      </w:r>
      <w:r w:rsidRPr="00901194">
        <w:rPr>
          <w:rFonts w:cs="Times New Roman"/>
          <w:szCs w:val="24"/>
        </w:rPr>
        <w:t xml:space="preserve"> with ClassyFire</w:t>
      </w:r>
      <w:r w:rsidRPr="00901194">
        <w:rPr>
          <w:rFonts w:cs="Times New Roman"/>
          <w:szCs w:val="24"/>
        </w:rPr>
        <w:fldChar w:fldCharType="begin" w:fldLock="1"/>
      </w:r>
      <w:r w:rsidR="000A1931" w:rsidRPr="00901194">
        <w:rPr>
          <w:rFonts w:cs="Times New Roman"/>
          <w:szCs w:val="24"/>
        </w:rPr>
        <w:instrText>ADDIN CSL_CITATION {"citationItems":[{"id":"ITEM-1","itemData":{"DOI":"10.1186/s13321-016-0174-y","ISSN":"17582946","abstract":"Background: Scientists have long been driven by the desire to describe, organize, classify, and compare objects using taxonomies and/or ontologies. In contrast to biology, geology, and many other scientific disciplines, the world of chemistry still lacks a standardized chemical ontology or taxonomy. Several attempts at chemical classification have been made; but they have mostly been limited to either manual, or semi-automated proof-of-principle applications. This is regrettable as comprehensive chemical classification and description tools could not only improve our understanding of chemistry but also improve the linkage between chemistry and many other fields. For instance, the chemical classification of a compound could help predict its metabolic fate in humans, its druggability or potential hazards associated with it, among others. However, the sheer number (tens of millions of compounds) and complexity of chemical structures is such that any manual classification effort would prove to be near impossible. Results: We have developed a comprehensive, flexible, and computable, purely structure-based chemical taxonomy (ChemOnt), along with a computer program (ClassyFire) that uses only chemical structures and structural features to automatically assign all known chemical compounds to a taxonomy consisting of &gt;4800 different categories. This new chemical taxonomy consists of up to 11 different levels (Kingdom, SuperClass, Class, SubClass, etc.) with each of the categories defined by unambiguous, computable structural rules. Furthermore each category is named using a consensus-based nomenclature and described (in English) based on the characteristic common structural properties of the compounds it contains. The ClassyFire webserver is freely accessible at http://classyfire.wishartlab.com/ . Moreover, a Ruby API version is available at https://bitbucket.org/wishartlab/classyfire_api , which provides programmatic access to the ClassyFire server and database. ClassyFire has been used to annotate over 77 million compounds and has already been integrated into other software packages to automatically generate textual descriptions for, and/or infer biological properties of over 100,000 compounds. Additional examples and applications are provided in this paper. Conclusion: ClassyFire, in combination with ChemOnt (ClassyFire's comprehensive chemical taxonomy), now allows chemists and cheminformaticians to perform large-scale, rapid and automated chemical classific…","author":[{"dropping-particle":"","family":"Djoumbou Feunang","given":"Yannick","non-dropping-particle":"","parse-names":false,"suffix":""},{"dropping-particle":"","family":"Eisner","given":"Roman","non-dropping-particle":"","parse-names":false,"suffix":""},{"dropping-particle":"","family":"Knox","given":"Craig","non-dropping-particle":"","parse-names":false,"suffix":""},{"dropping-particle":"","family":"Chepelev","given":"Leonid","non-dropping-particle":"","parse-names":false,"suffix":""},{"dropping-particle":"","family":"Hastings","given":"Janna","non-dropping-particle":"","parse-names":false,"suffix":""},{"dropping-particle":"","family":"Owen","given":"Gareth","non-dropping-particle":"","parse-names":false,"suffix":""},{"dropping-particle":"","family":"Fahy","given":"Eoin","non-dropping-particle":"","parse-names":false,"suffix":""},{"dropping-particle":"","family":"Steinbeck","given":"Christoph","non-dropping-particle":"","parse-names":false,"suffix":""},{"dropping-particle":"","family":"Subramanian","given":"Shankar","non-dropping-particle":"","parse-names":false,"suffix":""},{"dropping-particle":"","family":"Bolton","given":"Evan","non-dropping-particle":"","parse-names":false,"suffix":""},{"dropping-particle":"","family":"Greiner","given":"Russell","non-dropping-particle":"","parse-names":false,"suffix":""},{"dropping-particle":"","family":"Wishart","given":"David S.","non-dropping-particle":"","parse-names":false,"suffix":""}],"container-title":"Journal of Cheminformatics","id":"ITEM-1","issue":"1","issued":{"date-parts":[["2016"]]},"page":"1-20","publisher":"Springer International Publishing","title":"ClassyFire: automated chemical classification with a comprehensive, computable taxonomy","type":"article-journal","volume":"8"},"uris":["http://www.mendeley.com/documents/?uuid=d55f0c48-9474-4c41-a9bf-4b7a92dc6877"]}],"mendeley":{"formattedCitation":"&lt;sup&gt;104&lt;/sup&gt;","plainTextFormattedCitation":"104","previouslyFormattedCitation":"&lt;sup&gt;104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104</w:t>
      </w:r>
      <w:r w:rsidRPr="00901194">
        <w:rPr>
          <w:rFonts w:cs="Times New Roman"/>
          <w:szCs w:val="24"/>
        </w:rPr>
        <w:fldChar w:fldCharType="end"/>
      </w:r>
      <w:r w:rsidRPr="00901194">
        <w:rPr>
          <w:rFonts w:cs="Times New Roman"/>
          <w:szCs w:val="24"/>
        </w:rPr>
        <w:t xml:space="preserve"> classification and CANOPUS</w:t>
      </w:r>
      <w:r w:rsidRPr="00901194">
        <w:rPr>
          <w:rFonts w:cs="Times New Roman"/>
          <w:szCs w:val="24"/>
        </w:rPr>
        <w:fldChar w:fldCharType="begin" w:fldLock="1"/>
      </w:r>
      <w:r w:rsidR="000A1931" w:rsidRPr="00901194">
        <w:rPr>
          <w:rFonts w:cs="Times New Roman"/>
          <w:szCs w:val="24"/>
        </w:rPr>
        <w:instrText>ADDIN CSL_CITATION {"citationItems":[{"id":"ITEM-1","itemData":{"DOI":"10.1101/2020.04.17.046672","abstract":"Metabolomics experiments can employ non-targeted tandem mass spectrometry to detect hundreds to thousands of molecules in a biological sample. Structural annotation of molecules is typically carried out by searching their fragmentation spectra in spectral libraries or, recently, in structure databases. Annotations are limited to structures present in the library or database employed, prohibiting a thorough utilization of the experimental data. We present a computational tool for systematic compound class annotation: CANOPUS uses a deep neural network to predict 1,270 compound classes from fragmentation spectra, and explicitly targets compounds where neither spectral nor structural reference data are available. CANOPUS even predicts classes for which no MS/MS training data are available. We demonstrate the broad utility of CANOPUS by investigating the effect of the microbial colonization in the digestive system in mice, and through analysis of the chemodiversity of different Euphorbia plants; both uniquely revealing biological insights at the compound class level.\n\n### Competing Interest Statement\n\nSB, KD, ML, MF, and MAH are co-founders of Bright Giant GmbH. PCD is scientific advisor for Sirenas LLC.","author":[{"dropping-particle":"","family":"Dührkop","given":"Kai","non-dropping-particle":"","parse-names":false,"suffix":""},{"dropping-particle":"","family":"Nothias","given":"Louis-Félix","non-dropping-particle":"","parse-names":false,"suffix":""},{"dropping-particle":"","family":"Fleischauer","given":"Markus","non-dropping-particle":"","parse-names":false,"suffix":""},{"dropping-particle":"","family":"Ludwig","given":"Marcus","non-dropping-particle":"","parse-names":false,"suffix":""},{"dropping-particle":"","family":"Hoffmann","given":"Martin A.","non-dropping-particle":"","parse-names":false,"suffix":""},{"dropping-particle":"","family":"Rousu","given":"Juho","non-dropping-particle":"","parse-names":false,"suffix":""},{"dropping-particle":"","family":"Dorrestein","given":"Pieter C.","non-dropping-particle":"","parse-names":false,"suffix":""},{"dropping-particle":"","family":"Böcker","given":"Sebastian","non-dropping-particle":"","parse-names":false,"suffix":""}],"container-title":"bioRxiv","id":"ITEM-1","issued":{"date-parts":[["2020"]]},"note":"CANOPUS preprint","page":"2020.04.17.046672","title":"Classes for the masses: Systematic classification of unknowns using fragmentation spectra","type":"article-journal"},"uris":["http://www.mendeley.com/documents/?uuid=abd7d9ec-2097-4648-ab0d-3cbaac2e81e9"]}],"mendeley":{"formattedCitation":"&lt;sup&gt;129&lt;/sup&gt;","plainTextFormattedCitation":"129","previouslyFormattedCitation":"&lt;sup&gt;129&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129</w:t>
      </w:r>
      <w:r w:rsidRPr="00901194">
        <w:rPr>
          <w:rFonts w:cs="Times New Roman"/>
          <w:szCs w:val="24"/>
        </w:rPr>
        <w:fldChar w:fldCharType="end"/>
      </w:r>
      <w:r w:rsidRPr="00901194">
        <w:rPr>
          <w:rFonts w:cs="Times New Roman"/>
          <w:szCs w:val="24"/>
        </w:rPr>
        <w:t xml:space="preserve"> compound prediction were used to provide class-level annotations for features identified by random forest. </w:t>
      </w:r>
    </w:p>
    <w:p w14:paraId="5DA8C6F9" w14:textId="315EA847" w:rsidR="00D02195" w:rsidRPr="00901194" w:rsidRDefault="00D02195" w:rsidP="00C63D5D">
      <w:pPr>
        <w:pStyle w:val="Subsub-chapterHeading"/>
      </w:pPr>
      <w:bookmarkStart w:id="53" w:name="_Toc134185959"/>
      <w:r w:rsidRPr="00901194">
        <w:t>Data Availability</w:t>
      </w:r>
      <w:bookmarkEnd w:id="53"/>
    </w:p>
    <w:p w14:paraId="6D4034EA" w14:textId="596644D0" w:rsidR="00E911BF" w:rsidRPr="00901194" w:rsidRDefault="00D02195" w:rsidP="00A456D9">
      <w:pPr>
        <w:ind w:firstLine="720"/>
        <w:rPr>
          <w:rFonts w:cs="Times New Roman"/>
          <w:lang w:bidi="en-US"/>
        </w:rPr>
      </w:pPr>
      <w:r w:rsidRPr="00901194">
        <w:rPr>
          <w:rFonts w:cs="Times New Roman"/>
          <w:lang w:bidi="en-US"/>
        </w:rPr>
        <w:t>LC-MS/MS data was uploaded to MassIVE</w:t>
      </w:r>
      <w:r w:rsidRPr="00901194">
        <w:rPr>
          <w:rFonts w:cs="Times New Roman"/>
          <w:lang w:bidi="en-US"/>
        </w:rPr>
        <w:fldChar w:fldCharType="begin" w:fldLock="1"/>
      </w:r>
      <w:r w:rsidR="000A1931" w:rsidRPr="00901194">
        <w:rPr>
          <w:rFonts w:cs="Times New Roman"/>
          <w:lang w:bidi="en-US"/>
        </w:rPr>
        <w:instrText>ADDIN CSL_CITATION {"citationItems":[{"id":"ITEM-1","itemData":{"author":[{"dropping-particle":"","family":"Aron","given":"Allegra T.","non-dropping-particle":"","parse-names":false,"suffix":""},{"dropping-particle":"","family":"Gentry","given":"Emily C.","non-dropping-particle":"","parse-names":false,"suffix":""},{"dropping-particle":"","family":"McPhail","given":"Kerry L.","non-dropping-particle":"","parse-names":false,"suffix":""},{"dropping-particle":"","family":"Nothias","given":"Louis Felix","non-dropping-particle":"","parse-names":false,"suffix":""},{"dropping-particle":"","family":"Nothias-Esposito","given":"Melissa","non-dropping-particle":"","parse-names":false,"suffix":""},{"dropping-particle":"","family":"Bousilmani","given":"Amina","non-dropping-particle":"","parse-names":false,"suffix":""},{"dropping-particle":"","family":"Petras","given":"Daniel","non-dropping-particle":"","parse-names":false,"suffix":""},{"dropping-particle":"","family":"Gauglitz","given":"Julia M.","non-dropping-particle":"","parse-names":false,"suffix":""},{"dropping-particle":"","family":"Sikora","given":"Nicole","non-dropping-particle":"","parse-names":false,"suffix":""},{"dropping-particle":"","family":"Vargas","given":"Fernando","non-dropping-particle":"","parse-names":false,"suffix":""},{"dropping-particle":"","family":"Hooft","given":"Justin J.J.","non-dropping-particle":"van der","parse-names":false,"suffix":""},{"dropping-particle":"","family":"Ernst","given":"Madeleine","non-dropping-particle":"","parse-names":false,"suffix":""},{"dropping-particle":"","family":"Kang","given":"Kyo","non-dropping-particle":"Bin","parse-names":false,"suffix":""},{"dropping-particle":"","family":"Aceves","given":"Christine M.","non-dropping-particle":"","parse-names":false,"suffix":""},{"dropping-particle":"","family":"Mauricio","given":"Caraballo-Rodriguez Andres","non-dropping-particle":"","parse-names":false,"suffix":""},{"dropping-particle":"","family":"Koester","given":"Irina","non-dropping-particle":"","parse-names":false,"suffix":""},{"dropping-particle":"","family":"Weldon","given":"Kelly C.","non-dropping-particle":"","parse-names":false,"suffix":""},{"dropping-particle":"","family":"Bertrand","given":"Samuel","non-dropping-particle":"","parse-names":false,"suffix":""},{"dropping-particle":"","family":"Roullier","given":"Catherine","non-dropping-particle":"","parse-names":false,"suffix":""},{"dropping-particle":"","family":"Sun","given":"Kunyang","non-dropping-particle":"","parse-names":false,"suffix":""},{"dropping-particle":"","family":"Tehan","given":"Richard M.","non-dropping-particle":"","parse-names":false,"suffix":""},{"dropping-particle":"","family":"Boya","given":"Christopher A.","non-dropping-particle":"","parse-names":false,"suffix":""},{"dropping-particle":"","family":"Martin H.","given":"Christian","non-dropping-particle":"","parse-names":false,"suffix":""},{"dropping-particle":"","family":"Gutierrez","given":"Marcelino","non-dropping-particle":"","parse-names":false,"suffix":""},{"dropping-particle":"","family":"Ulloa","given":"Aldo Moreno","non-dropping-particle":"","parse-names":false,"suffix":""},{"dropping-particle":"","family":"Mora","given":"Javier Andres Tejeda","non-dropping-particle":"","parse-names":false,"suffix":""},{"dropping-particle":"","family":"Mojica-Flores","given":"Randy","non-dropping-particle":"","parse-names":false,"suffix":""},{"dropping-particle":"","family":"Lakey-Beitia","given":"Johant","non-dropping-particle":"","parse-names":false,"suffix":""},{"dropping-particle":"","family":"Vasquez-Chaves","given":"Victor","non-dropping-particle":"","parse-names":false,"suffix":""},{"dropping-particle":"","family":"Zhang","given":"Yilue","non-dropping-particle":"","parse-names":false,"suffix":""},{"dropping-particle":"","family":"Calderon","given":"Angela I.","non-dropping-particle":"","parse-names":false,"suffix":""},{"dropping-particle":"","family":"Tayler","given":"Nicole","non-dropping-particle":"","parse-names":false,"suffix":""},{"dropping-particle":"","family":"Keyzers","given":"Robert A.","non-dropping-particle":"","parse-names":false,"suffix":""},{"dropping-particle":"","family":"Tugizimana","given":"Fidele","non-dropping-particle":"","parse-names":false,"suffix":""},{"dropping-particle":"","family":"Ndlovu","given":"Nombuso","non-dropping-particle":"","parse-names":false,"suffix":""},{"dropping-particle":"","family":"Aksenov","given":"Alexander A.","non-dropping-particle":"","parse-names":false,"suffix":""},{"dropping-particle":"","family":"Jarmusch","given":"Alan","non-dropping-particle":"","parse-names":false,"suffix":""},{"dropping-particle":"","family":"Schmid","given":"Robin","non-dropping-particle":"","parse-names":false,"suffix":""},{"dropping-particle":"","family":"Truman","given":"Andrew W.","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C.","non-dropping-particle":"","parse-names":false,"suffix":""}],"container-title":"ChemRxiv","id":"ITEM-1","issued":{"date-parts":[["2019"]]},"note":"Describes workflow for processing MS-based mtbm data. McCall lab/protocols use these processes","title":"Reproducible Molecular Networking of Untargeted Mass Spectrometry Data Using GNPS","type":"article-journal"},"uris":["http://www.mendeley.com/documents/?uuid=5c028a8f-063d-4762-a3e2-37e5de078552"]}],"mendeley":{"formattedCitation":"&lt;sup&gt;46&lt;/sup&gt;","plainTextFormattedCitation":"46","previouslyFormattedCitation":"&lt;sup&gt;46&lt;/sup&gt;"},"properties":{"noteIndex":0},"schema":"https://github.com/citation-style-language/schema/raw/master/csl-citation.json"}</w:instrText>
      </w:r>
      <w:r w:rsidRPr="00901194">
        <w:rPr>
          <w:rFonts w:cs="Times New Roman"/>
          <w:lang w:bidi="en-US"/>
        </w:rPr>
        <w:fldChar w:fldCharType="separate"/>
      </w:r>
      <w:r w:rsidR="00AB5632" w:rsidRPr="00901194">
        <w:rPr>
          <w:rFonts w:cs="Times New Roman"/>
          <w:noProof/>
          <w:vertAlign w:val="superscript"/>
          <w:lang w:bidi="en-US"/>
        </w:rPr>
        <w:t>46</w:t>
      </w:r>
      <w:r w:rsidRPr="00901194">
        <w:rPr>
          <w:rFonts w:cs="Times New Roman"/>
          <w:lang w:bidi="en-US"/>
        </w:rPr>
        <w:fldChar w:fldCharType="end"/>
      </w:r>
      <w:r w:rsidRPr="00901194">
        <w:rPr>
          <w:rFonts w:cs="Times New Roman"/>
          <w:lang w:bidi="en-US"/>
        </w:rPr>
        <w:t xml:space="preserve"> (accession number: MSV000084794). GNPS FBMN  jobs are available at </w:t>
      </w:r>
      <w:hyperlink r:id="rId11" w:history="1">
        <w:r w:rsidRPr="00901194">
          <w:rPr>
            <w:rStyle w:val="Hyperlink"/>
            <w:rFonts w:cs="Times New Roman"/>
            <w:lang w:bidi="en-US"/>
          </w:rPr>
          <w:t>https://gnps.ucsd.edu/ProteoSAFe/status.jsp?task=505b8b39810c48eb9f9b65fee7c6bc7b</w:t>
        </w:r>
      </w:hyperlink>
      <w:r w:rsidRPr="00901194">
        <w:rPr>
          <w:rFonts w:cs="Times New Roman"/>
          <w:lang w:bidi="en-US"/>
        </w:rPr>
        <w:t xml:space="preserve"> (v23, original analysis with gap-filling), </w:t>
      </w:r>
      <w:hyperlink r:id="rId12" w:history="1">
        <w:r w:rsidRPr="00901194">
          <w:rPr>
            <w:rStyle w:val="Hyperlink"/>
            <w:rFonts w:cs="Times New Roman"/>
          </w:rPr>
          <w:t>https://gnps.ucsd.edu/ProteoSAFe/status.jsp?task=b76893f1a07e4cb0be3b603c14cea1b2</w:t>
        </w:r>
      </w:hyperlink>
      <w:r w:rsidRPr="00901194">
        <w:rPr>
          <w:rFonts w:cs="Times New Roman"/>
          <w:lang w:bidi="en-US"/>
        </w:rPr>
        <w:t xml:space="preserve"> (v23, gap-filling, primarily used throughout data analysis) and </w:t>
      </w:r>
      <w:hyperlink r:id="rId13" w:history="1">
        <w:r w:rsidRPr="00901194">
          <w:rPr>
            <w:rFonts w:cs="Times New Roman"/>
            <w:lang w:bidi="en-US"/>
          </w:rPr>
          <w:t>https://gnps.ucsd.edu/ProteoSAFe/status.jsp?task=af7ec76b02ac482bbd2b7ee3a3ccbdc5</w:t>
        </w:r>
      </w:hyperlink>
      <w:r w:rsidRPr="00901194">
        <w:rPr>
          <w:rFonts w:cs="Times New Roman"/>
          <w:lang w:bidi="en-US"/>
        </w:rPr>
        <w:t xml:space="preserve"> (v23, no gap-filling). FBMN jobs for filtered data are available at: </w:t>
      </w:r>
      <w:hyperlink r:id="rId14" w:history="1">
        <w:r w:rsidR="006952AD" w:rsidRPr="00901194">
          <w:rPr>
            <w:rFonts w:cs="Times New Roman"/>
            <w:lang w:bidi="en-US"/>
          </w:rPr>
          <w:t>https://gnps.ucsd.edu/ProteoSAFe/status.jsp?task=db26beb51aff418585e6ad0b92f522b7</w:t>
        </w:r>
      </w:hyperlink>
      <w:r w:rsidRPr="00901194">
        <w:rPr>
          <w:rFonts w:cs="Times New Roman"/>
          <w:lang w:bidi="en-US"/>
        </w:rPr>
        <w:t xml:space="preserve"> (six-sample per population filter, gap-filling), </w:t>
      </w:r>
      <w:hyperlink r:id="rId15" w:history="1">
        <w:r w:rsidRPr="00901194">
          <w:rPr>
            <w:rFonts w:cs="Times New Roman"/>
            <w:lang w:bidi="en-US"/>
          </w:rPr>
          <w:t>https://gnps.ucsd.edu/ProteoSAFe/status.jsp?task=4693e01a2af740ceb39bfb19720e798d</w:t>
        </w:r>
      </w:hyperlink>
      <w:r w:rsidRPr="00901194">
        <w:rPr>
          <w:rFonts w:cs="Times New Roman"/>
          <w:lang w:bidi="en-US"/>
        </w:rPr>
        <w:t xml:space="preserve"> (six-sample per population filter, no gap-filling),  </w:t>
      </w:r>
      <w:hyperlink r:id="rId16" w:history="1">
        <w:r w:rsidRPr="00901194">
          <w:rPr>
            <w:rFonts w:cs="Times New Roman"/>
            <w:lang w:bidi="en-US"/>
          </w:rPr>
          <w:t>https://gnps.ucsd.edu/ProteoSAFe/status.jsp?‌task=220d1afd0a564ec1818601d3d928d27a</w:t>
        </w:r>
      </w:hyperlink>
      <w:r w:rsidRPr="00901194">
        <w:rPr>
          <w:rFonts w:cs="Times New Roman"/>
          <w:lang w:bidi="en-US"/>
        </w:rPr>
        <w:t xml:space="preserve"> (half-sample filter, gap-filling), </w:t>
      </w:r>
      <w:hyperlink r:id="rId17" w:history="1">
        <w:r w:rsidRPr="00901194">
          <w:rPr>
            <w:rFonts w:cs="Times New Roman"/>
            <w:lang w:bidi="en-US"/>
          </w:rPr>
          <w:t>https://gnps.‌ucsd.edu/ProteoSAFe‌/status.jsp?task=d9686d483e5b496299a02750d6a3ec23</w:t>
        </w:r>
      </w:hyperlink>
      <w:r w:rsidRPr="00901194">
        <w:rPr>
          <w:rFonts w:cs="Times New Roman"/>
          <w:lang w:bidi="en-US"/>
        </w:rPr>
        <w:t xml:space="preserve"> (half-sample filter, no gap-filling), </w:t>
      </w:r>
      <w:hyperlink r:id="rId18" w:history="1">
        <w:r w:rsidRPr="00901194">
          <w:rPr>
            <w:rFonts w:cs="Times New Roman"/>
            <w:lang w:bidi="en-US"/>
          </w:rPr>
          <w:t>https://gnps.ucsd.edu/ProteoSAFe/status.jsp?task=45150c751a8e42eea‌51f3ea4936aee95</w:t>
        </w:r>
      </w:hyperlink>
      <w:r w:rsidRPr="00901194">
        <w:rPr>
          <w:rFonts w:cs="Times New Roman"/>
          <w:lang w:bidi="en-US"/>
        </w:rPr>
        <w:t xml:space="preserve"> (all-sample filter, gap-filling), and </w:t>
      </w:r>
      <w:hyperlink r:id="rId19" w:history="1">
        <w:r w:rsidRPr="00901194">
          <w:rPr>
            <w:rFonts w:cs="Times New Roman"/>
            <w:lang w:bidi="en-US"/>
          </w:rPr>
          <w:t>https://gnps.ucsd.edu/ProteoSAFe/status‌.jsp?task=45150c751a8e42eea51f3ea4936aee95</w:t>
        </w:r>
      </w:hyperlink>
      <w:r w:rsidRPr="00901194">
        <w:rPr>
          <w:rFonts w:cs="Times New Roman"/>
          <w:lang w:bidi="en-US"/>
        </w:rPr>
        <w:t xml:space="preserve"> (all-sample filter, no gap-filling). ReDU co-analysis is available at: </w:t>
      </w:r>
      <w:hyperlink w:history="1"/>
      <w:hyperlink r:id="rId20" w:history="1">
        <w:r w:rsidRPr="00901194">
          <w:rPr>
            <w:rFonts w:cs="Times New Roman"/>
            <w:lang w:bidi="en-US"/>
          </w:rPr>
          <w:t>https://gnps.ucsd.edu/ProteoSAFe/status.jsp?task=cc2c2d20b20d4bd28c22beb777d2782a</w:t>
        </w:r>
      </w:hyperlink>
      <w:r w:rsidRPr="00901194">
        <w:rPr>
          <w:rFonts w:cs="Times New Roman"/>
          <w:lang w:bidi="en-US"/>
        </w:rPr>
        <w:t xml:space="preserve"> (co-analysis with all human fecal samples available in ReDU as of August 27</w:t>
      </w:r>
      <w:r w:rsidRPr="00901194">
        <w:rPr>
          <w:rFonts w:cs="Times New Roman"/>
          <w:vertAlign w:val="superscript"/>
          <w:lang w:bidi="en-US"/>
        </w:rPr>
        <w:t>th</w:t>
      </w:r>
      <w:r w:rsidRPr="00901194">
        <w:rPr>
          <w:rFonts w:cs="Times New Roman"/>
          <w:lang w:bidi="en-US"/>
        </w:rPr>
        <w:t>, 2021). This study and associated raw data are available at the NIH Common Fund’s National Metabolomics Data Repository (NMDR) website, Metabolomics Workbench</w:t>
      </w:r>
      <w:r w:rsidRPr="00901194">
        <w:rPr>
          <w:rFonts w:cs="Times New Roman"/>
          <w:lang w:bidi="en-US"/>
        </w:rPr>
        <w:fldChar w:fldCharType="begin" w:fldLock="1"/>
      </w:r>
      <w:r w:rsidR="000A1931" w:rsidRPr="00901194">
        <w:rPr>
          <w:rFonts w:cs="Times New Roman"/>
          <w:lang w:bidi="en-US"/>
        </w:rPr>
        <w:instrText>ADDIN CSL_CITATION {"citationItems":[{"id":"ITEM-1","itemData":{"DOI":"10.1093/nar/gkv1042","ISSN":"13624962","PMID":"26467476","abstract":"The Metabolomics Workbench, available at www.metabolomicsworkbench.org, is a public repository for metabolomics metadata and experimental data spanning various species and experimental platforms, metabolite standards, metabolite structures, protocols, tutorials, and training material and other educational resources. It provides a computational platform to integrate, analyze, track, deposit and disseminate large volumes of heterogeneous data from a wide variety of metabolomics studies including mass spectrometry (MS) and nuclear magnetic resonance spectrometry (NMR) data spanning over 20 different species covering all the major taxonomic categories including humans and other mammals, plants, insects, invertebrates and microorganisms. Additionally, a number of protocols are provided for a range of metabolite classes, sample types, and both MS and NMR-based studies, along with a metabolite structure database. The metabolites characterized in the studies available on the Metabolomics Workbench are linked to chemical structures in the metabolite structure database to facilitate comparative analysis across studies. The Metabolomics Workbench, part of the data coordinating effort of the National Institute of Health (NIH) Common Fund's Metabolomics Program, provides data from the Common Fund's Metabolomics Resource Cores, metabolite standards, and analysis tools to the wider metabolomics community and seeks data depositions from metabolomics researchers across the world.","author":[{"dropping-particle":"","family":"Sud","given":"Manish","non-dropping-particle":"","parse-names":false,"suffix":""},{"dropping-particle":"","family":"Fahy","given":"Eoin","non-dropping-particle":"","parse-names":false,"suffix":""},{"dropping-particle":"","family":"Cotter","given":"Dawn","non-dropping-particle":"","parse-names":false,"suffix":""},{"dropping-particle":"","family":"Azam","given":"Kenan","non-dropping-particle":"","parse-names":false,"suffix":""},{"dropping-particle":"","family":"Vadivelu","given":"Ilango","non-dropping-particle":"","parse-names":false,"suffix":""},{"dropping-particle":"","family":"Burant","given":"Charles","non-dropping-particle":"","parse-names":false,"suffix":""},{"dropping-particle":"","family":"Edison","given":"Arthur","non-dropping-particle":"","parse-names":false,"suffix":""},{"dropping-particle":"","family":"Fiehn","given":"Oliver","non-dropping-particle":"","parse-names":false,"suffix":""},{"dropping-particle":"","family":"Higashi","given":"Richard","non-dropping-particle":"","parse-names":false,"suffix":""},{"dropping-particle":"","family":"Nair","given":"K. Sreekumaran","non-dropping-particle":"","parse-names":false,"suffix":""},{"dropping-particle":"","family":"Sumner","given":"Susan","non-dropping-particle":"","parse-names":false,"suffix":""},{"dropping-particle":"","family":"Subramaniam","given":"Shankar","non-dropping-particle":"","parse-names":false,"suffix":""}],"container-title":"Nucleic Acids Research","id":"ITEM-1","issue":"D1","issued":{"date-parts":[["2016"]]},"page":"D463-D470","title":"Metabolomics Workbench: An international repository for metabolomics data and metadata, metabolite standards, protocols, tutorials and training, and analysis tools","type":"article-journal","volume":"44"},"uris":["http://www.mendeley.com/documents/?uuid=f19748b7-e1f5-471e-a264-fe249441827a"]}],"mendeley":{"formattedCitation":"&lt;sup&gt;107&lt;/sup&gt;","plainTextFormattedCitation":"107","previouslyFormattedCitation":"&lt;sup&gt;107&lt;/sup&gt;"},"properties":{"noteIndex":0},"schema":"https://github.com/citation-style-language/schema/raw/master/csl-citation.json"}</w:instrText>
      </w:r>
      <w:r w:rsidRPr="00901194">
        <w:rPr>
          <w:rFonts w:cs="Times New Roman"/>
          <w:lang w:bidi="en-US"/>
        </w:rPr>
        <w:fldChar w:fldCharType="separate"/>
      </w:r>
      <w:r w:rsidR="00AB5632" w:rsidRPr="00901194">
        <w:rPr>
          <w:rFonts w:cs="Times New Roman"/>
          <w:noProof/>
          <w:vertAlign w:val="superscript"/>
          <w:lang w:bidi="en-US"/>
        </w:rPr>
        <w:t>107</w:t>
      </w:r>
      <w:r w:rsidRPr="00901194">
        <w:rPr>
          <w:rFonts w:cs="Times New Roman"/>
          <w:lang w:bidi="en-US"/>
        </w:rPr>
        <w:fldChar w:fldCharType="end"/>
      </w:r>
      <w:r w:rsidRPr="00901194">
        <w:rPr>
          <w:rFonts w:cs="Times New Roman"/>
          <w:lang w:bidi="en-US"/>
        </w:rPr>
        <w:t xml:space="preserve"> (https://www.metabolomicsworkbench.org; Study ID: ST002320; DataTrack ID 3495; doi: http://dx.doi.org/10.21228/M8N999). MASST search links are provided in Table S</w:t>
      </w:r>
      <w:r w:rsidR="00E36B0E" w:rsidRPr="00901194">
        <w:rPr>
          <w:rFonts w:cs="Times New Roman"/>
          <w:lang w:bidi="en-US"/>
        </w:rPr>
        <w:t>2.</w:t>
      </w:r>
      <w:r w:rsidRPr="00901194">
        <w:rPr>
          <w:rFonts w:cs="Times New Roman"/>
          <w:lang w:bidi="en-US"/>
        </w:rPr>
        <w:t>3. Instructions for recreating data analyses in R and Python are available as JupyterNotebook</w:t>
      </w:r>
      <w:r w:rsidRPr="00901194">
        <w:rPr>
          <w:rFonts w:cs="Times New Roman"/>
          <w:lang w:bidi="en-US"/>
        </w:rPr>
        <w:fldChar w:fldCharType="begin" w:fldLock="1"/>
      </w:r>
      <w:r w:rsidR="000A1931" w:rsidRPr="00901194">
        <w:rPr>
          <w:rFonts w:cs="Times New Roman"/>
          <w:lang w:bidi="en-US"/>
        </w:rPr>
        <w:instrText>ADDIN CSL_CITATION {"citationItems":[{"id":"ITEM-1","itemData":{"DOI":"10.3233/978-1-61499-649-1-87","ISBN":"9781614996491","abstract":"It is increasingly necessary for researchers in all fields to write computer code, and in order to reproduce research results, it is important that this code is published. We present Jupyter notebooks, a document format for publishing code, results and explanations in a form that is both readable and executable. We discuss various tools and use cases for notebook documents.","author":[{"dropping-particle":"","family":"Kluyver","given":"Thomas","non-dropping-particle":"","parse-names":false,"suffix":""},{"dropping-particle":"","family":"Ragan-kelley","given":"Benjamin","non-dropping-particle":"","parse-names":false,"suffix":""},{"dropping-particle":"","family":"Pérez","given":"Fernando","non-dropping-particle":"","parse-names":false,"suffix":""},{"dropping-particle":"","family":"Granger","given":"Brian","non-dropping-particle":"","parse-names":false,"suffix":""},{"dropping-particle":"","family":"Bussonnier","given":"Matthias","non-dropping-particle":"","parse-names":false,"suffix":""},{"dropping-particle":"","family":"Frederic","given":"Jonathan","non-dropping-particle":"","parse-names":false,"suffix":""},{"dropping-particle":"","family":"Kelley","given":"Kyle","non-dropping-particle":"","parse-names":false,"suffix":""},{"dropping-particle":"","family":"Hamrick","given":"Jessica","non-dropping-particle":"","parse-names":false,"suffix":""},{"dropping-particle":"","family":"Grout","given":"Jason","non-dropping-particle":"","parse-names":false,"suffix":""},{"dropping-particle":"","family":"Corlay","given":"Sylvain","non-dropping-particle":"","parse-names":false,"suffix":""},{"dropping-particle":"","family":"Ivanov","given":"Paul","non-dropping-particle":"","parse-names":false,"suffix":""},{"dropping-particle":"","family":"Avila","given":"Damián","non-dropping-particle":"","parse-names":false,"suffix":""},{"dropping-particle":"","family":"Abdalla","given":"Safia","non-dropping-particle":"","parse-names":false,"suffix":""},{"dropping-particle":"","family":"Willing","given":"Carol","non-dropping-particle":"","parse-names":false,"suffix":""}],"container-title":"Positioning and Power in Academic Publishing: Players, Agents and Agendas","id":"ITEM-1","issued":{"date-parts":[["2016"]]},"page":"87-90","title":"Jupyter Notebooks—a publishing format for reproducible computational workflows","type":"article-journal"},"uris":["http://www.mendeley.com/documents/?uuid=82c8d883-6cfa-4aec-ab61-38ab10e1f4f8"]}],"mendeley":{"formattedCitation":"&lt;sup&gt;102&lt;/sup&gt;","plainTextFormattedCitation":"102","previouslyFormattedCitation":"&lt;sup&gt;102&lt;/sup&gt;"},"properties":{"noteIndex":0},"schema":"https://github.com/citation-style-language/schema/raw/master/csl-citation.json"}</w:instrText>
      </w:r>
      <w:r w:rsidRPr="00901194">
        <w:rPr>
          <w:rFonts w:cs="Times New Roman"/>
          <w:lang w:bidi="en-US"/>
        </w:rPr>
        <w:fldChar w:fldCharType="separate"/>
      </w:r>
      <w:r w:rsidR="00AB5632" w:rsidRPr="00901194">
        <w:rPr>
          <w:rFonts w:cs="Times New Roman"/>
          <w:noProof/>
          <w:vertAlign w:val="superscript"/>
          <w:lang w:bidi="en-US"/>
        </w:rPr>
        <w:t>102</w:t>
      </w:r>
      <w:r w:rsidRPr="00901194">
        <w:rPr>
          <w:rFonts w:cs="Times New Roman"/>
          <w:lang w:bidi="en-US"/>
        </w:rPr>
        <w:fldChar w:fldCharType="end"/>
      </w:r>
      <w:r w:rsidRPr="00901194">
        <w:rPr>
          <w:rFonts w:cs="Times New Roman"/>
          <w:lang w:bidi="en-US"/>
        </w:rPr>
        <w:t xml:space="preserve"> links at: </w:t>
      </w:r>
      <w:hyperlink r:id="rId21" w:history="1">
        <w:r w:rsidRPr="00901194">
          <w:rPr>
            <w:rFonts w:cs="Times New Roman"/>
            <w:lang w:bidi="en-US"/>
          </w:rPr>
          <w:t>https://github.com/‌jhaffner09/core_metabolome_2021</w:t>
        </w:r>
      </w:hyperlink>
      <w:r w:rsidRPr="00901194">
        <w:rPr>
          <w:rFonts w:cs="Times New Roman"/>
          <w:lang w:bidi="en-US"/>
        </w:rPr>
        <w:t>. 16S data was uploaded to the Qiita database (study ID: 13802; also see study ID 1442 for Norman, Tunapuco, and Matses data).</w:t>
      </w:r>
    </w:p>
    <w:p w14:paraId="4EAC6C65" w14:textId="2706B7BE" w:rsidR="006B1E8A" w:rsidRPr="00901194" w:rsidRDefault="006B1E8A" w:rsidP="006B1E8A">
      <w:pPr>
        <w:pStyle w:val="Sub-ChapterHading"/>
        <w:rPr>
          <w:lang w:bidi="en-US"/>
        </w:rPr>
      </w:pPr>
      <w:bookmarkStart w:id="54" w:name="_Toc134185960"/>
      <w:r w:rsidRPr="00901194">
        <w:rPr>
          <w:lang w:bidi="en-US"/>
        </w:rPr>
        <w:t>2.4 RESULTS</w:t>
      </w:r>
      <w:r w:rsidR="00EE1306" w:rsidRPr="00901194">
        <w:rPr>
          <w:lang w:bidi="en-US"/>
        </w:rPr>
        <w:t xml:space="preserve"> AND DISCUSSION</w:t>
      </w:r>
      <w:bookmarkEnd w:id="54"/>
    </w:p>
    <w:p w14:paraId="1D0A1206" w14:textId="271BC5DA" w:rsidR="00DA48F8" w:rsidRPr="00901194" w:rsidRDefault="00EE1306" w:rsidP="008B00D5">
      <w:pPr>
        <w:ind w:firstLine="720"/>
        <w:rPr>
          <w:rFonts w:cs="Times New Roman"/>
          <w:szCs w:val="24"/>
        </w:rPr>
      </w:pPr>
      <w:r w:rsidRPr="00901194">
        <w:rPr>
          <w:rFonts w:cs="Times New Roman"/>
          <w:szCs w:val="24"/>
        </w:rPr>
        <w:t xml:space="preserve">Fecal metabolomes of these populations followed an industrialization gradient, where populations exhibited similar metabolomes based on the degree of industrialization by Principal Coordinate Analysis (PCoA, Figure </w:t>
      </w:r>
      <w:r w:rsidR="00DA48F8" w:rsidRPr="00901194">
        <w:rPr>
          <w:rFonts w:cs="Times New Roman"/>
          <w:szCs w:val="24"/>
        </w:rPr>
        <w:t>2</w:t>
      </w:r>
      <w:r w:rsidR="00E36B0E" w:rsidRPr="00901194">
        <w:rPr>
          <w:rFonts w:cs="Times New Roman"/>
          <w:szCs w:val="24"/>
        </w:rPr>
        <w:t>.</w:t>
      </w:r>
      <w:r w:rsidRPr="00901194">
        <w:rPr>
          <w:rFonts w:cs="Times New Roman"/>
          <w:szCs w:val="24"/>
        </w:rPr>
        <w:t>1b-c, Figure S</w:t>
      </w:r>
      <w:r w:rsidR="00E36B0E" w:rsidRPr="00901194">
        <w:rPr>
          <w:rFonts w:cs="Times New Roman"/>
          <w:szCs w:val="24"/>
        </w:rPr>
        <w:t>2.</w:t>
      </w:r>
      <w:r w:rsidRPr="00901194">
        <w:rPr>
          <w:rFonts w:cs="Times New Roman"/>
          <w:szCs w:val="24"/>
        </w:rPr>
        <w:t>1; Permutational Multivariate Analysis of Variance (PERMANOVA)</w:t>
      </w:r>
      <w:r w:rsidRPr="00901194">
        <w:rPr>
          <w:rFonts w:cs="Times New Roman"/>
          <w:szCs w:val="24"/>
        </w:rPr>
        <w:fldChar w:fldCharType="begin" w:fldLock="1"/>
      </w:r>
      <w:r w:rsidR="000A1931" w:rsidRPr="00901194">
        <w:rPr>
          <w:rFonts w:cs="Times New Roman"/>
          <w:szCs w:val="24"/>
        </w:rPr>
        <w:instrText>ADDIN CSL_CITATION {"citationItems":[{"id":"ITEM-1","itemData":{"DOI":"10.1002/9781118445112.stat07841","ISBN":"9781118445112","abstract":"PERMANOVA is a computer program for testing the simultaneous response of one or more variables to one or more factors in an ANOVA experimental design on the basis of any distance measure, using permutation methods. These notes for users assume knowledge of multi-factorial ANOVA, which has the same basic logic in multivariate as in univariate analysis, and an understanding of what it means to test a multivariate hypothesis. A more complete description of the method is given in Anderson (2001a) and McArdle &amp; Anderson (2001). The program includes: choice of appropriate transformation and/or standardization of the data; choice of 19 distance (or dissimilarity) measures to use as the basis of the analysis; option to rank the distances in the distance matrix before the analysis; analysis and partitioning of the total sum of squares according to the full model, including appropriate treatment of factors that are fixed or random, crossed (orthogonal) or nested (hierarchical), and all interaction terms; correct calculation of an appropriate distance-based pseudo F-statistic for each term in the model, based on expected mean squares as in univariate ANOVA (Winer et al. 1991, Searle et al.1992); correct permutation procedures to obtain P-values for each term in the model, using the correct permutable units (Anderson &amp; ter Braak 2003); choice of permutation method: raw data units or residuals under either a reduced or a full model (Anderson 2001b, Anderson &amp; Legendre 1999, Anderson &amp; Robinson 2001); correct P-values also obtained through Monte Carlo random draws from the asymptotic permutation distribution (Anderson &amp; Robinson 2003); option to include one or more covariables (i.e., to perform ANCOVA or MANCOVA); pair-wise a posteriori comparisons of levels for single factors, including within individual levels of other factors in the case of significant interactions and the use of correct permutable units in each case.","author":[{"dropping-particle":"","family":"Anderson","given":"Marti J.","non-dropping-particle":"","parse-names":false,"suffix":""}],"container-title":"Wiley StatsRef: Statistics Reference Online","id":"ITEM-1","issued":{"date-parts":[["2017"]]},"page":"1-15","title":" Permutational Multivariate Analysis of Variance ( PERMANOVA ) ","type":"article-journal"},"uris":["http://www.mendeley.com/documents/?uuid=d29cbffc-ca9b-49d9-8535-5b9270184b5d"]}],"mendeley":{"formattedCitation":"&lt;sup&gt;118&lt;/sup&gt;","plainTextFormattedCitation":"118","previouslyFormattedCitation":"&lt;sup&gt;118&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118</w:t>
      </w:r>
      <w:r w:rsidRPr="00901194">
        <w:rPr>
          <w:rFonts w:cs="Times New Roman"/>
          <w:szCs w:val="24"/>
        </w:rPr>
        <w:fldChar w:fldCharType="end"/>
      </w:r>
      <w:r w:rsidRPr="00901194">
        <w:rPr>
          <w:rFonts w:cs="Times New Roman"/>
          <w:szCs w:val="24"/>
        </w:rPr>
        <w:t xml:space="preserve"> p=0.001, R</w:t>
      </w:r>
      <w:r w:rsidRPr="00901194">
        <w:rPr>
          <w:rFonts w:cs="Times New Roman"/>
          <w:szCs w:val="24"/>
          <w:vertAlign w:val="superscript"/>
        </w:rPr>
        <w:t>2</w:t>
      </w:r>
      <w:r w:rsidRPr="00901194">
        <w:rPr>
          <w:rFonts w:cs="Times New Roman"/>
          <w:szCs w:val="24"/>
        </w:rPr>
        <w:t xml:space="preserve">=0.140; Canberra distance). Moreover, industrialization had a stronger influence on metabolic similarity between populations than geographic origin, age, or sex (Figure </w:t>
      </w:r>
      <w:r w:rsidR="00DA48F8" w:rsidRPr="00901194">
        <w:rPr>
          <w:rFonts w:cs="Times New Roman"/>
          <w:szCs w:val="24"/>
        </w:rPr>
        <w:t>2</w:t>
      </w:r>
      <w:r w:rsidR="00E36B0E" w:rsidRPr="00901194">
        <w:rPr>
          <w:rFonts w:cs="Times New Roman"/>
          <w:szCs w:val="24"/>
        </w:rPr>
        <w:t>.</w:t>
      </w:r>
      <w:r w:rsidRPr="00901194">
        <w:rPr>
          <w:rFonts w:cs="Times New Roman"/>
          <w:szCs w:val="24"/>
        </w:rPr>
        <w:t>1c; ANOVA industrialization group p=0.046, effect size (eta2)=0.06; ANOVA geographic origin p=0.245, eta2=0.01; ANOVA age p=0.4663, effect size (eta2)=7.29e-3; ANOVA sex p=0.5471, effect size (eta2)=4.99e-3). Delay to initial freezing did impact the overall fecal metabolome (PERMANOVA p=0.001, R</w:t>
      </w:r>
      <w:r w:rsidRPr="00901194">
        <w:rPr>
          <w:rFonts w:cs="Times New Roman"/>
          <w:szCs w:val="24"/>
          <w:vertAlign w:val="superscript"/>
        </w:rPr>
        <w:t>2</w:t>
      </w:r>
      <w:r w:rsidRPr="00901194">
        <w:rPr>
          <w:rFonts w:cs="Times New Roman"/>
          <w:szCs w:val="24"/>
        </w:rPr>
        <w:t xml:space="preserve">=0.04, ANOVA p=0.4563, effect size (eta2)=6.32e-3), but these effects were overshadowed by the influence of industrialization (Figure </w:t>
      </w:r>
      <w:r w:rsidR="00DA48F8" w:rsidRPr="00901194">
        <w:rPr>
          <w:rFonts w:cs="Times New Roman"/>
          <w:szCs w:val="24"/>
        </w:rPr>
        <w:t>2</w:t>
      </w:r>
      <w:r w:rsidR="000E6034" w:rsidRPr="00901194">
        <w:rPr>
          <w:rFonts w:cs="Times New Roman"/>
          <w:szCs w:val="24"/>
        </w:rPr>
        <w:t>.1</w:t>
      </w:r>
      <w:r w:rsidRPr="00901194">
        <w:rPr>
          <w:rFonts w:cs="Times New Roman"/>
          <w:szCs w:val="24"/>
        </w:rPr>
        <w:t xml:space="preserve">b). For example, the Boulkiemdé rural traditional and Norman urban industrial samples were frozen within one day of collection, but the Boulkiemdé samples </w:t>
      </w:r>
      <w:r w:rsidRPr="00901194">
        <w:rPr>
          <w:rFonts w:cs="Times New Roman"/>
          <w:szCs w:val="24"/>
        </w:rPr>
        <w:lastRenderedPageBreak/>
        <w:t xml:space="preserve">clustered strongly with Peruvian rural traditional samples frozen within four days of collection (Figure </w:t>
      </w:r>
      <w:r w:rsidR="00DA48F8" w:rsidRPr="00901194">
        <w:rPr>
          <w:rFonts w:cs="Times New Roman"/>
          <w:szCs w:val="24"/>
        </w:rPr>
        <w:t>2</w:t>
      </w:r>
      <w:r w:rsidR="000E6034" w:rsidRPr="00901194">
        <w:rPr>
          <w:rFonts w:cs="Times New Roman"/>
          <w:szCs w:val="24"/>
        </w:rPr>
        <w:t>.1</w:t>
      </w:r>
      <w:r w:rsidR="00DA48F8" w:rsidRPr="00901194">
        <w:rPr>
          <w:rFonts w:cs="Times New Roman"/>
          <w:szCs w:val="24"/>
        </w:rPr>
        <w:t>b</w:t>
      </w:r>
      <w:r w:rsidR="00DA48F8" w:rsidRPr="00901194">
        <w:rPr>
          <w:rFonts w:cs="Times New Roman"/>
          <w:b/>
          <w:bCs/>
          <w:szCs w:val="24"/>
        </w:rPr>
        <w:t>)</w:t>
      </w:r>
      <w:r w:rsidRPr="00901194">
        <w:rPr>
          <w:rFonts w:cs="Times New Roman"/>
          <w:szCs w:val="24"/>
        </w:rPr>
        <w:t>. Our findings concur with prior studies demonstrating industrialization’s role in shaping the human microbiome</w:t>
      </w:r>
      <w:r w:rsidRPr="00901194">
        <w:rPr>
          <w:rFonts w:cs="Times New Roman"/>
          <w:szCs w:val="24"/>
        </w:rPr>
        <w:fldChar w:fldCharType="begin" w:fldLock="1"/>
      </w:r>
      <w:r w:rsidR="000A1931" w:rsidRPr="00901194">
        <w:rPr>
          <w:rFonts w:cs="Times New Roman"/>
          <w:szCs w:val="24"/>
        </w:rPr>
        <w:instrText>ADDIN CSL_CITATION {"citationItems":[{"id":"ITEM-1","itemData":{"DOI":"10.1038/ncomms4654","author":[{"dropping-particle":"","family":"Schnorr","given":"Stephanie L.","non-dropping-particle":"","parse-names":false,"suffix":""},{"dropping-particle":"","family":"Mandela","given":"Marco","non-dropping-particle":"","parse-names":false,"suffix":""},{"dropping-particle":"","family":"Rampelli","given":"Simone","non-dropping-particle":"","parse-names":false,"suffix":""},{"dropping-particle":"","family":"Centanni","given":"Manuela","non-dropping-particle":"","parse-names":false,"suffix":""},{"dropping-particle":"","family":"Consolandi","given":"Clarissa","non-dropping-particle":"","parse-names":false,"suffix":""},{"dropping-particle":"","family":"Basaglia","given":"Giulia","non-dropping-particle":"","parse-names":false,"suffix":""},{"dropping-particle":"","family":"Turroni","given":"Silvia","non-dropping-particle":"","parse-names":false,"suffix":""},{"dropping-particle":"","family":"Biagi","given":"Elena","non-dropping-particle":"","parse-names":false,"suffix":""},{"dropping-particle":"","family":"Peano","given":"Clelia","non-dropping-particle":"","parse-names":false,"suffix":""},{"dropping-particle":"","family":"Severgnini","given":"Marco","non-dropping-particle":"","parse-names":false,"suffix":""},{"dropping-particle":"","family":"Fiori","given":"Jessica","non-dropping-particle":"","parse-names":false,"suffix":""},{"dropping-particle":"","family":"Gotti","given":"Roberto","non-dropping-particle":"","parse-names":false,"suffix":""},{"dropping-particle":"","family":"Bellis","given":"Gianluca","non-dropping-particle":"De","parse-names":false,"suffix":""},{"dropping-particle":"","family":"Luiselli","given":"Donata","non-dropping-particle":"","parse-names":false,"suffix":""},{"dropping-particle":"","family":"Brigidi","given":"Patrizia","non-dropping-particle":"","parse-names":false,"suffix":""},{"dropping-particle":"","family":"Mabulla","given":"Audax","non-dropping-particle":"","parse-names":false,"suffix":""},{"dropping-particle":"","family":"Marlowe","given":"Frank","non-dropping-particle":"","parse-names":false,"suffix":""},{"dropping-particle":"","family":"Henry","given":"Amanda G.","non-dropping-particle":"","parse-names":false,"suffix":""},{"dropping-particle":"","family":"Crittenden","given":"Alyssa N.","non-dropping-particle":"","parse-names":false,"suffix":""}],"container-title":"Nature Communications","id":"ITEM-1","issue":"1","issued":{"date-parts":[["2014"]]},"note":"Summary: Investigating phylogenetic diversity and metabolite production of gut microbiota in Hadza. Found higher levels of microbial richness and biodiversity than in Italian urban controls. Found absence of Bifidobacterium and differences in microbial composition b/w sexes, likely reflecting gendered division of labor. Also found enriched Prevotella, Treponema, and unclassified Bacteroidetes, plus specific Clostridiales taxa, that may enhance Hadza's ability to digest and extract valuable nutrition from fibrous plant foods","page":"1-12","publisher":"Nature Publishing Group","title":"Gut microbiome of the Hadza hunter-gatherers","type":"article-journal","volume":"5"},"uris":["http://www.mendeley.com/documents/?uuid=9cd8ef61-77b8-465a-b9f0-6e26919674dd"]},{"id":"ITEM-2","itemData":{"DOI":"10.1016/j.celrep.2016.02.013","ISSN":"22111247","PMID":"26923597","abstract":"To understand how the gut microbiome is impacted by human adaptation to varying environments, we explored gut bacterial communities in the BaAka rainforest hunter-gatherers and their agriculturalist Bantu neighbors in the Central African Republic. Although the microbiome of both groups is compositionally similar, hunter-gatherers harbor increased abundance of Prevotellaceae, Treponema, and Clostridiaceae, while the Bantu gut microbiome is dominated by Firmicutes. Comparisons with US Americans reveal microbiome differences between Africans and westerners but show western-like features in the Bantu, including an increased abundance of predictive carbohydrate and xenobiotic metabolic pathways. In contrast, the hunter-gatherer gut shows increased abundance of predicted virulence, amino acid, and vitamin metabolism functions, as well as dominance of lipid and amino-acid-derived metabolites, as determined through metabolomics. Our results demonstrate gradients of traditional subsistence patterns in two neighboring African groups and highlight the adaptability of the microbiome in response to host ecology.","author":[{"dropping-particle":"","family":"Gomez","given":"Andres","non-dropping-particle":"","parse-names":false,"suffix":""},{"dropping-particle":"","family":"Petrzelkova","given":"Klara J.","non-dropping-particle":"","parse-names":false,"suffix":""},{"dropping-particle":"","family":"Burns","given":"Michael B.","non-dropping-particle":"","parse-names":false,"suffix":""},{"dropping-particle":"","family":"Yeoman","given":"Carl J.","non-dropping-particle":"","parse-names":false,"suffix":""},{"dropping-particle":"","family":"Amato","given":"Katherine R.","non-dropping-particle":"","parse-names":false,"suffix":""},{"dropping-particle":"","family":"Vlckova","given":"Klara","non-dropping-particle":"","parse-names":false,"suffix":""},{"dropping-particle":"","family":"Modry","given":"David","non-dropping-particle":"","parse-names":false,"suffix":""},{"dropping-particle":"","family":"Todd","given":"Angelique","non-dropping-particle":"","parse-names":false,"suffix":""},{"dropping-particle":"","family":"Jost Robinson","given":"Carolyn A.","non-dropping-particle":"","parse-names":false,"suffix":""},{"dropping-particle":"","family":"Remis","given":"Melissa J.","non-dropping-particle":"","parse-names":false,"suffix":""},{"dropping-particle":"","family":"Torralba","given":"Manolito G.","non-dropping-particle":"","parse-names":false,"suffix":""},{"dropping-particle":"","family":"Morton","given":"Elise","non-dropping-particle":"","parse-names":false,"suffix":""},{"dropping-particle":"","family":"Umaña","given":"Juan D.","non-dropping-particle":"","parse-names":false,"suffix":""},{"dropping-particle":"","family":"Carbonero","given":"Franck","non-dropping-particle":"","parse-names":false,"suffix":""},{"dropping-particle":"","family":"Gaskins","given":"H. Rex","non-dropping-particle":"","parse-names":false,"suffix":""},{"dropping-particle":"","family":"Nelson","given":"Karen E.","non-dropping-particle":"","parse-names":false,"suffix":""},{"dropping-particle":"","family":"Wilson","given":"Brenda A.","non-dropping-particle":"","parse-names":false,"suffix":""},{"dropping-particle":"","family":"Stumpf","given":"Rebecca M.","non-dropping-particle":"","parse-names":false,"suffix":""},{"dropping-particle":"","family":"White","given":"Bryan A.","non-dropping-particle":"","parse-names":false,"suffix":""},{"dropping-particle":"","family":"Leigh","given":"Steven R.","non-dropping-particle":"","parse-names":false,"suffix":""},{"dropping-particle":"","family":"Blekhman","given":"Ran","non-dropping-particle":"","parse-names":false,"suffix":""}],"container-title":"Cell Reports","id":"ITEM-2","issue":"9","issued":{"date-parts":[["2016"]]},"note":"BaAka = rainforest HGs. Bantu = agriculturalists\nShows industrialization &amp;gt; geography","page":"2142-2153","title":"Gut Microbiome of Coexisting BaAka Pygmies and Bantu Reflects Gradients of Traditional Subsistence Patterns","type":"article-journal","volume":"14"},"uris":["http://www.mendeley.com/documents/?uuid=a70a64c5-e6a8-4269-8996-06f9cb5755d1"]},{"id":"ITEM-3","itemData":{"DOI":"10.1111/1462-2920.13692","ISSN":"14622920","abstract":"Metagenomic studies of the human gut microbiome have only recently begun to explore the differences in taxonomic composition between subjects from diverse geographical origins. Here, we compared taxonomy, resistome and functional metabolic properties of publicly available shotgun datasets of human fecal samples collected from different geographical regions (Europe, North America, Asia and Oceania). Such datasets encompassed gut microbiota information corresponding to 13 developed/industrialized societies, as well as two traditional hunter-gatherer, pre-agricultural communities (Tanzanian and Peruvian individuals). Assessment of the retrieved taxonomic profiles allowed the most updated reconstruction of the global core-microbiome as based on currently available data, as well as the identification and targeted genome reconstruction of bacterial taxa that appear to have been lost and/or acquired during urbanization/industrialization. Functional characterization of these metagenomic datasets indicates that the urbanization/industrialization process which occurred in recent human history has shaped the gut microbiota through the acquisition and/or loss of specific gut microbes, thereby potentially impacting on the overall functionality of the gut microbiome.","author":[{"dropping-particle":"","family":"Mancabelli","given":"Leonardo","non-dropping-particle":"","parse-names":false,"suffix":""},{"dropping-particle":"","family":"Milani","given":"Christian","non-dropping-particle":"","parse-names":false,"suffix":""},{"dropping-particle":"","family":"Lugli","given":"Gabriele Andrea","non-dropping-particle":"","parse-names":false,"suffix":""},{"dropping-particle":"","family":"Turroni","given":"Francesca","non-dropping-particle":"","parse-names":false,"suffix":""},{"dropping-particle":"","family":"Ferrario","given":"Chiara","non-dropping-particle":"","parse-names":false,"suffix":""},{"dropping-particle":"","family":"Sinderen","given":"Douwe","non-dropping-particle":"van","parse-names":false,"suffix":""},{"dropping-particle":"","family":"Ventura","given":"Marco","non-dropping-particle":"","parse-names":false,"suffix":""}],"container-title":"Environmental Microbiology","id":"ITEM-3","issue":"4","issued":{"date-parts":[["2017"]]},"page":"1379-1390","title":"Meta-analysis of the human gut microbiome from urbanized and pre-agricultural populations","type":"article-journal","volume":"19"},"uris":["http://www.mendeley.com/documents/?uuid=7970cae7-096f-4262-8c66-64946ceb40b8"]},{"id":"ITEM-4","itemData":{"DOI":"10.1038/nature11053","ISSN":"00280836","PMID":"22699611","abstract":"Gut microbial communities represent one source of human genetic and metabolic diversity. To examine how gut microbiomes differ among human populations, here we characterize bacterial species in fecal samples from 531 individuals, plus the gene content of 110 of them. The cohort encompassed healthy children and adults from the Amazonas of Venezuela, rural Malawi and US metropolitan areas and included mono-and dizygotic twins. Shared features of the functional maturation of the gut microbiome were identified during the first three years of life in all three populations, including age-associated changes in the genes involved in vitamin biosynthesis and metabolism. Pronounced differences in bacterial assemblages and functional gene repertoires were noted between US residents and those in the other two countries. These distinctive features are evident in early infancy as well as adulthood. Our findings underscore the need to consider the microbiome when evaluating human development, nutritional needs, physiological variations and the impact of westernization. © 2012 Macmillan Publishers Limited. All rights reserved.","author":[{"dropping-particle":"","family":"Yatsunenko","given":"Tanya","non-dropping-particle":"","parse-names":false,"suffix":""},{"dropping-particle":"","family":"Rey","given":"Federico E.","non-dropping-particle":"","parse-names":false,"suffix":""},{"dropping-particle":"","family":"Manary","given":"Mark J.","non-dropping-particle":"","parse-names":false,"suffix":""},{"dropping-particle":"","family":"Trehan","given":"Indi","non-dropping-particle":"","parse-names":false,"suffix":""},{"dropping-particle":"","family":"Dominguez-Bello","given":"Maria Gloria","non-dropping-particle":"","parse-names":false,"suffix":""},{"dropping-particle":"","family":"Contreras","given":"Monica","non-dropping-particle":"","parse-names":false,"suffix":""},{"dropping-particle":"","family":"Magris","given":"Magda","non-dropping-particle":"","parse-names":false,"suffix":""},{"dropping-particle":"","family":"Hidalgo","given":"Glida","non-dropping-particle":"","parse-names":false,"suffix":""},{"dropping-particle":"","family":"Baldassano","given":"Robert N.","non-dropping-particle":"","parse-names":false,"suffix":""},{"dropping-particle":"","family":"Anokhin","given":"Andrey P.","non-dropping-particle":"","parse-names":false,"suffix":""},{"dropping-particle":"","family":"Heath","given":"Andrew C.","non-dropping-particle":"","parse-names":false,"suffix":""},{"dropping-particle":"","family":"Warner","given":"Barbara","non-dropping-particle":"","parse-names":false,"suffix":""},{"dropping-particle":"","family":"Reeder","given":"Jens","non-dropping-particle":"","parse-names":false,"suffix":""},{"dropping-particle":"","family":"Kuczynski","given":"Justin","non-dropping-particle":"","parse-names":false,"suffix":""},{"dropping-particle":"","family":"Caporaso","given":"J. Gregory","non-dropping-particle":"","parse-names":false,"suffix":""},{"dropping-particle":"","family":"Lozupone","given":"Catherine A.","non-dropping-particle":"","parse-names":false,"suffix":""},{"dropping-particle":"","family":"Lauber","given":"Christian","non-dropping-particle":"","parse-names":false,"suffix":""},{"dropping-particle":"","family":"Clemente","given":"Jose Carlos","non-dropping-particle":"","parse-names":false,"suffix":""},{"dropping-particle":"","family":"Knights","given":"Dan","non-dropping-particle":"","parse-names":false,"suffix":""},{"dropping-particle":"","family":"Knight","given":"Rob","non-dropping-particle":"","parse-names":false,"suffix":""},{"dropping-particle":"","family":"Gordon","given":"Jeffrey I.","non-dropping-particle":"","parse-names":false,"suffix":""}],"container-title":"Nature","id":"ITEM-4","issue":"7402","issued":{"date-parts":[["2012"]]},"note":"Summary: Examine bacterial species in 531 individuals (plus shotgun seq for gene content for 110) from Venezuela, rual Malawai, and US metropolitan areas. Included mono- and dizygotic twins. 326 samples &amp;lt;18 years old, 202 adults. Found major patterns about when mbm stabilizes (~3 years) as well as kinship associations\n\nShows industrialization &amp;gt; geography","page":"222-227","title":"Human gut microbiome viewed across age and geography","type":"article-journal","volume":"486"},"uris":["http://www.mendeley.com/documents/?uuid=6b039edb-37cb-4002-9e8d-d44e2dc9829d"]}],"mendeley":{"formattedCitation":"&lt;sup&gt;95,130–132&lt;/sup&gt;","plainTextFormattedCitation":"95,130–132","previouslyFormattedCitation":"&lt;sup&gt;95,130–132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95,130–132</w:t>
      </w:r>
      <w:r w:rsidRPr="00901194">
        <w:rPr>
          <w:rFonts w:cs="Times New Roman"/>
          <w:szCs w:val="24"/>
        </w:rPr>
        <w:fldChar w:fldCharType="end"/>
      </w:r>
      <w:r w:rsidRPr="00901194">
        <w:rPr>
          <w:rFonts w:cs="Times New Roman"/>
          <w:szCs w:val="24"/>
        </w:rPr>
        <w:t>, the built environment microbiome</w:t>
      </w:r>
      <w:r w:rsidRPr="00901194">
        <w:rPr>
          <w:rFonts w:cs="Times New Roman"/>
          <w:szCs w:val="24"/>
        </w:rPr>
        <w:fldChar w:fldCharType="begin" w:fldLock="1"/>
      </w:r>
      <w:r w:rsidR="000A1931" w:rsidRPr="00901194">
        <w:rPr>
          <w:rFonts w:cs="Times New Roman"/>
          <w:szCs w:val="24"/>
        </w:rPr>
        <w:instrText>ADDIN CSL_CITATION {"citationItems":[{"id":"ITEM-1","itemData":{"DOI":"10.1126/sciadv.1501061","ISSN":"23752548","abstract":"Westernization has propelled changes in urbanization and architecture, altering our exposure to the outdoor environment from that experienced during most of human evolution. These changes might affect the developmental exposure of infants to bacteria, immune development, and human microbiome diversity. Contemporary urban humans spend most of their time indoors, and little is known about the microbes associated with different designs of the built environment and their interaction with the human immune system. This study addresses the associations between architectural design and the microbial biogeography of households across a gradient of urbanization in South America. Urbanization was associated with households' increased isolation from outdoor environments, with additional indoor space isolation by walls. Microbes from house walls and floors segregate by location, and urban indoor walls contain human bacterial markers of space use. Urbanized spaces uniquely increase the content of human-associated microbes-which could increase transmission of potential pathogens-and decrease exposure to the environmental microbes with which humans have coevolved.","author":[{"dropping-particle":"","family":"Ruiz-Calderon","given":"Jean F.","non-dropping-particle":"","parse-names":false,"suffix":""},{"dropping-particle":"","family":"Cavallin","given":"Humberto","non-dropping-particle":"","parse-names":false,"suffix":""},{"dropping-particle":"","family":"Song","given":"Se Jin","non-dropping-particle":"","parse-names":false,"suffix":""},{"dropping-particle":"","family":"Novoselac","given":"Atila","non-dropping-particle":"","parse-names":false,"suffix":""},{"dropping-particle":"","family":"Pericchi","given":"Luis R.","non-dropping-particle":"","parse-names":false,"suffix":""},{"dropping-particle":"","family":"Hernandez","given":"Jean N.","non-dropping-particle":"","parse-names":false,"suffix":""},{"dropping-particle":"","family":"Rios","given":"Rafael","non-dropping-particle":"","parse-names":false,"suffix":""},{"dropping-particle":"","family":"Branch","given":"Oralee H.","non-dropping-particle":"","parse-names":false,"suffix":""},{"dropping-particle":"","family":"Pereira","given":"Henrique","non-dropping-particle":"","parse-names":false,"suffix":""},{"dropping-particle":"","family":"Paulino","given":"Luciana C.","non-dropping-particle":"","parse-names":false,"suffix":""},{"dropping-particle":"","family":"Blaser","given":"Martin J.","non-dropping-particle":"","parse-names":false,"suffix":""},{"dropping-particle":"","family":"Knight","given":"Rob","non-dropping-particle":"","parse-names":false,"suffix":""},{"dropping-particle":"","family":"Dominguez-Bello","given":"Maria G.","non-dropping-particle":"","parse-names":false,"suffix":""}],"container-title":"Science Advances","id":"ITEM-1","issue":"2","issued":{"date-parts":[["2016"]]},"note":"Summary: Study looking at associations b/w architectural design and microbial biogeography of households across a South American urbanization gradient\nUrbanization was associated with households' inc'd ioslations from outdoor environments. Microbes from house walls and floor separate by location, and urban indoor walls contain human bacterial markers of space use.\nUrbanized spaces uniquely inc content of human-associated microbes and decrease exposure to environmental microbes with which humans coevolved","title":"Microbiology: Walls talk: Microbial biogeography of homes spanning urbanization","type":"article-journal","volume":"2"},"uris":["http://www.mendeley.com/documents/?uuid=eebd3a3b-0978-4b61-890b-0673c431dbd8"]},{"id":"ITEM-2","itemData":{"DOI":"10.1038/s41564-019-0593-4","ISSN":"20585276","abstract":"Urbanization represents a profound shift in human behaviour, and has considerable cultural and health-associated consequences1,2. Here, we investigate chemical and microbial characteristics of houses and their human occupants across an urbanization gradient in the Amazon rainforest, from a remote Peruvian Amerindian village to the Brazilian city of Manaus. Urbanization was found to be associated with reduced microbial outdoor exposure, increased contact with housing materials, antimicrobials and cleaning products, and increased exposure to chemical diversity. The degree of urbanization correlated with changes in the composition of house bacterial and microeukaryotic communities, increased house and skin fungal diversity, and an increase in the relative abundance of human skin-associated fungi and bacteria in houses. Overall, our results indicate that urbanization has large-scale effects on chemical and microbial exposures and on the human microbiota.","author":[{"dropping-particle":"","family":"McCall","given":"Laura Isobel","non-dropping-particle":"","parse-names":false,"suffix":""},{"dropping-particle":"","family":"Callewaert","given":"Chris","non-dropping-particle":"","parse-names":false,"suffix":""},{"dropping-particle":"","family":"Zhu","given":"Qiyun","non-dropping-particle":"","parse-names":false,"suffix":""},{"dropping-particle":"","family":"Song","given":"Se Jin","non-dropping-particle":"","parse-names":false,"suffix":""},{"dropping-particle":"","family":"Bouslimani","given":"Amina","non-dropping-particle":"","parse-names":false,"suffix":""},{"dropping-particle":"","family":"Minich","given":"Jeremiah J.","non-dropping-particle":"","parse-names":false,"suffix":""},{"dropping-particle":"","family":"Ernst","given":"Madeleine","non-dropping-particle":"","parse-names":false,"suffix":""},{"dropping-particle":"","family":"Ruiz-Calderon","given":"Jean F.","non-dropping-particle":"","parse-names":false,"suffix":""},{"dropping-particle":"","family":"Cavallin","given":"Humberto","non-dropping-particle":"","parse-names":false,"suffix":""},{"dropping-particle":"","family":"Pereira","given":"Henrique S.","non-dropping-particle":"","parse-names":false,"suffix":""},{"dropping-particle":"","family":"Novoselac","given":"Atila","non-dropping-particle":"","parse-names":false,"suffix":""},{"dropping-particle":"","family":"Hernandez","given":"Jean","non-dropping-particle":"","parse-names":false,"suffix":""},{"dropping-particle":"","family":"Rios","given":"Rafael","non-dropping-particle":"","parse-names":false,"suffix":""},{"dropping-particle":"","family":"Branch","given":"Ora Lee H.","non-dropping-particle":"","parse-names":false,"suffix":""},{"dropping-particle":"","family":"Blaser","given":"Martin J.","non-dropping-particle":"","parse-names":false,"suffix":""},{"dropping-particle":"","family":"Paulino","given":"Luciana C.","non-dropping-particle":"","parse-names":false,"suffix":""},{"dropping-particle":"","family":"Dorrestein","given":"Pieter C.","non-dropping-particle":"","parse-names":false,"suffix":""},{"dropping-particle":"","family":"Knight","given":"Rob","non-dropping-particle":"","parse-names":false,"suffix":""},{"dropping-particle":"","family":"Dominguez-Bello","given":"Maria G.","non-dropping-particle":"","parse-names":false,"suffix":""}],"container-title":"Nature Microbiology","id":"ITEM-2","issued":{"date-parts":[["2020"]]},"note":"Sampling locations:\nChecherta (rainforest), Puerto Almendra (rural village), Iquitos (large town), Manaus (metropolis)","publisher":"Springer US","title":"Home chemical and microbial transitions across urbanization","type":"article-journal"},"uris":["http://www.mendeley.com/documents/?uuid=c13f061b-e8d3-4938-988f-68085fd8d78d"]}],"mendeley":{"formattedCitation":"&lt;sup&gt;43,79&lt;/sup&gt;","plainTextFormattedCitation":"43,79","previouslyFormattedCitation":"&lt;sup&gt;43,79&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43,79</w:t>
      </w:r>
      <w:r w:rsidRPr="00901194">
        <w:rPr>
          <w:rFonts w:cs="Times New Roman"/>
          <w:szCs w:val="24"/>
        </w:rPr>
        <w:fldChar w:fldCharType="end"/>
      </w:r>
      <w:r w:rsidRPr="00901194">
        <w:rPr>
          <w:rFonts w:cs="Times New Roman"/>
          <w:szCs w:val="24"/>
        </w:rPr>
        <w:t>, the built environment metabolome</w:t>
      </w:r>
      <w:r w:rsidRPr="00901194">
        <w:rPr>
          <w:rFonts w:cs="Times New Roman"/>
          <w:szCs w:val="24"/>
        </w:rPr>
        <w:fldChar w:fldCharType="begin" w:fldLock="1"/>
      </w:r>
      <w:r w:rsidR="000A1931" w:rsidRPr="00901194">
        <w:rPr>
          <w:rFonts w:cs="Times New Roman"/>
          <w:szCs w:val="24"/>
        </w:rPr>
        <w:instrText>ADDIN CSL_CITATION {"citationItems":[{"id":"ITEM-1","itemData":{"DOI":"10.1038/s41564-019-0593-4","ISSN":"20585276","abstract":"Urbanization represents a profound shift in human behaviour, and has considerable cultural and health-associated consequences1,2. Here, we investigate chemical and microbial characteristics of houses and their human occupants across an urbanization gradient in the Amazon rainforest, from a remote Peruvian Amerindian village to the Brazilian city of Manaus. Urbanization was found to be associated with reduced microbial outdoor exposure, increased contact with housing materials, antimicrobials and cleaning products, and increased exposure to chemical diversity. The degree of urbanization correlated with changes in the composition of house bacterial and microeukaryotic communities, increased house and skin fungal diversity, and an increase in the relative abundance of human skin-associated fungi and bacteria in houses. Overall, our results indicate that urbanization has large-scale effects on chemical and microbial exposures and on the human microbiota.","author":[{"dropping-particle":"","family":"McCall","given":"Laura Isobel","non-dropping-particle":"","parse-names":false,"suffix":""},{"dropping-particle":"","family":"Callewaert","given":"Chris","non-dropping-particle":"","parse-names":false,"suffix":""},{"dropping-particle":"","family":"Zhu","given":"Qiyun","non-dropping-particle":"","parse-names":false,"suffix":""},{"dropping-particle":"","family":"Song","given":"Se Jin","non-dropping-particle":"","parse-names":false,"suffix":""},{"dropping-particle":"","family":"Bouslimani","given":"Amina","non-dropping-particle":"","parse-names":false,"suffix":""},{"dropping-particle":"","family":"Minich","given":"Jeremiah J.","non-dropping-particle":"","parse-names":false,"suffix":""},{"dropping-particle":"","family":"Ernst","given":"Madeleine","non-dropping-particle":"","parse-names":false,"suffix":""},{"dropping-particle":"","family":"Ruiz-Calderon","given":"Jean F.","non-dropping-particle":"","parse-names":false,"suffix":""},{"dropping-particle":"","family":"Cavallin","given":"Humberto","non-dropping-particle":"","parse-names":false,"suffix":""},{"dropping-particle":"","family":"Pereira","given":"Henrique S.","non-dropping-particle":"","parse-names":false,"suffix":""},{"dropping-particle":"","family":"Novoselac","given":"Atila","non-dropping-particle":"","parse-names":false,"suffix":""},{"dropping-particle":"","family":"Hernandez","given":"Jean","non-dropping-particle":"","parse-names":false,"suffix":""},{"dropping-particle":"","family":"Rios","given":"Rafael","non-dropping-particle":"","parse-names":false,"suffix":""},{"dropping-particle":"","family":"Branch","given":"Ora Lee H.","non-dropping-particle":"","parse-names":false,"suffix":""},{"dropping-particle":"","family":"Blaser","given":"Martin J.","non-dropping-particle":"","parse-names":false,"suffix":""},{"dropping-particle":"","family":"Paulino","given":"Luciana C.","non-dropping-particle":"","parse-names":false,"suffix":""},{"dropping-particle":"","family":"Dorrestein","given":"Pieter C.","non-dropping-particle":"","parse-names":false,"suffix":""},{"dropping-particle":"","family":"Knight","given":"Rob","non-dropping-particle":"","parse-names":false,"suffix":""},{"dropping-particle":"","family":"Dominguez-Bello","given":"Maria G.","non-dropping-particle":"","parse-names":false,"suffix":""}],"container-title":"Nature Microbiology","id":"ITEM-1","issued":{"date-parts":[["2020"]]},"note":"Sampling locations:\nChecherta (rainforest), Puerto Almendra (rural village), Iquitos (large town), Manaus (metropolis)","publisher":"Springer US","title":"Home chemical and microbial transitions across urbanization","type":"article-journal"},"uris":["http://www.mendeley.com/documents/?uuid=c13f061b-e8d3-4938-988f-68085fd8d78d"]}],"mendeley":{"formattedCitation":"&lt;sup&gt;43&lt;/sup&gt;","plainTextFormattedCitation":"43","previouslyFormattedCitation":"&lt;sup&gt;43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43</w:t>
      </w:r>
      <w:r w:rsidRPr="00901194">
        <w:rPr>
          <w:rFonts w:cs="Times New Roman"/>
          <w:szCs w:val="24"/>
        </w:rPr>
        <w:fldChar w:fldCharType="end"/>
      </w:r>
      <w:r w:rsidRPr="00901194">
        <w:rPr>
          <w:rFonts w:cs="Times New Roman"/>
          <w:szCs w:val="24"/>
        </w:rPr>
        <w:t>, and the plasma metabolome</w:t>
      </w:r>
      <w:r w:rsidRPr="00901194">
        <w:rPr>
          <w:rFonts w:cs="Times New Roman"/>
          <w:szCs w:val="24"/>
        </w:rPr>
        <w:fldChar w:fldCharType="begin" w:fldLock="1"/>
      </w:r>
      <w:r w:rsidR="000A1931" w:rsidRPr="00901194">
        <w:rPr>
          <w:rFonts w:cs="Times New Roman"/>
          <w:szCs w:val="24"/>
        </w:rPr>
        <w:instrText>ADDIN CSL_CITATION {"citationItems":[{"id":"ITEM-1","itemData":{"DOI":"10.1186/s40168-017-0338-7","ISSN":"20492618","abstract":"Urbanization is associated with an increased risk for a number of diseases, including obesity, diabetes, and cancer, which all also show associations with the microbiome. While microbial community composition has been shown to vary across continents and in traditional versus Westernized societies, few studies have examined urban-rural differences in neighboring communities within a single country undergoing rapid urbanization. In this study, we compared the gut microbiome, plasma metabolome, dietary habits, and health biomarkers of rural and urban people from a single Chinese province. We identified significant differences in the microbiota and microbiota-related plasma metabolites in rural versus recently urban subjects from the Hunan province of China. Microbes with higher relative abundance in Chinese urban samples have been associated with disease in other studies and were substantially more prevalent in the Human Microbiome Project cohort of American subjects. Furthermore, using whole metagenome sequencing, we found that urbanization was associated with a loss of microbial diversity and changes in the relative abundances of Viruses, Archaea, and Bacteria. Gene diversity, however, increased with urbanization, along with the proportion of reads associated with antibiotic resistance and virulence, which were strongly correlated with the presence of Escherichia and Shigella.\n                         Our data suggest that urbanization has produced convergent evolution of the gut microbial composition in American and urban Chinese populations, resulting in similar compositional patterns of abundant microbes through similar lifestyles on different continents, including a loss of potentially beneficial bacteria and an increase in potentially harmful genes via increased relative abundance of Escherichia and Shigella.","author":[{"dropping-particle":"","family":"Winglee","given":"Kathryn","non-dropping-particle":"","parse-names":false,"suffix":""},{"dropping-particle":"","family":"Howard","given":"Annie Green","non-dropping-particle":"","parse-names":false,"suffix":""},{"dropping-particle":"","family":"Sha","given":"Wei","non-dropping-particle":"","parse-names":false,"suffix":""},{"dropping-particle":"","family":"Gharaibeh","given":"Raad Z.","non-dropping-particle":"","parse-names":false,"suffix":""},{"dropping-particle":"","family":"Liu","given":"Jiawu","non-dropping-particle":"","parse-names":false,"suffix":""},{"dropping-particle":"","family":"Jin","given":"Donghui","non-dropping-particle":"","parse-names":false,"suffix":""},{"dropping-particle":"","family":"Fodor","given":"Anthony A.","non-dropping-particle":"","parse-names":false,"suffix":""},{"dropping-particle":"","family":"Gordon-Larsen","given":"Penny","non-dropping-particle":"","parse-names":false,"suffix":""}],"container-title":"Microbiome","id":"ITEM-1","issue":"1","issued":{"date-parts":[["2017"]]},"note":"Summary: Investigated gut microbiome (16S and metagenome) and plasma metabolome of rural and recentlyurban Chinese people, and then compared to urban Americans. Found differences b/w urban and rural. Urban China resembled urban America. Conclude that urbanization results in rapid convergent evolution across globe of microbial community, with mtbm exhibiting a more robust response to urbanization than microbiome. Also associated urbanization with pathogens (Escherichia and Shigella) who bring more antibiotic resistance genes at expense of beneficial taxa\n\nPlasma samples","page":"1-13","publisher":"Microbiome","title":"Recent urbanization in China is correlated with a Westernized microbiome encoding increased virulence and antibiotic resistance genes","type":"article-journal","volume":"5"},"uris":["http://www.mendeley.com/documents/?uuid=e6103c9d-a2df-4df5-a759-9ecbeb87aed7"]},{"id":"ITEM-2","itemData":{"DOI":"10.1136/gutjnl-2014-308209","ISBN":"2014308209","ISSN":"14683288","PMID":"25431456","abstract":"Objective: The consumption of an agrarian diet is associated with a reduced risk for many diseases associated with a 'Westernised' lifestyle. Studies suggest that diet affects the gut microbiota, which subsequently influences the metabolome, thereby connecting diet, microbiota and health. However, the degree to which diet influences the composition of the gut microbiota is controversial. Murine models and studies comparing the gut microbiota in humans residing in agrarian versus Western societies suggest that the influence is large. To separate global environmental influences from dietary influences, we characterised the gut microbiota and the host metabolome of individuals consuming an agrarian diet in Western society. Design and results: Using 16S rRNA-tagged sequencing as well as plasma and urinary metabolomic platforms, we compared measures of dietary intake, gut microbiota composition and the plasma metabolome between healthy human vegans and omnivores, sampled in an urban USA environment. Plasma metabolome of vegans differed markedly from omnivores but the gut microbiota was surprisingly similar. Unlike prior studies of individuals living in agrarian societies, higher consumption of fermentable substrate in vegans was not associated with higher levels of faecal short chain fatty acids, a finding confirmed in a 10-day controlled feeding experiment. Similarly, the proportion of vegans capable of producing equol, a soy-based gut microbiota metabolite, was less than that was reported in Asian societies despite the high consumption of soy-based products. Conclusions: Evidently, residence in globally distinct societies helps determine the composition of the gut microbiota that, in turn, influences the production of diet-dependent gut microbial metabolites.","author":[{"dropping-particle":"","family":"Wu","given":"Gary D.","non-dropping-particle":"","parse-names":false,"suffix":""},{"dropping-particle":"","family":"Compher","given":"Charlene","non-dropping-particle":"","parse-names":false,"suffix":""},{"dropping-particle":"","family":"Chen","given":"Eric Z.","non-dropping-particle":"","parse-names":false,"suffix":""},{"dropping-particle":"","family":"Smith","given":"Sarah A.","non-dropping-particle":"","parse-names":false,"suffix":""},{"dropping-particle":"","family":"Shah","given":"Rachana D.","non-dropping-particle":"","parse-names":false,"suffix":""},{"dropping-particle":"","family":"Bittinger","given":"Kyle","non-dropping-particle":"","parse-names":false,"suffix":""},{"dropping-particle":"","family":"Chehoud","given":"Christel","non-dropping-particle":"","parse-names":false,"suffix":""},{"dropping-particle":"","family":"Albenberg","given":"Lindsey G.","non-dropping-particle":"","parse-names":false,"suffix":""},{"dropping-particle":"","family":"Nessel","given":"Lisa","non-dropping-particle":"","parse-names":false,"suffix":""},{"dropping-particle":"","family":"Gilroy","given":"Erin","non-dropping-particle":"","parse-names":false,"suffix":""},{"dropping-particle":"","family":"Star","given":"Julie","non-dropping-particle":"","parse-names":false,"suffix":""},{"dropping-particle":"","family":"Weljie","given":"Aalim M.","non-dropping-particle":"","parse-names":false,"suffix":""},{"dropping-particle":"","family":"Flint","given":"Harry J.","non-dropping-particle":"","parse-names":false,"suffix":""},{"dropping-particle":"","family":"Metz","given":"David C.","non-dropping-particle":"","parse-names":false,"suffix":""},{"dropping-particle":"","family":"Bennett","given":"Michael J.","non-dropping-particle":"","parse-names":false,"suffix":""},{"dropping-particle":"","family":"Li","given":"Hongzhe","non-dropping-particle":"","parse-names":false,"suffix":""},{"dropping-particle":"","family":"Bushman","given":"Frederic D.","non-dropping-particle":"","parse-names":false,"suffix":""},{"dropping-particle":"","family":"Lewis","given":"James D.","non-dropping-particle":"","parse-names":false,"suffix":""}],"container-title":"Gut","id":"ITEM-2","issue":"1","issued":{"date-parts":[["2016"]]},"page":"63-72","title":"Comparative metabolomics in vegans and omnivores reveal constraints on diet-dependent gut microbiota metabolite production","type":"article-journal","volume":"65"},"uris":["http://www.mendeley.com/documents/?uuid=53b2caf1-8598-49e9-8b51-6a5aaab8db9a"]}],"mendeley":{"formattedCitation":"&lt;sup&gt;83,133&lt;/sup&gt;","plainTextFormattedCitation":"83,133","previouslyFormattedCitation":"&lt;sup&gt;83,133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83,133</w:t>
      </w:r>
      <w:r w:rsidRPr="00901194">
        <w:rPr>
          <w:rFonts w:cs="Times New Roman"/>
          <w:szCs w:val="24"/>
        </w:rPr>
        <w:fldChar w:fldCharType="end"/>
      </w:r>
      <w:r w:rsidRPr="00901194">
        <w:rPr>
          <w:rFonts w:cs="Times New Roman"/>
          <w:szCs w:val="24"/>
        </w:rPr>
        <w:t xml:space="preserve">. </w:t>
      </w:r>
      <w:r w:rsidR="008B00D5" w:rsidRPr="00901194">
        <w:rPr>
          <w:rFonts w:cs="Times New Roman"/>
          <w:szCs w:val="24"/>
        </w:rPr>
        <w:t xml:space="preserve">This industrialization influence reflects the broad series of behaviors and practices differentiating industrialized, semi-industrialized, and non-industrialized communities such as diet composition and sources, pharmaceutical consumption, hospital access, public markets access, varying exposure to built environments, etc. </w:t>
      </w:r>
      <w:r w:rsidR="00901194">
        <w:rPr>
          <w:rFonts w:cs="Times New Roman"/>
          <w:szCs w:val="24"/>
        </w:rPr>
        <w:t>Further work is needed to determine which components of these industrialized behaviors most contribute to influencing these metabolomes. Nonetheless, t</w:t>
      </w:r>
      <w:r w:rsidR="008B00D5" w:rsidRPr="00901194">
        <w:rPr>
          <w:rFonts w:cs="Times New Roman"/>
          <w:szCs w:val="24"/>
        </w:rPr>
        <w:t xml:space="preserve">he influence of industrialization in differentiating these fecal metabolomes highlights how our molecular biology is strongly affected by our unique lifestyles and behaviors. </w:t>
      </w:r>
      <w:r w:rsidRPr="00901194">
        <w:rPr>
          <w:rFonts w:cs="Times New Roman"/>
          <w:szCs w:val="24"/>
        </w:rPr>
        <w:t>Additionally, the observation of industrialization outweighing the effects of geographic origin is novel for human fecal metabolomics analyses, but concurs with findings from human fecal microbiome studies</w:t>
      </w:r>
      <w:r w:rsidRPr="00901194">
        <w:rPr>
          <w:rFonts w:cs="Times New Roman"/>
          <w:szCs w:val="24"/>
        </w:rPr>
        <w:fldChar w:fldCharType="begin" w:fldLock="1"/>
      </w:r>
      <w:r w:rsidR="000A1931" w:rsidRPr="00901194">
        <w:rPr>
          <w:rFonts w:cs="Times New Roman"/>
          <w:szCs w:val="24"/>
        </w:rPr>
        <w:instrText>ADDIN CSL_CITATION {"citationItems":[{"id":"ITEM-1","itemData":{"DOI":"10.1038/ncomms4654","author":[{"dropping-particle":"","family":"Schnorr","given":"Stephanie L.","non-dropping-particle":"","parse-names":false,"suffix":""},{"dropping-particle":"","family":"Mandela","given":"Marco","non-dropping-particle":"","parse-names":false,"suffix":""},{"dropping-particle":"","family":"Rampelli","given":"Simone","non-dropping-particle":"","parse-names":false,"suffix":""},{"dropping-particle":"","family":"Centanni","given":"Manuela","non-dropping-particle":"","parse-names":false,"suffix":""},{"dropping-particle":"","family":"Consolandi","given":"Clarissa","non-dropping-particle":"","parse-names":false,"suffix":""},{"dropping-particle":"","family":"Basaglia","given":"Giulia","non-dropping-particle":"","parse-names":false,"suffix":""},{"dropping-particle":"","family":"Turroni","given":"Silvia","non-dropping-particle":"","parse-names":false,"suffix":""},{"dropping-particle":"","family":"Biagi","given":"Elena","non-dropping-particle":"","parse-names":false,"suffix":""},{"dropping-particle":"","family":"Peano","given":"Clelia","non-dropping-particle":"","parse-names":false,"suffix":""},{"dropping-particle":"","family":"Severgnini","given":"Marco","non-dropping-particle":"","parse-names":false,"suffix":""},{"dropping-particle":"","family":"Fiori","given":"Jessica","non-dropping-particle":"","parse-names":false,"suffix":""},{"dropping-particle":"","family":"Gotti","given":"Roberto","non-dropping-particle":"","parse-names":false,"suffix":""},{"dropping-particle":"","family":"Bellis","given":"Gianluca","non-dropping-particle":"De","parse-names":false,"suffix":""},{"dropping-particle":"","family":"Luiselli","given":"Donata","non-dropping-particle":"","parse-names":false,"suffix":""},{"dropping-particle":"","family":"Brigidi","given":"Patrizia","non-dropping-particle":"","parse-names":false,"suffix":""},{"dropping-particle":"","family":"Mabulla","given":"Audax","non-dropping-particle":"","parse-names":false,"suffix":""},{"dropping-particle":"","family":"Marlowe","given":"Frank","non-dropping-particle":"","parse-names":false,"suffix":""},{"dropping-particle":"","family":"Henry","given":"Amanda G.","non-dropping-particle":"","parse-names":false,"suffix":""},{"dropping-particle":"","family":"Crittenden","given":"Alyssa N.","non-dropping-particle":"","parse-names":false,"suffix":""}],"container-title":"Nature Communications","id":"ITEM-1","issue":"1","issued":{"date-parts":[["2014"]]},"note":"Summary: Investigating phylogenetic diversity and metabolite production of gut microbiota in Hadza. Found higher levels of microbial richness and biodiversity than in Italian urban controls. Found absence of Bifidobacterium and differences in microbial composition b/w sexes, likely reflecting gendered division of labor. Also found enriched Prevotella, Treponema, and unclassified Bacteroidetes, plus specific Clostridiales taxa, that may enhance Hadza's ability to digest and extract valuable nutrition from fibrous plant foods","page":"1-12","publisher":"Nature Publishing Group","title":"Gut microbiome of the Hadza hunter-gatherers","type":"article-journal","volume":"5"},"uris":["http://www.mendeley.com/documents/?uuid=9cd8ef61-77b8-465a-b9f0-6e26919674dd"]},{"id":"ITEM-2","itemData":{"DOI":"10.1016/j.celrep.2016.02.013","ISSN":"22111247","PMID":"26923597","abstract":"To understand how the gut microbiome is impacted by human adaptation to varying environments, we explored gut bacterial communities in the BaAka rainforest hunter-gatherers and their agriculturalist Bantu neighbors in the Central African Republic. Although the microbiome of both groups is compositionally similar, hunter-gatherers harbor increased abundance of Prevotellaceae, Treponema, and Clostridiaceae, while the Bantu gut microbiome is dominated by Firmicutes. Comparisons with US Americans reveal microbiome differences between Africans and westerners but show western-like features in the Bantu, including an increased abundance of predictive carbohydrate and xenobiotic metabolic pathways. In contrast, the hunter-gatherer gut shows increased abundance of predicted virulence, amino acid, and vitamin metabolism functions, as well as dominance of lipid and amino-acid-derived metabolites, as determined through metabolomics. Our results demonstrate gradients of traditional subsistence patterns in two neighboring African groups and highlight the adaptability of the microbiome in response to host ecology.","author":[{"dropping-particle":"","family":"Gomez","given":"Andres","non-dropping-particle":"","parse-names":false,"suffix":""},{"dropping-particle":"","family":"Petrzelkova","given":"Klara J.","non-dropping-particle":"","parse-names":false,"suffix":""},{"dropping-particle":"","family":"Burns","given":"Michael B.","non-dropping-particle":"","parse-names":false,"suffix":""},{"dropping-particle":"","family":"Yeoman","given":"Carl J.","non-dropping-particle":"","parse-names":false,"suffix":""},{"dropping-particle":"","family":"Amato","given":"Katherine R.","non-dropping-particle":"","parse-names":false,"suffix":""},{"dropping-particle":"","family":"Vlckova","given":"Klara","non-dropping-particle":"","parse-names":false,"suffix":""},{"dropping-particle":"","family":"Modry","given":"David","non-dropping-particle":"","parse-names":false,"suffix":""},{"dropping-particle":"","family":"Todd","given":"Angelique","non-dropping-particle":"","parse-names":false,"suffix":""},{"dropping-particle":"","family":"Jost Robinson","given":"Carolyn A.","non-dropping-particle":"","parse-names":false,"suffix":""},{"dropping-particle":"","family":"Remis","given":"Melissa J.","non-dropping-particle":"","parse-names":false,"suffix":""},{"dropping-particle":"","family":"Torralba","given":"Manolito G.","non-dropping-particle":"","parse-names":false,"suffix":""},{"dropping-particle":"","family":"Morton","given":"Elise","non-dropping-particle":"","parse-names":false,"suffix":""},{"dropping-particle":"","family":"Umaña","given":"Juan D.","non-dropping-particle":"","parse-names":false,"suffix":""},{"dropping-particle":"","family":"Carbonero","given":"Franck","non-dropping-particle":"","parse-names":false,"suffix":""},{"dropping-particle":"","family":"Gaskins","given":"H. Rex","non-dropping-particle":"","parse-names":false,"suffix":""},{"dropping-particle":"","family":"Nelson","given":"Karen E.","non-dropping-particle":"","parse-names":false,"suffix":""},{"dropping-particle":"","family":"Wilson","given":"Brenda A.","non-dropping-particle":"","parse-names":false,"suffix":""},{"dropping-particle":"","family":"Stumpf","given":"Rebecca M.","non-dropping-particle":"","parse-names":false,"suffix":""},{"dropping-particle":"","family":"White","given":"Bryan A.","non-dropping-particle":"","parse-names":false,"suffix":""},{"dropping-particle":"","family":"Leigh","given":"Steven R.","non-dropping-particle":"","parse-names":false,"suffix":""},{"dropping-particle":"","family":"Blekhman","given":"Ran","non-dropping-particle":"","parse-names":false,"suffix":""}],"container-title":"Cell Reports","id":"ITEM-2","issue":"9","issued":{"date-parts":[["2016"]]},"note":"BaAka = rainforest HGs. Bantu = agriculturalists\nShows industrialization &amp;gt; geography","page":"2142-2153","title":"Gut Microbiome of Coexisting BaAka Pygmies and Bantu Reflects Gradients of Traditional Subsistence Patterns","type":"article-journal","volume":"14"},"uris":["http://www.mendeley.com/documents/?uuid=a70a64c5-e6a8-4269-8996-06f9cb5755d1"]},{"id":"ITEM-3","itemData":{"DOI":"10.1111/1462-2920.13692","ISSN":"14622920","abstract":"Metagenomic studies of the human gut microbiome have only recently begun to explore the differences in taxonomic composition between subjects from diverse geographical origins. Here, we compared taxonomy, resistome and functional metabolic properties of publicly available shotgun datasets of human fecal samples collected from different geographical regions (Europe, North America, Asia and Oceania). Such datasets encompassed gut microbiota information corresponding to 13 developed/industrialized societies, as well as two traditional hunter-gatherer, pre-agricultural communities (Tanzanian and Peruvian individuals). Assessment of the retrieved taxonomic profiles allowed the most updated reconstruction of the global core-microbiome as based on currently available data, as well as the identification and targeted genome reconstruction of bacterial taxa that appear to have been lost and/or acquired during urbanization/industrialization. Functional characterization of these metagenomic datasets indicates that the urbanization/industrialization process which occurred in recent human history has shaped the gut microbiota through the acquisition and/or loss of specific gut microbes, thereby potentially impacting on the overall functionality of the gut microbiome.","author":[{"dropping-particle":"","family":"Mancabelli","given":"Leonardo","non-dropping-particle":"","parse-names":false,"suffix":""},{"dropping-particle":"","family":"Milani","given":"Christian","non-dropping-particle":"","parse-names":false,"suffix":""},{"dropping-particle":"","family":"Lugli","given":"Gabriele Andrea","non-dropping-particle":"","parse-names":false,"suffix":""},{"dropping-particle":"","family":"Turroni","given":"Francesca","non-dropping-particle":"","parse-names":false,"suffix":""},{"dropping-particle":"","family":"Ferrario","given":"Chiara","non-dropping-particle":"","parse-names":false,"suffix":""},{"dropping-particle":"","family":"Sinderen","given":"Douwe","non-dropping-particle":"van","parse-names":false,"suffix":""},{"dropping-particle":"","family":"Ventura","given":"Marco","non-dropping-particle":"","parse-names":false,"suffix":""}],"container-title":"Environmental Microbiology","id":"ITEM-3","issue":"4","issued":{"date-parts":[["2017"]]},"page":"1379-1390","title":"Meta-analysis of the human gut microbiome from urbanized and pre-agricultural populations","type":"article-journal","volume":"19"},"uris":["http://www.mendeley.com/documents/?uuid=7970cae7-096f-4262-8c66-64946ceb40b8"]},{"id":"ITEM-4","itemData":{"DOI":"10.1038/nature11053","ISSN":"00280836","PMID":"22699611","abstract":"Gut microbial communities represent one source of human genetic and metabolic diversity. To examine how gut microbiomes differ among human populations, here we characterize bacterial species in fecal samples from 531 individuals, plus the gene content of 110 of them. The cohort encompassed healthy children and adults from the Amazonas of Venezuela, rural Malawi and US metropolitan areas and included mono-and dizygotic twins. Shared features of the functional maturation of the gut microbiome were identified during the first three years of life in all three populations, including age-associated changes in the genes involved in vitamin biosynthesis and metabolism. Pronounced differences in bacterial assemblages and functional gene repertoires were noted between US residents and those in the other two countries. These distinctive features are evident in early infancy as well as adulthood. Our findings underscore the need to consider the microbiome when evaluating human development, nutritional needs, physiological variations and the impact of westernization. © 2012 Macmillan Publishers Limited. All rights reserved.","author":[{"dropping-particle":"","family":"Yatsunenko","given":"Tanya","non-dropping-particle":"","parse-names":false,"suffix":""},{"dropping-particle":"","family":"Rey","given":"Federico E.","non-dropping-particle":"","parse-names":false,"suffix":""},{"dropping-particle":"","family":"Manary","given":"Mark J.","non-dropping-particle":"","parse-names":false,"suffix":""},{"dropping-particle":"","family":"Trehan","given":"Indi","non-dropping-particle":"","parse-names":false,"suffix":""},{"dropping-particle":"","family":"Dominguez-Bello","given":"Maria Gloria","non-dropping-particle":"","parse-names":false,"suffix":""},{"dropping-particle":"","family":"Contreras","given":"Monica","non-dropping-particle":"","parse-names":false,"suffix":""},{"dropping-particle":"","family":"Magris","given":"Magda","non-dropping-particle":"","parse-names":false,"suffix":""},{"dropping-particle":"","family":"Hidalgo","given":"Glida","non-dropping-particle":"","parse-names":false,"suffix":""},{"dropping-particle":"","family":"Baldassano","given":"Robert N.","non-dropping-particle":"","parse-names":false,"suffix":""},{"dropping-particle":"","family":"Anokhin","given":"Andrey P.","non-dropping-particle":"","parse-names":false,"suffix":""},{"dropping-particle":"","family":"Heath","given":"Andrew C.","non-dropping-particle":"","parse-names":false,"suffix":""},{"dropping-particle":"","family":"Warner","given":"Barbara","non-dropping-particle":"","parse-names":false,"suffix":""},{"dropping-particle":"","family":"Reeder","given":"Jens","non-dropping-particle":"","parse-names":false,"suffix":""},{"dropping-particle":"","family":"Kuczynski","given":"Justin","non-dropping-particle":"","parse-names":false,"suffix":""},{"dropping-particle":"","family":"Caporaso","given":"J. Gregory","non-dropping-particle":"","parse-names":false,"suffix":""},{"dropping-particle":"","family":"Lozupone","given":"Catherine A.","non-dropping-particle":"","parse-names":false,"suffix":""},{"dropping-particle":"","family":"Lauber","given":"Christian","non-dropping-particle":"","parse-names":false,"suffix":""},{"dropping-particle":"","family":"Clemente","given":"Jose Carlos","non-dropping-particle":"","parse-names":false,"suffix":""},{"dropping-particle":"","family":"Knights","given":"Dan","non-dropping-particle":"","parse-names":false,"suffix":""},{"dropping-particle":"","family":"Knight","given":"Rob","non-dropping-particle":"","parse-names":false,"suffix":""},{"dropping-particle":"","family":"Gordon","given":"Jeffrey I.","non-dropping-particle":"","parse-names":false,"suffix":""}],"container-title":"Nature","id":"ITEM-4","issue":"7402","issued":{"date-parts":[["2012"]]},"note":"Summary: Examine bacterial species in 531 individuals (plus shotgun seq for gene content for 110) from Venezuela, rual Malawai, and US metropolitan areas. Included mono- and dizygotic twins. 326 samples &amp;lt;18 years old, 202 adults. Found major patterns about when mbm stabilizes (~3 years) as well as kinship associations\n\nShows industrialization &amp;gt; geography","page":"222-227","title":"Human gut microbiome viewed across age and geography","type":"article-journal","volume":"486"},"uris":["http://www.mendeley.com/documents/?uuid=6b039edb-37cb-4002-9e8d-d44e2dc9829d"]}],"mendeley":{"formattedCitation":"&lt;sup&gt;95,130–132&lt;/sup&gt;","plainTextFormattedCitation":"95,130–132","previouslyFormattedCitation":"&lt;sup&gt;95,130–132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95,130–132</w:t>
      </w:r>
      <w:r w:rsidRPr="00901194">
        <w:rPr>
          <w:rFonts w:cs="Times New Roman"/>
          <w:szCs w:val="24"/>
        </w:rPr>
        <w:fldChar w:fldCharType="end"/>
      </w:r>
      <w:r w:rsidRPr="00901194">
        <w:rPr>
          <w:rFonts w:cs="Times New Roman"/>
          <w:szCs w:val="24"/>
        </w:rPr>
        <w:t>. To the best of our knowledge, this is the first study to illustrate the industrialization gradient in the human fecal metabolome—the intuitive path for revealing the key chemistry of the distal gut.</w:t>
      </w:r>
    </w:p>
    <w:p w14:paraId="27172C54" w14:textId="77777777" w:rsidR="00DA48F8" w:rsidRPr="00901194" w:rsidRDefault="00DA48F8">
      <w:pPr>
        <w:spacing w:line="259" w:lineRule="auto"/>
        <w:rPr>
          <w:rFonts w:cs="Times New Roman"/>
          <w:szCs w:val="24"/>
        </w:rPr>
      </w:pPr>
      <w:r w:rsidRPr="00901194">
        <w:rPr>
          <w:rFonts w:cs="Times New Roman"/>
          <w:szCs w:val="24"/>
        </w:rPr>
        <w:br w:type="page"/>
      </w:r>
    </w:p>
    <w:p w14:paraId="301A12EF" w14:textId="4472B165" w:rsidR="00DA48F8" w:rsidRPr="00901194" w:rsidRDefault="00DA48F8">
      <w:pPr>
        <w:spacing w:line="259" w:lineRule="auto"/>
        <w:rPr>
          <w:rFonts w:cs="Times New Roman"/>
          <w:szCs w:val="24"/>
        </w:rPr>
      </w:pPr>
      <w:r w:rsidRPr="00901194">
        <w:rPr>
          <w:rFonts w:cs="Times New Roman"/>
          <w:noProof/>
        </w:rPr>
        <w:lastRenderedPageBreak/>
        <w:drawing>
          <wp:anchor distT="0" distB="0" distL="114300" distR="114300" simplePos="0" relativeHeight="251659264" behindDoc="0" locked="0" layoutInCell="1" allowOverlap="1" wp14:anchorId="7F0C3EAA" wp14:editId="0F36C119">
            <wp:simplePos x="0" y="0"/>
            <wp:positionH relativeFrom="margin">
              <wp:align>right</wp:align>
            </wp:positionH>
            <wp:positionV relativeFrom="paragraph">
              <wp:posOffset>132</wp:posOffset>
            </wp:positionV>
            <wp:extent cx="5943600" cy="7534910"/>
            <wp:effectExtent l="0" t="0" r="0" b="8890"/>
            <wp:wrapTopAndBottom/>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534910"/>
                    </a:xfrm>
                    <a:prstGeom prst="rect">
                      <a:avLst/>
                    </a:prstGeom>
                  </pic:spPr>
                </pic:pic>
              </a:graphicData>
            </a:graphic>
          </wp:anchor>
        </w:drawing>
      </w:r>
      <w:r w:rsidRPr="00901194">
        <w:rPr>
          <w:rFonts w:cs="Times New Roman"/>
          <w:szCs w:val="24"/>
        </w:rPr>
        <w:br w:type="page"/>
      </w:r>
    </w:p>
    <w:p w14:paraId="71B2AA2B" w14:textId="0E48E8D2" w:rsidR="00DA48F8" w:rsidRPr="00901194" w:rsidRDefault="00DA48F8" w:rsidP="00DA48F8">
      <w:pPr>
        <w:pStyle w:val="CaptionJH"/>
        <w:spacing w:line="240" w:lineRule="auto"/>
      </w:pPr>
      <w:bookmarkStart w:id="55" w:name="_Toc131186548"/>
      <w:r w:rsidRPr="00901194">
        <w:rPr>
          <w:b/>
          <w:bCs w:val="0"/>
        </w:rPr>
        <w:lastRenderedPageBreak/>
        <w:t>Figure 2</w:t>
      </w:r>
      <w:r w:rsidR="00F46DFA" w:rsidRPr="00901194">
        <w:rPr>
          <w:b/>
          <w:bCs w:val="0"/>
        </w:rPr>
        <w:t>.1:</w:t>
      </w:r>
      <w:r w:rsidRPr="00901194">
        <w:rPr>
          <w:b/>
          <w:bCs w:val="0"/>
        </w:rPr>
        <w:t xml:space="preserve"> Fecal metabolomic profiles follow an industrialization gradient</w:t>
      </w:r>
      <w:r w:rsidRPr="00901194">
        <w:t>.</w:t>
      </w:r>
      <w:bookmarkEnd w:id="55"/>
    </w:p>
    <w:p w14:paraId="5C0A00A2" w14:textId="706BAA21" w:rsidR="00615648" w:rsidRPr="00901194" w:rsidRDefault="00DA48F8" w:rsidP="00DD2EAA">
      <w:pPr>
        <w:spacing w:line="240" w:lineRule="auto"/>
        <w:rPr>
          <w:rFonts w:cs="Times New Roman"/>
          <w:i/>
          <w:iCs/>
        </w:rPr>
      </w:pPr>
      <w:r w:rsidRPr="00901194">
        <w:rPr>
          <w:rFonts w:cs="Times New Roman"/>
          <w:i/>
          <w:iCs/>
        </w:rPr>
        <w:t xml:space="preserve">Derived from analyses where sample size (n)=90. </w:t>
      </w:r>
      <w:r w:rsidRPr="00901194">
        <w:rPr>
          <w:rFonts w:cs="Times New Roman"/>
          <w:b/>
          <w:i/>
          <w:iCs/>
        </w:rPr>
        <w:t>a</w:t>
      </w:r>
      <w:r w:rsidRPr="00901194">
        <w:rPr>
          <w:rFonts w:cs="Times New Roman"/>
          <w:i/>
          <w:iCs/>
        </w:rPr>
        <w:t xml:space="preserve">, Sampling sites. Star on tan background: Norman (n=18); Circle on green background: Guayabo (n=12); Square on green background: Tambo de Mora (n=14); Triangle on green background: Tunapuco (n=24); Oval on green background: approximate Matses location (n=11); Star on a blue background: Boulkiemdé (n=11). Specific Matses location left unmarked due to privacy concerns. </w:t>
      </w:r>
      <w:r w:rsidRPr="00901194">
        <w:rPr>
          <w:rFonts w:cs="Times New Roman"/>
          <w:b/>
          <w:i/>
          <w:iCs/>
        </w:rPr>
        <w:t>b</w:t>
      </w:r>
      <w:r w:rsidRPr="00901194">
        <w:rPr>
          <w:rFonts w:cs="Times New Roman"/>
          <w:i/>
          <w:iCs/>
        </w:rPr>
        <w:t xml:space="preserve">, Principal coordinate analysis (Canberra distance metric) depicts industrialization gradient. Colored by industrialization category and shape-coded by population. Population samples stored in freezer within one day of collection (Norman and Boulkiemdé) are increased in size compared to samples stored within four days of collection (all Peruvian samples—Guayabo, Tambo de Mora, Tunapuco, and Matses). </w:t>
      </w:r>
      <w:r w:rsidRPr="00901194">
        <w:rPr>
          <w:rFonts w:cs="Times New Roman"/>
          <w:b/>
          <w:i/>
          <w:iCs/>
        </w:rPr>
        <w:t>c-h</w:t>
      </w:r>
      <w:r w:rsidRPr="00901194">
        <w:rPr>
          <w:rFonts w:cs="Times New Roman"/>
          <w:i/>
          <w:iCs/>
        </w:rPr>
        <w:t xml:space="preserve">, boxplot axis numbers represent different industrialization groups: 1=urban industrial, 2=rural industrial, 3=rural traditional, 4=isolated traditional. </w:t>
      </w:r>
      <w:r w:rsidRPr="00901194">
        <w:rPr>
          <w:rFonts w:cs="Times New Roman"/>
          <w:b/>
          <w:i/>
          <w:iCs/>
        </w:rPr>
        <w:t>c</w:t>
      </w:r>
      <w:r w:rsidRPr="00901194">
        <w:rPr>
          <w:rFonts w:cs="Times New Roman"/>
          <w:i/>
          <w:iCs/>
        </w:rPr>
        <w:t xml:space="preserve">, Calculated Canberra distances follow an industrialization gradient. Colored by industrialization category. Color key from b applies to c-h. </w:t>
      </w:r>
      <w:r w:rsidRPr="00901194">
        <w:rPr>
          <w:rFonts w:cs="Times New Roman"/>
          <w:b/>
          <w:i/>
          <w:iCs/>
        </w:rPr>
        <w:t>d-e</w:t>
      </w:r>
      <w:r w:rsidRPr="00901194">
        <w:rPr>
          <w:rFonts w:cs="Times New Roman"/>
          <w:i/>
          <w:iCs/>
        </w:rPr>
        <w:t xml:space="preserve">, Normalized abundances of representative features identified by random forest differing by industrialization category: </w:t>
      </w:r>
      <w:r w:rsidRPr="00901194">
        <w:rPr>
          <w:rFonts w:cs="Times New Roman"/>
          <w:b/>
          <w:i/>
          <w:iCs/>
        </w:rPr>
        <w:t>d</w:t>
      </w:r>
      <w:r w:rsidRPr="00901194">
        <w:rPr>
          <w:rFonts w:cs="Times New Roman"/>
          <w:i/>
          <w:iCs/>
        </w:rPr>
        <w:t xml:space="preserve">,  Leucyl-leucine (leu-leu), associated with non-industrialized populations. m/z 245.186; RT 3.27 min. </w:t>
      </w:r>
      <w:r w:rsidRPr="00901194">
        <w:rPr>
          <w:rFonts w:cs="Times New Roman"/>
          <w:b/>
          <w:i/>
          <w:iCs/>
        </w:rPr>
        <w:t>e</w:t>
      </w:r>
      <w:r w:rsidRPr="00901194">
        <w:rPr>
          <w:rFonts w:cs="Times New Roman"/>
          <w:i/>
          <w:iCs/>
        </w:rPr>
        <w:t xml:space="preserve">,  Urobilin, associated with industrialized populations. m/z 591.318; RT 4.16 min. </w:t>
      </w:r>
      <w:r w:rsidRPr="00901194">
        <w:rPr>
          <w:rFonts w:cs="Times New Roman"/>
          <w:b/>
          <w:i/>
          <w:iCs/>
        </w:rPr>
        <w:t>f-h</w:t>
      </w:r>
      <w:r w:rsidRPr="00901194">
        <w:rPr>
          <w:rFonts w:cs="Times New Roman"/>
          <w:i/>
          <w:iCs/>
        </w:rPr>
        <w:t xml:space="preserve">, Normalized abundances of amino acid-conjugated bile acids depict an industrialization gradient: </w:t>
      </w:r>
      <w:r w:rsidRPr="00901194">
        <w:rPr>
          <w:rFonts w:cs="Times New Roman"/>
          <w:b/>
          <w:i/>
          <w:iCs/>
        </w:rPr>
        <w:t>f</w:t>
      </w:r>
      <w:r w:rsidRPr="00901194">
        <w:rPr>
          <w:rFonts w:cs="Times New Roman"/>
          <w:i/>
          <w:iCs/>
        </w:rPr>
        <w:t xml:space="preserve">, Tryptophan-conjugated chenodeoxycholic acid (CHDCA). m/z 591.381; RT 6.07 min.  </w:t>
      </w:r>
      <w:r w:rsidRPr="00901194">
        <w:rPr>
          <w:rFonts w:cs="Times New Roman"/>
          <w:b/>
          <w:i/>
          <w:iCs/>
        </w:rPr>
        <w:t>g</w:t>
      </w:r>
      <w:r w:rsidRPr="00901194">
        <w:rPr>
          <w:rFonts w:cs="Times New Roman"/>
          <w:i/>
          <w:iCs/>
        </w:rPr>
        <w:t xml:space="preserve">, Phenylalanocholic acid. m/z 556.36; RT 5.57 min. </w:t>
      </w:r>
      <w:r w:rsidRPr="00901194">
        <w:rPr>
          <w:rFonts w:cs="Times New Roman"/>
          <w:b/>
          <w:i/>
          <w:iCs/>
        </w:rPr>
        <w:t>h</w:t>
      </w:r>
      <w:r w:rsidRPr="00901194">
        <w:rPr>
          <w:rFonts w:cs="Times New Roman"/>
          <w:i/>
          <w:iCs/>
        </w:rPr>
        <w:t>, Leucocholic acid. m/z 522.353; RT 5.38 min.</w:t>
      </w:r>
    </w:p>
    <w:p w14:paraId="28FCC20F" w14:textId="77777777" w:rsidR="00DA48F8" w:rsidRPr="00901194" w:rsidRDefault="00DA48F8" w:rsidP="00EE1306">
      <w:pPr>
        <w:ind w:firstLine="720"/>
        <w:rPr>
          <w:rFonts w:cs="Times New Roman"/>
          <w:szCs w:val="24"/>
        </w:rPr>
      </w:pPr>
    </w:p>
    <w:p w14:paraId="26623E1B" w14:textId="1630DC6A" w:rsidR="00EE1306" w:rsidRPr="00901194" w:rsidRDefault="00EE1306" w:rsidP="001B7FD1">
      <w:pPr>
        <w:ind w:firstLine="720"/>
        <w:rPr>
          <w:rFonts w:cs="Times New Roman"/>
          <w:szCs w:val="24"/>
        </w:rPr>
      </w:pPr>
      <w:r w:rsidRPr="00901194">
        <w:rPr>
          <w:rFonts w:cs="Times New Roman"/>
          <w:szCs w:val="24"/>
        </w:rPr>
        <w:t>To determine the factors driving this clustering of metabolite profiles by industrialization degree, we employed a random forest machine learning algorithm applied to the top 1,000 most abundant metabolite features in our data set</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Liaw","given":"Andy","non-dropping-particle":"","parse-names":false,"suffix":""},{"dropping-particle":"","family":"Wiener","given":"Matthew","non-dropping-particle":"","parse-names":false,"suffix":""}],"container-title":"R News","id":"ITEM-1","issue":"3","issued":{"date-parts":[["2002"]]},"page":"18-22","title":"Classification and Regression by RandomForest","type":"article-journal","volume":"3"},"uris":["http://www.mendeley.com/documents/?uuid=7133899a-3178-4ae6-9925-64b64059fd27"]}],"mendeley":{"formattedCitation":"&lt;sup&gt;127&lt;/sup&gt;","plainTextFormattedCitation":"127","previouslyFormattedCitation":"&lt;sup&gt;127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127</w:t>
      </w:r>
      <w:r w:rsidRPr="00901194">
        <w:rPr>
          <w:rFonts w:cs="Times New Roman"/>
          <w:szCs w:val="24"/>
        </w:rPr>
        <w:fldChar w:fldCharType="end"/>
      </w:r>
      <w:r w:rsidRPr="00901194">
        <w:rPr>
          <w:rFonts w:cs="Times New Roman"/>
          <w:szCs w:val="24"/>
        </w:rPr>
        <w:t xml:space="preserve"> (Table </w:t>
      </w:r>
      <w:r w:rsidR="00AF72E9" w:rsidRPr="00901194">
        <w:rPr>
          <w:rFonts w:cs="Times New Roman"/>
          <w:szCs w:val="24"/>
        </w:rPr>
        <w:t>2.</w:t>
      </w:r>
      <w:r w:rsidRPr="00901194">
        <w:rPr>
          <w:rFonts w:cs="Times New Roman"/>
          <w:szCs w:val="24"/>
        </w:rPr>
        <w:t>2; Figure S2</w:t>
      </w:r>
      <w:r w:rsidR="00AF72E9" w:rsidRPr="00901194">
        <w:rPr>
          <w:rFonts w:cs="Times New Roman"/>
          <w:szCs w:val="24"/>
        </w:rPr>
        <w:t>.2</w:t>
      </w:r>
      <w:r w:rsidRPr="00901194">
        <w:rPr>
          <w:rFonts w:cs="Times New Roman"/>
          <w:szCs w:val="24"/>
        </w:rPr>
        <w:t>a-ad). After applying a variable importance cutoff &gt;1.3 to subset the most differential metabolite features, 377 features remained for annotation. A total of 163 (43.1%) metabolite features had compound-level annotations according to the metabolomics standards initiative</w:t>
      </w:r>
      <w:r w:rsidRPr="00901194">
        <w:rPr>
          <w:rFonts w:cs="Times New Roman"/>
          <w:szCs w:val="24"/>
        </w:rPr>
        <w:fldChar w:fldCharType="begin" w:fldLock="1"/>
      </w:r>
      <w:r w:rsidR="000A1931" w:rsidRPr="00901194">
        <w:rPr>
          <w:rFonts w:cs="Times New Roman"/>
          <w:szCs w:val="24"/>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41</w:t>
      </w:r>
      <w:r w:rsidRPr="00901194">
        <w:rPr>
          <w:rFonts w:cs="Times New Roman"/>
          <w:szCs w:val="24"/>
        </w:rPr>
        <w:fldChar w:fldCharType="end"/>
      </w:r>
      <w:r w:rsidRPr="00901194">
        <w:rPr>
          <w:rFonts w:cs="Times New Roman"/>
          <w:szCs w:val="24"/>
        </w:rPr>
        <w:t>. Random forest annotations included glycyl-phenylalanine (mass-to-charge ratio (</w:t>
      </w:r>
      <w:r w:rsidRPr="00901194">
        <w:rPr>
          <w:rFonts w:cs="Times New Roman"/>
          <w:i/>
          <w:iCs/>
          <w:szCs w:val="24"/>
        </w:rPr>
        <w:t>m/z)</w:t>
      </w:r>
      <w:r w:rsidRPr="00901194">
        <w:rPr>
          <w:rFonts w:cs="Times New Roman"/>
          <w:szCs w:val="24"/>
        </w:rPr>
        <w:t>: 223.108; retention time (RT): 0.38 min; amino acid dipeptide composed of glycine and phenylalanine), piperine (</w:t>
      </w:r>
      <w:r w:rsidRPr="00901194">
        <w:rPr>
          <w:rFonts w:cs="Times New Roman"/>
          <w:i/>
          <w:iCs/>
          <w:szCs w:val="24"/>
        </w:rPr>
        <w:t>m/</w:t>
      </w:r>
      <w:r w:rsidRPr="00901194">
        <w:rPr>
          <w:rFonts w:cs="Times New Roman"/>
          <w:szCs w:val="24"/>
        </w:rPr>
        <w:t>z: 286.144; RT: 5.45 min; plant metabolite common to pepper plants</w:t>
      </w:r>
      <w:r w:rsidRPr="00901194">
        <w:rPr>
          <w:rFonts w:cs="Times New Roman"/>
          <w:szCs w:val="24"/>
        </w:rPr>
        <w:fldChar w:fldCharType="begin" w:fldLock="1"/>
      </w:r>
      <w:r w:rsidR="000A1931" w:rsidRPr="00901194">
        <w:rPr>
          <w:rFonts w:cs="Times New Roman"/>
          <w:szCs w:val="24"/>
        </w:rPr>
        <w:instrText>ADDIN CSL_CITATION {"citationItems":[{"id":"ITEM-1","itemData":{"DOI":"10.1002/ptr.4972","ISSN":"0951418X","PMID":"23625885","abstract":"Black pepper (Piper nigrum L.) is a very widely used spice, known for its pungent constituent piperine. However, in addition to its culinary uses, pepper has important medicinal and preservative properties, and, more recently, piperine has been shown to have fundamental effects on p-glycoprotein and many enzyme systems, leading to biotransformative effects including chemoprevention, detoxification, and enhancement of the absorption and bioavailability of herbal and conventional drugs. Based on modern cell, animal, and human studies, piperine has been found to have immunomodulatory, anti-oxidant, anti-asthmatic, anti-carcinogenic, anti-inflammatory, anti-ulcer, and anti-amoebic properties. In this review, the chemical constituents, biological activities, effects of processing, and future potential of black pepper and piperine have been discussed thoroughly. Copyright © 2013 John Wiley &amp; Sons, Ltd.","author":[{"dropping-particle":"","family":"Meghwal","given":"Murlidhar","non-dropping-particle":"","parse-names":false,"suffix":""},{"dropping-particle":"","family":"Goswami","given":"T. K.","non-dropping-particle":"","parse-names":false,"suffix":""}],"container-title":"Phytotherapy Research","id":"ITEM-1","issue":"8","issued":{"date-parts":[["2013"]]},"page":"1121-1130","title":"Piper nigrum and piperine: An update","type":"article-journal","volume":"27"},"uris":["http://www.mendeley.com/documents/?uuid=f0c7c249-ca2c-4e13-bc20-b2dc91f96e1b"]}],"mendeley":{"formattedCitation":"&lt;sup&gt;134&lt;/sup&gt;","plainTextFormattedCitation":"134","previouslyFormattedCitation":"&lt;sup&gt;134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134</w:t>
      </w:r>
      <w:r w:rsidRPr="00901194">
        <w:rPr>
          <w:rFonts w:cs="Times New Roman"/>
          <w:szCs w:val="24"/>
        </w:rPr>
        <w:fldChar w:fldCharType="end"/>
      </w:r>
      <w:r w:rsidRPr="00901194">
        <w:rPr>
          <w:rFonts w:cs="Times New Roman"/>
          <w:szCs w:val="24"/>
        </w:rPr>
        <w:t>), and isoleucylproline (</w:t>
      </w:r>
      <w:r w:rsidRPr="00901194">
        <w:rPr>
          <w:rFonts w:cs="Times New Roman"/>
          <w:i/>
          <w:iCs/>
          <w:szCs w:val="24"/>
        </w:rPr>
        <w:t>m/</w:t>
      </w:r>
      <w:r w:rsidRPr="00901194">
        <w:rPr>
          <w:rFonts w:cs="Times New Roman"/>
          <w:szCs w:val="24"/>
        </w:rPr>
        <w:t>z: 228.155; RT: 0.77 min; amino acid dipeptide detected in human urine</w:t>
      </w:r>
      <w:r w:rsidRPr="00901194">
        <w:rPr>
          <w:rFonts w:cs="Times New Roman"/>
          <w:szCs w:val="24"/>
        </w:rPr>
        <w:fldChar w:fldCharType="begin" w:fldLock="1"/>
      </w:r>
      <w:r w:rsidR="000A1931" w:rsidRPr="00901194">
        <w:rPr>
          <w:rFonts w:cs="Times New Roman"/>
          <w:szCs w:val="24"/>
        </w:rPr>
        <w:instrText>ADDIN CSL_CITATION {"citationItems":[{"id":"ITEM-1","itemData":{"DOI":"10.1016/S0378-4347(00)83503-3","ISSN":"03784347","abstract":"Fractions of dipeptides, obtained from human urine by a combination of cation-exchange chromatography, ligand-exchange chromatography and reversed-phase chromatography, were transformed into their N-heptafluorobutyryl methyl ester derivatives and then subjected to capillary gas chromatography. The profiles obtained indicate the presence of many dipeptides in human urine. For the first time, α-Asp-Hyp, Pro-Phe and γ-Glu-Phe were detected in the urine of healthy individuals. © 1986.","author":[{"dropping-particle":"","family":"Jandke","given":"Joachim","non-dropping-particle":"","parse-names":false,"suffix":""},{"dropping-particle":"","family":"Spiteller","given":"Gerhard","non-dropping-particle":"","parse-names":false,"suffix":""}],"container-title":"Journal of Chromatography B: Biomedical Sciences and Applications","id":"ITEM-1","issued":{"date-parts":[["1986"]]},"page":"39-45","title":"Dipeptide analysis in human urine","type":"article-journal","volume":"382"},"uris":["http://www.mendeley.com/documents/?uuid=fadebeda-8c81-46fe-95fd-45d43f2e70c5"]},{"id":"ITEM-2","itemData":{"DOI":"10.1002/bmc.1631","ISSN":"02693879","PMID":"21465502","abstract":"Asthma is a heterogeneous disorder and one of the most common chronic childhood diseases. An improved characterization of asthma phenotypes would be invaluable for the understanding of the pathogenic mechanisms and the correct treatment of this disease. The aim of this pilot study was to explore the potential of metabolomics applied to urine samples in characterizing asthma, and to identify the most representative metabolites. Urine samples of 41 atopic asthmatic children (further subdivided in sub-groups according to the symptoms) and 12 age-matched controls were analyzed. Untargeted metabolic profiles were collected by LC-MS, and studied by multivariate analysis. The group of the asthmatics was differentiated by a model that proved to be uncorrelated with the chronic assumption of controller drugs on the part of the patients. The distinct sub-groups were also appropriately modeled. Further investigations revealed a reduced excretion of urocanic acid, methyl-imidazoleacetic acid and a metabolite resembling the structure of an Ile-Pro fragment in the asthmatics. The meaning of these findings was discussed and mainly correlated with the modulation of immunity in asthma. Metabolic profiles from urines have revealed the potential to characterize asthma and enabled the identification of metabolites that may have a role in the underlying inflammation. Copyright © 2011 John Wiley &amp; Sons, Ltd.","author":[{"dropping-particle":"","family":"Mattarucchi","given":"Elia","non-dropping-particle":"","parse-names":false,"suffix":""},{"dropping-particle":"","family":"Baraldi","given":"Eugenio","non-dropping-particle":"","parse-names":false,"suffix":""},{"dropping-particle":"","family":"Guillou","given":"Claude","non-dropping-particle":"","parse-names":false,"suffix":""}],"container-title":"Biomedical Chromatography","id":"ITEM-2","issue":"1","issued":{"date-parts":[["2011"]]},"page":"89-94","title":"Metabolomics applied to urine samples in childhood asthma; differentiation between asthma phenotypes and identification of relevant metabolites","type":"article-journal","volume":"26"},"uris":["http://www.mendeley.com/documents/?uuid=04cc9788-337f-4607-aafe-427d51838903"]}],"mendeley":{"formattedCitation":"&lt;sup&gt;135,136&lt;/sup&gt;","plainTextFormattedCitation":"135,136","previouslyFormattedCitation":"&lt;sup&gt;135,136&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135,136</w:t>
      </w:r>
      <w:r w:rsidRPr="00901194">
        <w:rPr>
          <w:rFonts w:cs="Times New Roman"/>
          <w:szCs w:val="24"/>
        </w:rPr>
        <w:fldChar w:fldCharType="end"/>
      </w:r>
      <w:r w:rsidRPr="00901194">
        <w:rPr>
          <w:rFonts w:cs="Times New Roman"/>
          <w:szCs w:val="24"/>
        </w:rPr>
        <w:t>). When examining the most differential features, two noteworthy annotations were leucyl-leucine (</w:t>
      </w:r>
      <w:r w:rsidRPr="00901194">
        <w:rPr>
          <w:rFonts w:cs="Times New Roman"/>
          <w:i/>
          <w:iCs/>
          <w:szCs w:val="24"/>
        </w:rPr>
        <w:t>m/z</w:t>
      </w:r>
      <w:r w:rsidRPr="00901194">
        <w:rPr>
          <w:rFonts w:cs="Times New Roman"/>
          <w:szCs w:val="24"/>
        </w:rPr>
        <w:t>:</w:t>
      </w:r>
      <w:r w:rsidRPr="00901194">
        <w:rPr>
          <w:rFonts w:cs="Times New Roman"/>
          <w:i/>
          <w:iCs/>
          <w:szCs w:val="24"/>
        </w:rPr>
        <w:t xml:space="preserve"> </w:t>
      </w:r>
      <w:r w:rsidRPr="00901194">
        <w:rPr>
          <w:rFonts w:cs="Times New Roman"/>
          <w:szCs w:val="24"/>
        </w:rPr>
        <w:t xml:space="preserve">245.186; RT: 3.27 </w:t>
      </w:r>
      <w:r w:rsidRPr="00901194">
        <w:rPr>
          <w:rFonts w:cs="Times New Roman"/>
          <w:szCs w:val="24"/>
        </w:rPr>
        <w:lastRenderedPageBreak/>
        <w:t>min; Kruskal-Wallis p=8.73e-09) and urobilin (</w:t>
      </w:r>
      <w:r w:rsidRPr="00901194">
        <w:rPr>
          <w:rFonts w:cs="Times New Roman"/>
          <w:i/>
          <w:iCs/>
          <w:szCs w:val="24"/>
        </w:rPr>
        <w:t>m/z</w:t>
      </w:r>
      <w:r w:rsidRPr="00901194">
        <w:rPr>
          <w:rFonts w:cs="Times New Roman"/>
          <w:szCs w:val="24"/>
        </w:rPr>
        <w:t xml:space="preserve">: 591.318; RT: 4.52 min; Kruskal-Wallis p=4.45e-07). Leucyl-leucine (leu-leu) abundance was most associated with non-industrial populations, while urobilin abundance was strongly associated with industrialized populations (Figure </w:t>
      </w:r>
      <w:r w:rsidR="00D22FED" w:rsidRPr="00901194">
        <w:rPr>
          <w:rFonts w:cs="Times New Roman"/>
          <w:szCs w:val="24"/>
        </w:rPr>
        <w:t>2.</w:t>
      </w:r>
      <w:r w:rsidRPr="00901194">
        <w:rPr>
          <w:rFonts w:cs="Times New Roman"/>
          <w:szCs w:val="24"/>
        </w:rPr>
        <w:t>1d-e). Leu-leu is a common leucine dipeptide that has not been mentioned in previous industrialization-focused studies of human fecal metabolomes. However, increased abundance of leucine was noted in fecal metabolomes of urban Nigerian adults as compared to rural adults</w:t>
      </w:r>
      <w:r w:rsidRPr="00901194">
        <w:rPr>
          <w:rFonts w:cs="Times New Roman"/>
          <w:szCs w:val="24"/>
        </w:rPr>
        <w:fldChar w:fldCharType="begin" w:fldLock="1"/>
      </w:r>
      <w:r w:rsidR="000A1931" w:rsidRPr="00901194">
        <w:rPr>
          <w:rFonts w:cs="Times New Roman"/>
          <w:szCs w:val="24"/>
        </w:rPr>
        <w:instrText>ADDIN CSL_CITATION {"citationItems":[{"id":"ITEM-1","itemData":{"DOI":"10.1016/j.celrep.2018.05.018","ISSN":"22111247","abstract":"We assessed the subsistence-related variation of the human gut microbiome at a fine resolution for two of the main dimensions of microbiome variation, age and geography. For this, we investigated the fecal microbiome and metabolome in rural Bassa and urbanized individuals from Nigeria, including infants, and compared data with worldwide populations practicing varying subsistence. Our data highlight specific microbiome traits that are progressively lost with urbanization, such as the dominance of pristine fiber degraders and the low inter-individual variation. For the Bassa, this last feature is the result of their subsistence-related practices favoring microbial dispersal, such as their extensive environmental contact and the usage of untreated waters from the Usuma River. The high degree of microbial dispersal observed in the Bassa meta-community nullifies the differences between infant and adult intestinal ecosystems, suggesting that the infant-type microbiome in Western populations could be the result of microbiome-associated neotenic traits favored by urbanization. Ayeni et al. characterize the fecal microbiome and metabolome of rural Bassa and urban individuals from Nigeria, including infants. Their findings stress the loss of ancient signatures along with urbanization and support distinct trajectories of development of the intestinal ecosystem in early life, depending on human subsistence.","author":[{"dropping-particle":"","family":"Ayeni","given":"Funmilola A.","non-dropping-particle":"","parse-names":false,"suffix":""},{"dropping-particle":"","family":"Biagi","given":"Elena","non-dropping-particle":"","parse-names":false,"suffix":""},{"dropping-particle":"","family":"Rampelli","given":"Simone","non-dropping-particle":"","parse-names":false,"suffix":""},{"dropping-particle":"","family":"Fiori","given":"Jessica","non-dropping-particle":"","parse-names":false,"suffix":""},{"dropping-particle":"","family":"Soverini","given":"Matteo","non-dropping-particle":"","parse-names":false,"suffix":""},{"dropping-particle":"","family":"Audu","given":"Haruna J.","non-dropping-particle":"","parse-names":false,"suffix":""},{"dropping-particle":"","family":"Cristino","given":"Sandra","non-dropping-particle":"","parse-names":false,"suffix":""},{"dropping-particle":"","family":"Caporali","given":"Leonardo","non-dropping-particle":"","parse-names":false,"suffix":""},{"dropping-particle":"","family":"Schnorr","given":"Stephanie L.","non-dropping-particle":"","parse-names":false,"suffix":""},{"dropping-particle":"","family":"Carelli","given":"Valerio","non-dropping-particle":"","parse-names":false,"suffix":""},{"dropping-particle":"","family":"Brigidi","given":"Patrizia","non-dropping-particle":"","parse-names":false,"suffix":""},{"dropping-particle":"","family":"Candela","given":"Marco","non-dropping-particle":"","parse-names":false,"suffix":""},{"dropping-particle":"","family":"Turroni","given":"Silvia","non-dropping-particle":"","parse-names":false,"suffix":""}],"container-title":"Cell Reports","id":"ITEM-1","issue":"10","issued":{"date-parts":[["2018"]]},"note":"Summary: Microbiome and metabolome analyses of rural Bassa and urban individuals from Nigeria, including infants. Identnfied specific microbiome and metabolomic traits lost with urbanization (Bassa infants and adults have similar mbms and mtbms). Aso compared with other populations' data from different geographies. Linked specific mbm and mtbm losses/differences to different lifestyle elements (rural/western-mixed diets, local remedies/antibiotics, supplemented/exclusive breastfeeding, river/potable water, sanitation)\n\nBassa = rural. 18 Bassa; 30 urban Nigerians. Did not record age of Bassa and did not record sex.\nFocused on pops that are geographically similar -- the urban groups live near the Bassa but practice a western lifestyle\n\nDid not record age (for Bassa), but did some basic age-based results of microbial abundance, which seems strange to me\n\nAlso examined microbial community of Usuma River (bassa water source)\n\nAlso used data from other projects to compare with theirt microbial data -- so they compare Bassa, urban, Hadza, Malawi rural, Venezuela rural, urban Italy, and urban USA","page":"3056-3067","publisher":"ElsevierCompany.","title":"Infant and Adult Gut Microbiome and Metabolome in Rural Bassa and Urban Settlers from Nigeria","type":"article-journal","volume":"23"},"uris":["http://www.mendeley.com/documents/?uuid=07e226d8-54b7-4856-bb55-95d8a8e91dae"]}],"mendeley":{"formattedCitation":"&lt;sup&gt;48&lt;/sup&gt;","plainTextFormattedCitation":"48","previouslyFormattedCitation":"&lt;sup&gt;48&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48</w:t>
      </w:r>
      <w:r w:rsidRPr="00901194">
        <w:rPr>
          <w:rFonts w:cs="Times New Roman"/>
          <w:szCs w:val="24"/>
        </w:rPr>
        <w:fldChar w:fldCharType="end"/>
      </w:r>
      <w:r w:rsidRPr="00901194">
        <w:rPr>
          <w:rFonts w:cs="Times New Roman"/>
          <w:szCs w:val="24"/>
        </w:rPr>
        <w:t>, contrasting with the non-industrial association of leu-leu in our data. The second annotated differential metabolite feature, urobilin, is formed from the metabolic breakdown of hemoglobin</w:t>
      </w:r>
      <w:r w:rsidRPr="00901194">
        <w:rPr>
          <w:rFonts w:cs="Times New Roman"/>
          <w:szCs w:val="24"/>
        </w:rPr>
        <w:fldChar w:fldCharType="begin" w:fldLock="1"/>
      </w:r>
      <w:r w:rsidR="000A1931" w:rsidRPr="00901194">
        <w:rPr>
          <w:rFonts w:cs="Times New Roman"/>
          <w:szCs w:val="24"/>
        </w:rPr>
        <w:instrText>ADDIN CSL_CITATION {"citationItems":[{"id":"ITEM-1","itemData":{"DOI":"10.1039/b512858g","ISSN":"14640325","abstract":"Giving public water authorities another tool to monitor and measure levels of human waste contamination of waters simply and rapidly would enhance public protection. Most of the methods used today detect such contamination by quantifying microbes occurring in feces in high enough densities that they can be measured easily. However, most of these microbes, for example E. coli, do not serve as specific markers for any one host species and many can have origins other than feces. As an alternative, chemicals shed in feces and urine might be used to detect human waste contamination of environmental waters. One potential chemical marker of human waste is the compound urobilin. Urobilin is one of the final by-products of hemoglobin breakdown. Urobilin is excreted in both the urine and feces from many mammals, particularly humans. Source waters from 21 sites in New England, Nevada, and Michigan were extracted using hydrophilic-lipophilic balance (HLB) cartridges and then analyzed by high performance liquid chromatography-electrospray mass spectrometry (HPLC-ES-MS). As a marker of human waste, urobilin was detected in many of the source waters at concentrations ranging from not detectable to 300 ng L-1. Besides urobilin, azithromycin, an antibiotic widely prescribed for human use only in the US, was also detected in many of these waters, with concentrations ranging from not detectable to 77 ng L-1. This methodology, using both urobilin and azithromycin (or any other human-use pharmaceutical) could be used to give public water authorities a definitive method for tracing the sources of human waste contamination. The analysis and detection of urobilin in surface waters by HPLC-ES-MS has not been previously reported in the peer-reviewed literature. © The Royal Society of Chemistry 2006.","author":[{"dropping-particle":"","family":"Jones-Lepp","given":"T. L.","non-dropping-particle":"","parse-names":false,"suffix":""}],"container-title":"Journal of Environmental Monitoring","id":"ITEM-1","issue":"4","issued":{"date-parts":[["2006"]]},"note":"Urobilin source article","page":"472-478","title":"Chemical markers of human waste contamination: Analysis of urobilin and pharmaceuticals in source waters","type":"article-journal","volume":"8"},"uris":["http://www.mendeley.com/documents/?uuid=ca153e09-3b16-494a-be24-3724f326f78d"]}],"mendeley":{"formattedCitation":"&lt;sup&gt;137&lt;/sup&gt;","plainTextFormattedCitation":"137","previouslyFormattedCitation":"&lt;sup&gt;137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137</w:t>
      </w:r>
      <w:r w:rsidRPr="00901194">
        <w:rPr>
          <w:rFonts w:cs="Times New Roman"/>
          <w:szCs w:val="24"/>
        </w:rPr>
        <w:fldChar w:fldCharType="end"/>
      </w:r>
      <w:r w:rsidRPr="00901194">
        <w:rPr>
          <w:rFonts w:cs="Times New Roman"/>
          <w:szCs w:val="24"/>
        </w:rPr>
        <w:t>. While previous industrialization-focused fecal metabolomics studies did not report this metabolite, urobilin has been identified as a common metabolite in human urine and fecal metabolomes</w:t>
      </w:r>
      <w:r w:rsidRPr="00901194">
        <w:rPr>
          <w:rFonts w:cs="Times New Roman"/>
          <w:szCs w:val="24"/>
        </w:rPr>
        <w:fldChar w:fldCharType="begin" w:fldLock="1"/>
      </w:r>
      <w:r w:rsidR="000A1931" w:rsidRPr="00901194">
        <w:rPr>
          <w:rFonts w:cs="Times New Roman"/>
          <w:szCs w:val="24"/>
        </w:rPr>
        <w:instrText>ADDIN CSL_CITATION {"citationItems":[{"id":"ITEM-1","itemData":{"DOI":"10.1016/j.aca.2011.02.038","ISSN":"00032670","abstract":"Fecal metabolome of healthy humans and patients suffering from liver cirrhosis and hepatocellular carcinoma (HCC) were studied using ultra performance liquid chromatography coupled to quadrupole-time-of-flight mass spectrometry (UPLC/Q-TOF MS). Metabolic features detected by the method were then statistically treated using partial least squares to latent structure-discriminant analysis (PLS-DA) models to discriminate between healthy and diseased states. PLS-DA was also used to discriminate between cirrhosis and HCC stressed fecal metabolomes and to identify potential biomarkers for cirrhosis and HCC that are expressed at significantly different amounts in fecal metabolomes. Score plots of pattern recognition analysis distinguished liver cirrhosis and HCC patients from healthy humans. Based on the variable of importance in the project (VIP) values and S-plots, six metabolites were considered as potential biomarkers with a strong increase in lysophosphatidylcholines and a dramatic decrease in bile acids and bile pigments in patients with liver cirrhosis and HCC in comparison with healthy humans. Results demonstrate the potential of UPLC-MS as an efficient and convenient method that can be applied to screen fecal samples and aid in the early diagnosis of cirrhosis and hepatocellular carcinoma. © 2011 Elsevier B.V.","author":[{"dropping-particle":"","family":"Cao","given":"Hongcui","non-dropping-particle":"","parse-names":false,"suffix":""},{"dropping-particle":"","family":"Huang","given":"Haijun","non-dropping-particle":"","parse-names":false,"suffix":""},{"dropping-particle":"","family":"Xu","given":"Wei","non-dropping-particle":"","parse-names":false,"suffix":""},{"dropping-particle":"","family":"Chen","given":"Deying","non-dropping-particle":"","parse-names":false,"suffix":""},{"dropping-particle":"","family":"Yu","given":"Jiong","non-dropping-particle":"","parse-names":false,"suffix":""},{"dropping-particle":"","family":"Li","given":"Jun","non-dropping-particle":"","parse-names":false,"suffix":""},{"dropping-particle":"","family":"Li","given":"Lanjuan","non-dropping-particle":"","parse-names":false,"suffix":""}],"container-title":"Analytica Chimica Acta","id":"ITEM-1","issue":"1-2","issued":{"date-parts":[["2011"]]},"page":"68-75","publisher":"Elsevier B.V.","title":"Fecal metabolome profiling of liver cirrhosis and hepatocellular carcinoma patients by ultra performance liquid chromatography-mass spectrometry","type":"article-journal","volume":"691"},"uris":["http://www.mendeley.com/documents/?uuid=5f4f0db9-85b6-47ed-8eb4-77ec1266aa41"]},{"id":"ITEM-2","itemData":{"DOI":"10.1101/750471","abstract":"Metabolomics data are difficult to find and reuse, even in public repositories. We, therefore, developed the Reanalysis of Data User (ReDU) interface (&lt;https://redu.ucsd.edu/&gt;), a community- and data-driven approach that solves this problem at the repository scale. ReDU enables public data discovery and co- or re-analysis via uniformly formatted, publicly available MS/MS data and metadata in the Global Natural Product Social Molecular Networking Platform (GNPS), consistent with findable, accessible, interoperable, and reusable (FAIR) principles.[1][1] [1]: #ref-1","author":[{"dropping-particle":"","family":"Jarmusch","given":"Alan K.","non-dropping-particle":"","parse-names":false,"suffix":""},{"dropping-particle":"","family":"Wang","given":"Mingxun","non-dropping-particle":"","parse-names":false,"suffix":""},{"dropping-particle":"","family":"Aceves","given":"Christine M.","non-dropping-particle":"","parse-names":false,"suffix":""},{"dropping-particle":"","family":"Advani","given":"Rohit S.","non-dropping-particle":"","parse-names":false,"suffix":""},{"dropping-particle":"","family":"Aguire","given":"Shaden","non-dropping-particle":"","parse-names":false,"suffix":""},{"dropping-particle":"","family":"Aksenov","given":"Alexander A.","non-dropping-particle":"","parse-names":false,"suffix":""},{"dropping-particle":"","family":"Aleti","given":"Gajender","non-dropping-particle":"","parse-names":false,"suffix":""},{"dropping-particle":"","family":"Aron","given":"Allegra T.","non-dropping-particle":"","parse-names":false,"suffix":""},{"dropping-particle":"","family":"Bauermeister","given":"Anelize","non-dropping-particle":"","parse-names":false,"suffix":""},{"dropping-particle":"","family":"Bolleddu","given":"Sanjana","non-dropping-particle":"","parse-names":false,"suffix":""},{"dropping-particle":"","family":"Bouslimani","given":"Amina","non-dropping-particle":"","parse-names":false,"suffix":""},{"dropping-particle":"","family":"Rodriguez","given":"Andres Mauricio Caraballo","non-dropping-particle":"","parse-names":false,"suffix":""},{"dropping-particle":"","family":"Chaar","given":"Rama","non-dropping-particle":"","parse-names":false,"suffix":""},{"dropping-particle":"","family":"Coras","given":"Roxana","non-dropping-particle":"","parse-names":false,"suffix":""},{"dropping-particle":"","family":"Elijah","given":"Emmanuel O.","non-dropping-particle":"","parse-names":false,"suffix":""},{"dropping-particle":"","family":"Ernst","given":"Madeleine","non-dropping-particle":"","parse-names":false,"suffix":""},{"dropping-particle":"","family":"Gauglitz","given":"Julia M.","non-dropping-particle":"","parse-names":false,"suffix":""},{"dropping-particle":"","family":"Gentry","given":"Emily C.","non-dropping-particle":"","parse-names":false,"suffix":""},{"dropping-particle":"","family":"Husband","given":"Makhai","non-dropping-particle":"","parse-names":false,"suffix":""},{"dropping-particle":"","family":"Jarmusch","given":"Scott A.","non-dropping-particle":"","parse-names":false,"suffix":""},{"dropping-particle":"","family":"Jones","given":"Kenneth L.","non-dropping-particle":"","parse-names":false,"suffix":""},{"dropping-particle":"","family":"Kamenik","given":"Zdenek","non-dropping-particle":"","parse-names":false,"suffix":""},{"dropping-particle":"Le","family":"Gouellec","given":"Audrey","non-dropping-particle":"","parse-names":false,"suffix":""},{"dropping-particle":"","family":"Lu","given":"Aileen","non-dropping-particle":"","parse-names":false,"suffix":""},{"dropping-particle":"","family":"McCall","given":"Laura-Isobel","non-dropping-particle":"","parse-names":false,"suffix":""},{"dropping-particle":"","family":"McPhail","given":"Kerry L.","non-dropping-particle":"","parse-names":false,"suffix":""},{"dropping-particle":"","family":"Meehan","given":"Michael J.","non-dropping-particle":"","parse-names":false,"suffix":""},{"dropping-particle":"V.","family":"Melnik","given":"Alexey","non-dropping-particle":"","parse-names":false,"suffix":""},{"dropping-particle":"","family":"Menezes","given":"Riya C.","non-dropping-particle":"","parse-names":false,"suffix":""},{"dropping-particle":"","family":"Giraldo","given":"Yessica Alejandra Montoya","non-dropping-particle":"","parse-names":false,"suffix":""},{"dropping-particle":"","family":"Nguyen","given":"Ngoc Hung","non-dropping-particle":"","parse-names":false,"suffix":""},{"dropping-particle":"","family":"Nothias","given":"Louis Felix","non-dropping-particle":"","parse-names":false,"suffix":""},{"dropping-particle":"","family":"Nothias-Esposito","given":"Mélissa","non-dropping-particle":"","parse-names":false,"suffix":""},{"dropping-particle":"","family":"Panitchpakdi","given":"Morgan","non-dropping-particle":"","parse-names":false,"suffix":""},{"dropping-particle":"","family":"Petras","given":"Daniel","non-dropping-particle":"","parse-names":false,"suffix":""},{"dropping-particle":"","family":"Quinn","given":"Robert","non-dropping-particle":"","parse-names":false,"suffix":""},{"dropping-particle":"","family":"Sikora","given":"Nicole","non-dropping-particle":"","parse-names":false,"suffix":""},{"dropping-particle":"van der","family":"Hooft","given":"Justin J.J.","non-dropping-particle":"","parse-names":false,"suffix":""},{"dropping-particle":"","family":"Vargas","given":"Fernando","non-dropping-particle":"","parse-names":false,"suffix":""},{"dropping-particle":"","family":"Vrbanac","given":"Alison","non-dropping-particle":"","parse-names":false,"suffix":""},{"dropping-particle":"","family":"Weldon","given":"Kelly","non-dropping-particle":"","parse-names":false,"suffix":""},{"dropping-particle":"","family":"Knight","given":"Rob","non-dropping-particle":"","parse-names":false,"suffix":""},{"dropping-particle":"","family":"Bandeira","given":"Nuno","non-dropping-particle":"","parse-names":false,"suffix":""},{"dropping-particle":"","family":"Dorrestein","given":"Pieter C.","non-dropping-particle":"","parse-names":false,"suffix":""}],"container-title":"bioRxiv","id":"ITEM-2","issued":{"date-parts":[["2019"]]},"note":"ReDU preprint -- cite this","page":"750471","title":"Repository-scale Co- and Re-analysis of Tandem Mass Spectrometry Data","type":"article-journal"},"uris":["http://www.mendeley.com/documents/?uuid=b6460689-cafb-458d-bbd7-9ff347777b25"]}],"mendeley":{"formattedCitation":"&lt;sup&gt;138,139&lt;/sup&gt;","plainTextFormattedCitation":"138,139","previouslyFormattedCitation":"&lt;sup&gt;138,139&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138,139</w:t>
      </w:r>
      <w:r w:rsidRPr="00901194">
        <w:rPr>
          <w:rFonts w:cs="Times New Roman"/>
          <w:szCs w:val="24"/>
        </w:rPr>
        <w:fldChar w:fldCharType="end"/>
      </w:r>
      <w:r w:rsidRPr="00901194">
        <w:rPr>
          <w:rFonts w:cs="Times New Roman"/>
          <w:szCs w:val="24"/>
        </w:rPr>
        <w:t>. Importantly, urobilin abundance is affected by host diet and behavior</w:t>
      </w:r>
      <w:r w:rsidRPr="00901194">
        <w:rPr>
          <w:rFonts w:cs="Times New Roman"/>
          <w:szCs w:val="24"/>
        </w:rPr>
        <w:fldChar w:fldCharType="begin" w:fldLock="1"/>
      </w:r>
      <w:r w:rsidR="000A1931" w:rsidRPr="00901194">
        <w:rPr>
          <w:rFonts w:cs="Times New Roman"/>
          <w:szCs w:val="24"/>
        </w:rPr>
        <w:instrText>ADDIN CSL_CITATION {"citationItems":[{"id":"ITEM-1","itemData":{"author":[{"dropping-particle":"","family":"Hill","given":"M J","non-dropping-particle":"","parse-names":false,"suffix":""}],"container-title":"Journal of Pathology","id":"ITEM-1","issue":"4","issued":{"date-parts":[["1971"]]},"page":"239-245","title":"The effect of some factors on the faecal concentration of acid steroids, neutral steroids and urobilins","type":"article-journal","volume":"104"},"uris":["http://www.mendeley.com/documents/?uuid=721e1fbd-3b8b-4e6a-ae26-2517202b9dfb"]}],"mendeley":{"formattedCitation":"&lt;sup&gt;140&lt;/sup&gt;","plainTextFormattedCitation":"140","previouslyFormattedCitation":"&lt;sup&gt;140&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140</w:t>
      </w:r>
      <w:r w:rsidRPr="00901194">
        <w:rPr>
          <w:rFonts w:cs="Times New Roman"/>
          <w:szCs w:val="24"/>
        </w:rPr>
        <w:fldChar w:fldCharType="end"/>
      </w:r>
      <w:r w:rsidRPr="00901194">
        <w:rPr>
          <w:rFonts w:cs="Times New Roman"/>
          <w:szCs w:val="24"/>
        </w:rPr>
        <w:t>, with increased abundance seen in populations consuming diets rich in animal fat, proteins, and carbohydrates</w:t>
      </w:r>
      <w:r w:rsidRPr="00901194">
        <w:rPr>
          <w:rFonts w:cs="Times New Roman"/>
          <w:szCs w:val="24"/>
        </w:rPr>
        <w:fldChar w:fldCharType="begin" w:fldLock="1"/>
      </w:r>
      <w:r w:rsidR="000A1931" w:rsidRPr="00901194">
        <w:rPr>
          <w:rFonts w:cs="Times New Roman"/>
          <w:szCs w:val="24"/>
        </w:rPr>
        <w:instrText>ADDIN CSL_CITATION {"citationItems":[{"id":"ITEM-1","itemData":{"DOI":"10.1038/s41598-019-45640-y","ISSN":"20452322","abstract":"Gut microbiome plays a vital role in human health. Human fecal and urine metabolome could provide a functional readout of gut microbial metabolism as well as its interaction with host and diet. However, this relationship still needs to be fully characterized. We established an untargeted GC-MS metabolomics method which enabled the detection of 122 and 86 metabolites including amino acids, phenolics, indoles, carbohydrates, sugars and metabolites of microbial origin from fecal and urine samples respectively. 41 compounds were confirmed using external standards. Next, we compared the fecal and urine metabolome of 16 healthy Indian and Chinese adults, ages 22–35 years, using a combined GC-MS and LC-MS approach. We showed dietary habit or ethnicity wise grouping of urine and fecal metabolite profiles of Indian and Chinese adults. Our analysis revealed 53 differentiating metabolites including higher abundance of amino acids and phenolics in Chinese and higher abundance of fatty acids, glycocholic acid, metabolites related to tryptophan metabolism in Indian adults. Correlation analysis showed a strong association of metabolites with gut bacterial profiles of the same subjects in the genus and species level. Thus, our results suggest that gut bacterial compositional changes could be eventually monitored and probed using a metabolomics approach.","author":[{"dropping-particle":"","family":"Jain","given":"Abhishek","non-dropping-particle":"","parse-names":false,"suffix":""},{"dropping-particle":"","family":"Li","given":"Xin Hui","non-dropping-particle":"","parse-names":false,"suffix":""},{"dropping-particle":"","family":"Chen","given":"Wei Ning","non-dropping-particle":"","parse-names":false,"suffix":""}],"container-title":"Scientific Reports","id":"ITEM-1","issue":"1","issued":{"date-parts":[["2019"]]},"page":"1-13","publisher":"Springer US","title":"An untargeted fecal and urine metabolomics analysis of the interplay between the gut microbiome, diet and human metabolism in Indian and Chinese adults","type":"article-journal","volume":"9"},"uris":["http://www.mendeley.com/documents/?uuid=6f5a1770-f399-4fa1-9786-50038c9196ae"]}],"mendeley":{"formattedCitation":"&lt;sup&gt;141&lt;/sup&gt;","plainTextFormattedCitation":"141","previouslyFormattedCitation":"&lt;sup&gt;141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141</w:t>
      </w:r>
      <w:r w:rsidRPr="00901194">
        <w:rPr>
          <w:rFonts w:cs="Times New Roman"/>
          <w:szCs w:val="24"/>
        </w:rPr>
        <w:fldChar w:fldCharType="end"/>
      </w:r>
      <w:r w:rsidRPr="00901194">
        <w:rPr>
          <w:rFonts w:cs="Times New Roman"/>
          <w:szCs w:val="24"/>
        </w:rPr>
        <w:t>, such as those seen in industrialized populations. Given the strong association between industrialization, diet, and the metabolome</w:t>
      </w:r>
      <w:r w:rsidRPr="00901194">
        <w:rPr>
          <w:rFonts w:cs="Times New Roman"/>
          <w:szCs w:val="24"/>
        </w:rPr>
        <w:fldChar w:fldCharType="begin" w:fldLock="1"/>
      </w:r>
      <w:r w:rsidR="000A1931" w:rsidRPr="00901194">
        <w:rPr>
          <w:rFonts w:cs="Times New Roman"/>
          <w:szCs w:val="24"/>
        </w:rPr>
        <w:instrText>ADDIN CSL_CITATION {"citationItems":[{"id":"ITEM-1","itemData":{"DOI":"10.1016/S0305-750X(99)00094-7","ISSN":"0305750X","abstract":"Broad shifts are occurring at a rapid pace in the structure of diet, physical activity patterns, and obesity patterns in urban areas in lower income countries. Examples from China and selected other countries along with pooled time-series and cross-sectional analysis of shifts in diet and occupation structure associated with urbanization are presented. Patterns of obesity from nationally representative surveys indicate that the problems of obesity and dietary excess represent an important challenge facing many lower income countries, particularly their urban populations.","author":[{"dropping-particle":"","family":"Popkin","given":"Barry M.","non-dropping-particle":"","parse-names":false,"suffix":""}],"container-title":"World Development","id":"ITEM-1","issue":"11","issued":{"date-parts":[["1999"]]},"page":"1905-1916","title":"Urbanization, lifestyle changes and the nutrition transition","type":"article-journal","volume":"27"},"uris":["http://www.mendeley.com/documents/?uuid=cca7825f-2c00-46dc-ae53-421b7dd7409e"]},{"id":"ITEM-2","itemData":{"DOI":"10.1039/C7FO01820G","author":[{"dropping-particle":"","family":"Requena","given":"T.","non-dropping-particle":"","parse-names":false,"suffix":""},{"dropping-particle":"","family":"Martínez-Cuesta","given":"M.C.","non-dropping-particle":"","parse-names":false,"suffix":""},{"dropping-particle":"","family":"Peláez","given":"C.","non-dropping-particle":"","parse-names":false,"suffix":""}],"container-title":"Food and Function","id":"ITEM-2","issue":"2","issued":{"date-parts":[["2018"]]},"page":"688-704","title":"Diet and microbiota linked in health and disease","type":"article-journal","volume":"9"},"uris":["http://www.mendeley.com/documents/?uuid=bd94aef4-9773-4e6b-8f01-ce9c47e02e6b"]},{"id":"ITEM-3","itemData":{"DOI":"10.1098/rstb.2010.0136","ISSN":"14712970","abstract":"This paper discusses the influences on food and farming of an increasingly urbanized world and a declining ratio of food producers to food consumers. Urbanization has been underpinned by the rapid growth in the world economy and in the proportion of gross world product and of workers in industrial and service enterprises. Globally, agriculture has met the demands from this rapidly growing urban population, including food that is more energy-, land-, water-and greenhouse gas emission-intensive. But hundreds of millions of urban dwellers suffer under-nutrition. So the key issues with regard to agriculture and urbanization are whether the growing and changing demands for agricultural products from growing urban populations can be sustained while at the same time underpinning agricultural prosperity and reducing rural and urban poverty. To this are added the need to reduce greenhouse gas emissions and to build resilience in agriculture and urban development to climate change impacts. The paper gives particular attention to low-and middle-income nations since these have more than three-quarters of the world's urban population and most of its largest cities and these include nations where issues of food security are most pressing. © 2010 The Royal Society.","author":[{"dropping-particle":"","family":"Satterthwaite","given":"David","non-dropping-particle":"","parse-names":false,"suffix":""},{"dropping-particle":"","family":"McGranahan","given":"Gordon","non-dropping-particle":"","parse-names":false,"suffix":""},{"dropping-particle":"","family":"Tacoli","given":"Cecilia","non-dropping-particle":"","parse-names":false,"suffix":""}],"container-title":"Philosophical Transactions of the Royal Society B: Biological Sciences","id":"ITEM-3","issue":"1554","issued":{"date-parts":[["2010"]]},"page":"2809-2820","title":"Urbanization and its implications for food and farming","type":"article-journal","volume":"365"},"uris":["http://www.mendeley.com/documents/?uuid=f378c6a8-f3a8-4de0-8e3c-74b948b627d5"]}],"mendeley":{"formattedCitation":"&lt;sup&gt;80,81,142&lt;/sup&gt;","plainTextFormattedCitation":"80,81,142","previouslyFormattedCitation":"&lt;sup&gt;80,81,142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80,81,142</w:t>
      </w:r>
      <w:r w:rsidRPr="00901194">
        <w:rPr>
          <w:rFonts w:cs="Times New Roman"/>
          <w:szCs w:val="24"/>
        </w:rPr>
        <w:fldChar w:fldCharType="end"/>
      </w:r>
      <w:r w:rsidRPr="00901194">
        <w:rPr>
          <w:rFonts w:cs="Times New Roman"/>
          <w:szCs w:val="24"/>
        </w:rPr>
        <w:t>, it is likely that some unannotated differential metabolite features represent dietary differences between our sampled populations. Meat and processed food consumption was most frequent in industrialized populations, suggesting that any potential dietary metabolites, such as urobilin, likely originate from these industrialized food sources. One such potential dietary source could be artificial sweeteners, which can strongly influence fecal metabolomes</w:t>
      </w:r>
      <w:r w:rsidRPr="00901194">
        <w:rPr>
          <w:rFonts w:cs="Times New Roman"/>
          <w:szCs w:val="24"/>
        </w:rPr>
        <w:fldChar w:fldCharType="begin" w:fldLock="1"/>
      </w:r>
      <w:r w:rsidR="000A1931" w:rsidRPr="00901194">
        <w:rPr>
          <w:rFonts w:cs="Times New Roman"/>
          <w:szCs w:val="24"/>
        </w:rPr>
        <w:instrText>ADDIN CSL_CITATION {"citationItems":[{"id":"ITEM-1","itemData":{"DOI":"10.3389/fgene.2019.00454","ISSN":"16648021","abstract":"The human microbiome has been associated with health status, and risk of disease development. While the etiology of microbiome-mediated disease remains to be fully elucidated, one mechanism may be through microbial metabolism. Metabolites produced by commensal organisms, including in response to host diet, may affect host metabolic processes, with potentially protective or pathogenic consequences. We conducted multi-omic phenotyping of healthy subjects (N = 136), in order to investigate the interaction between diet, the microbiome, and the metabolome in a cross-sectional sample. We analyzed the nutrient composition of self-reported diet (3-day food records and food frequency questionnaires). We profiled the gut and oral microbiome (16S rRNA) from stool and saliva, and applied metabolomic profiling to plasma and stool samples in a subset of individuals (N = 75). We analyzed these multi-omic data to investigate the relationship between diet, the microbiome, and the gut and circulating metabolome. On a global level, we observed significant relationships, particularly between long-term diet, the gut microbiome and the metabolome. Intake of plant-derived nutrients as well as consumption of artificial sweeteners were associated with significant differences in circulating metabolites, particularly bile acids, which were dependent on gut enterotype, indicating that microbiome composition mediates the effect of diet on host physiology. Our analysis identifies dietary compounds and phytochemicals that may modulate bacterial abundance within the gut and interact with microbiome composition to alter host metabolism.","author":[{"dropping-particle":"","family":"Tang","given":"Zheng Zheng","non-dropping-particle":"","parse-names":false,"suffix":""},{"dropping-particle":"","family":"Chen","given":"Guanhua","non-dropping-particle":"","parse-names":false,"suffix":""},{"dropping-particle":"","family":"Hong","given":"Qilin","non-dropping-particle":"","parse-names":false,"suffix":""},{"dropping-particle":"","family":"Huang","given":"Shi","non-dropping-particle":"","parse-names":false,"suffix":""},{"dropping-particle":"","family":"Smith","given":"Holly M.","non-dropping-particle":"","parse-names":false,"suffix":""},{"dropping-particle":"","family":"Shah","given":"Rachana D.","non-dropping-particle":"","parse-names":false,"suffix":""},{"dropping-particle":"","family":"Scholz","given":"Matthew","non-dropping-particle":"","parse-names":false,"suffix":""},{"dropping-particle":"","family":"Ferguson","given":"Jane F.","non-dropping-particle":"","parse-names":false,"suffix":""}],"container-title":"Frontiers in Genetics","id":"ITEM-1","issue":"MAY","issued":{"date-parts":[["2019"]]},"note":"Examines interaction b/w diet, microbiome, and metabolome. Found specific chemical groups (plant nutrients and artificial sweeteners) are associated with significant metabolite diffs, but are rooted in gut microbiome composition. Suggests that microbiome composition mediates the effects of diet on host physiology","title":"Multi-omic analysis of the microbiome and metabolome in healthy subjects reveals microbiome-dependent relationships between diet and metabolites","type":"article-journal","volume":"10"},"uris":["http://www.mendeley.com/documents/?uuid=8fbba7d0-277b-4aeb-8f78-11697a6600cb"]}],"mendeley":{"formattedCitation":"&lt;sup&gt;143&lt;/sup&gt;","plainTextFormattedCitation":"143","previouslyFormattedCitation":"&lt;sup&gt;143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143</w:t>
      </w:r>
      <w:r w:rsidRPr="00901194">
        <w:rPr>
          <w:rFonts w:cs="Times New Roman"/>
          <w:szCs w:val="24"/>
        </w:rPr>
        <w:fldChar w:fldCharType="end"/>
      </w:r>
      <w:r w:rsidRPr="00901194">
        <w:rPr>
          <w:rFonts w:cs="Times New Roman"/>
          <w:szCs w:val="24"/>
        </w:rPr>
        <w:t>. Additionally, the higher consumption of raw vegetable and fruit products in less industrialized communities such as the Matses would also likely drive metabolomic differences. Other potential industrialization-related sources for differential metabolites could include pharmaceuticals and built environment exposure</w:t>
      </w:r>
      <w:r w:rsidRPr="00901194">
        <w:rPr>
          <w:rFonts w:cs="Times New Roman"/>
          <w:szCs w:val="24"/>
        </w:rPr>
        <w:fldChar w:fldCharType="begin" w:fldLock="1"/>
      </w:r>
      <w:r w:rsidR="000A1931" w:rsidRPr="00901194">
        <w:rPr>
          <w:rFonts w:cs="Times New Roman"/>
          <w:szCs w:val="24"/>
        </w:rPr>
        <w:instrText>ADDIN CSL_CITATION {"citationItems":[{"id":"ITEM-1","itemData":{"DOI":"10.1007/s004840050075","ISSN":"00207128","abstract":"In industrialized countries about 90% of the time is spent indoors. The ambient parameters affecting indoor thermal comfort are air temperature and humidity, air velocity, and radiant heat exchange within an enclosure. In assessing the thermal environment, one needs to consider all ambient parameters, the insulating properties of the occupants' clothing, and the activity level of the occupants by means of heat balance models of the human body. Apart from thermal parameters, air quality (measured and perceived) is also of importance for well-being and health in indoor environments. Pollutant levels are influenced by both outdoor concentrations and by indoor emissions. Indoor levels can thus be lower (e.g. in the case of ozone and SO2) or higher (e.g. for CO2 and formaldehyde) than outdoor levels. Emissions from cooking play an important role, especially in developing countries. The humidity of the ambient air has a wide range of effects on the energy and water balance of the body as well as on elasticity, air quality perception, build-up of electrostatic charge and the formation or mould. However, its effect on the indoor climate is often overestimated. While air-handling systems are commonly used for achieving comfortable indoor climates, their use has also been linked to a variety of problems, some of which have received attention within the context of \"sick building syndrome\".","author":[{"dropping-particle":"","family":"Höppe","given":"Peter","non-dropping-particle":"","parse-names":false,"suffix":""},{"dropping-particle":"","family":"Martinac","given":"Ivo","non-dropping-particle":"","parse-names":false,"suffix":""}],"container-title":"International Journal of Biometeorology","id":"ITEM-1","issue":"1","issued":{"date-parts":[["1998"]]},"page":"1-7","title":"Indoor climate and air quality. Review of current and future topics in the field of ISB study group 10","type":"article-journal","volume":"42"},"uris":["http://www.mendeley.com/documents/?uuid=804286c7-c770-4b10-a809-26c788f70be3"]},{"id":"ITEM-2","itemData":{"DOI":"10.1038/s41564-019-0593-4","ISSN":"20585276","abstract":"Urbanization represents a profound shift in human behaviour, and has considerable cultural and health-associated consequences1,2. Here, we investigate chemical and microbial characteristics of houses and their human occupants across an urbanization gradient in the Amazon rainforest, from a remote Peruvian Amerindian village to the Brazilian city of Manaus. Urbanization was found to be associated with reduced microbial outdoor exposure, increased contact with housing materials, antimicrobials and cleaning products, and increased exposure to chemical diversity. The degree of urbanization correlated with changes in the composition of house bacterial and microeukaryotic communities, increased house and skin fungal diversity, and an increase in the relative abundance of human skin-associated fungi and bacteria in houses. Overall, our results indicate that urbanization has large-scale effects on chemical and microbial exposures and on the human microbiota.","author":[{"dropping-particle":"","family":"McCall","given":"Laura Isobel","non-dropping-particle":"","parse-names":false,"suffix":""},{"dropping-particle":"","family":"Callewaert","given":"Chris","non-dropping-particle":"","parse-names":false,"suffix":""},{"dropping-particle":"","family":"Zhu","given":"Qiyun","non-dropping-particle":"","parse-names":false,"suffix":""},{"dropping-particle":"","family":"Song","given":"Se Jin","non-dropping-particle":"","parse-names":false,"suffix":""},{"dropping-particle":"","family":"Bouslimani","given":"Amina","non-dropping-particle":"","parse-names":false,"suffix":""},{"dropping-particle":"","family":"Minich","given":"Jeremiah J.","non-dropping-particle":"","parse-names":false,"suffix":""},{"dropping-particle":"","family":"Ernst","given":"Madeleine","non-dropping-particle":"","parse-names":false,"suffix":""},{"dropping-particle":"","family":"Ruiz-Calderon","given":"Jean F.","non-dropping-particle":"","parse-names":false,"suffix":""},{"dropping-particle":"","family":"Cavallin","given":"Humberto","non-dropping-particle":"","parse-names":false,"suffix":""},{"dropping-particle":"","family":"Pereira","given":"Henrique S.","non-dropping-particle":"","parse-names":false,"suffix":""},{"dropping-particle":"","family":"Novoselac","given":"Atila","non-dropping-particle":"","parse-names":false,"suffix":""},{"dropping-particle":"","family":"Hernandez","given":"Jean","non-dropping-particle":"","parse-names":false,"suffix":""},{"dropping-particle":"","family":"Rios","given":"Rafael","non-dropping-particle":"","parse-names":false,"suffix":""},{"dropping-particle":"","family":"Branch","given":"Ora Lee H.","non-dropping-particle":"","parse-names":false,"suffix":""},{"dropping-particle":"","family":"Blaser","given":"Martin J.","non-dropping-particle":"","parse-names":false,"suffix":""},{"dropping-particle":"","family":"Paulino","given":"Luciana C.","non-dropping-particle":"","parse-names":false,"suffix":""},{"dropping-particle":"","family":"Dorrestein","given":"Pieter C.","non-dropping-particle":"","parse-names":false,"suffix":""},{"dropping-particle":"","family":"Knight","given":"Rob","non-dropping-particle":"","parse-names":false,"suffix":""},{"dropping-particle":"","family":"Dominguez-Bello","given":"Maria G.","non-dropping-particle":"","parse-names":false,"suffix":""}],"container-title":"Nature Microbiology","id":"ITEM-2","issued":{"date-parts":[["2020"]]},"note":"Sampling locations:\nChecherta (rainforest), Puerto Almendra (rural village), Iquitos (large town), Manaus (metropolis)","publisher":"Springer US","title":"Home chemical and microbial transitions across urbanization","type":"article-journal"},"uris":["http://www.mendeley.com/documents/?uuid=c13f061b-e8d3-4938-988f-68085fd8d78d"]},{"id":"ITEM-3","itemData":{"DOI":"10.1126/sciadv.1501061","ISSN":"23752548","abstract":"Westernization has propelled changes in urbanization and architecture, altering our exposure to the outdoor environment from that experienced during most of human evolution. These changes might affect the developmental exposure of infants to bacteria, immune development, and human microbiome diversity. Contemporary urban humans spend most of their time indoors, and little is known about the microbes associated with different designs of the built environment and their interaction with the human immune system. This study addresses the associations between architectural design and the microbial biogeography of households across a gradient of urbanization in South America. Urbanization was associated with households' increased isolation from outdoor environments, with additional indoor space isolation by walls. Microbes from house walls and floors segregate by location, and urban indoor walls contain human bacterial markers of space use. Urbanized spaces uniquely increase the content of human-associated microbes-which could increase transmission of potential pathogens-and decrease exposure to the environmental microbes with which humans have coevolved.","author":[{"dropping-particle":"","family":"Ruiz-Calderon","given":"Jean F.","non-dropping-particle":"","parse-names":false,"suffix":""},{"dropping-particle":"","family":"Cavallin","given":"Humberto","non-dropping-particle":"","parse-names":false,"suffix":""},{"dropping-particle":"","family":"Song","given":"Se Jin","non-dropping-particle":"","parse-names":false,"suffix":""},{"dropping-particle":"","family":"Novoselac","given":"Atila","non-dropping-particle":"","parse-names":false,"suffix":""},{"dropping-particle":"","family":"Pericchi","given":"Luis R.","non-dropping-particle":"","parse-names":false,"suffix":""},{"dropping-particle":"","family":"Hernandez","given":"Jean N.","non-dropping-particle":"","parse-names":false,"suffix":""},{"dropping-particle":"","family":"Rios","given":"Rafael","non-dropping-particle":"","parse-names":false,"suffix":""},{"dropping-particle":"","family":"Branch","given":"Oralee H.","non-dropping-particle":"","parse-names":false,"suffix":""},{"dropping-particle":"","family":"Pereira","given":"Henrique","non-dropping-particle":"","parse-names":false,"suffix":""},{"dropping-particle":"","family":"Paulino","given":"Luciana C.","non-dropping-particle":"","parse-names":false,"suffix":""},{"dropping-particle":"","family":"Blaser","given":"Martin J.","non-dropping-particle":"","parse-names":false,"suffix":""},{"dropping-particle":"","family":"Knight","given":"Rob","non-dropping-particle":"","parse-names":false,"suffix":""},{"dropping-particle":"","family":"Dominguez-Bello","given":"Maria G.","non-dropping-particle":"","parse-names":false,"suffix":""}],"container-title":"Science Advances","id":"ITEM-3","issue":"2","issued":{"date-parts":[["2016"]]},"note":"Summary: Study looking at associations b/w architectural design and microbial biogeography of households across a South American urbanization gradient\nUrbanization was associated with households' inc'd ioslations from outdoor environments. Microbes from house walls and floor separate by location, and urban indoor walls contain human bacterial markers of space use.\nUrbanized spaces uniquely inc content of human-associated microbes and decrease exposure to environmental microbes with which humans coevolved","title":"Microbiology: Walls talk: Microbial biogeography of homes spanning urbanization","type":"article-journal","volume":"2"},"uris":["http://www.mendeley.com/documents/?uuid=eebd3a3b-0978-4b61-890b-0673c431dbd8"]}],"mendeley":{"formattedCitation":"&lt;sup&gt;43,77,79&lt;/sup&gt;","plainTextFormattedCitation":"43,77,79","previouslyFormattedCitation":"&lt;sup&gt;43,77,79&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43,77,79</w:t>
      </w:r>
      <w:r w:rsidRPr="00901194">
        <w:rPr>
          <w:rFonts w:cs="Times New Roman"/>
          <w:szCs w:val="24"/>
        </w:rPr>
        <w:fldChar w:fldCharType="end"/>
      </w:r>
      <w:r w:rsidRPr="00901194">
        <w:rPr>
          <w:rFonts w:cs="Times New Roman"/>
          <w:szCs w:val="24"/>
        </w:rPr>
        <w:t>, and gut microbiota modulation of dietary metabolite presence/absence</w:t>
      </w:r>
      <w:r w:rsidRPr="00901194">
        <w:rPr>
          <w:rFonts w:cs="Times New Roman"/>
          <w:szCs w:val="24"/>
        </w:rPr>
        <w:fldChar w:fldCharType="begin" w:fldLock="1"/>
      </w:r>
      <w:r w:rsidR="000A1931" w:rsidRPr="00901194">
        <w:rPr>
          <w:rFonts w:cs="Times New Roman"/>
          <w:szCs w:val="24"/>
        </w:rPr>
        <w:instrText>ADDIN CSL_CITATION {"citationItems":[{"id":"ITEM-1","itemData":{"DOI":"10.3389/fgene.2019.00454","ISSN":"16648021","abstract":"The human microbiome has been associated with health status, and risk of disease development. While the etiology of microbiome-mediated disease remains to be fully elucidated, one mechanism may be through microbial metabolism. Metabolites produced by commensal organisms, including in response to host diet, may affect host metabolic processes, with potentially protective or pathogenic consequences. We conducted multi-omic phenotyping of healthy subjects (N = 136), in order to investigate the interaction between diet, the microbiome, and the metabolome in a cross-sectional sample. We analyzed the nutrient composition of self-reported diet (3-day food records and food frequency questionnaires). We profiled the gut and oral microbiome (16S rRNA) from stool and saliva, and applied metabolomic profiling to plasma and stool samples in a subset of individuals (N = 75). We analyzed these multi-omic data to investigate the relationship between diet, the microbiome, and the gut and circulating metabolome. On a global level, we observed significant relationships, particularly between long-term diet, the gut microbiome and the metabolome. Intake of plant-derived nutrients as well as consumption of artificial sweeteners were associated with significant differences in circulating metabolites, particularly bile acids, which were dependent on gut enterotype, indicating that microbiome composition mediates the effect of diet on host physiology. Our analysis identifies dietary compounds and phytochemicals that may modulate bacterial abundance within the gut and interact with microbiome composition to alter host metabolism.","author":[{"dropping-particle":"","family":"Tang","given":"Zheng Zheng","non-dropping-particle":"","parse-names":false,"suffix":""},{"dropping-particle":"","family":"Chen","given":"Guanhua","non-dropping-particle":"","parse-names":false,"suffix":""},{"dropping-particle":"","family":"Hong","given":"Qilin","non-dropping-particle":"","parse-names":false,"suffix":""},{"dropping-particle":"","family":"Huang","given":"Shi","non-dropping-particle":"","parse-names":false,"suffix":""},{"dropping-particle":"","family":"Smith","given":"Holly M.","non-dropping-particle":"","parse-names":false,"suffix":""},{"dropping-particle":"","family":"Shah","given":"Rachana D.","non-dropping-particle":"","parse-names":false,"suffix":""},{"dropping-particle":"","family":"Scholz","given":"Matthew","non-dropping-particle":"","parse-names":false,"suffix":""},{"dropping-particle":"","family":"Ferguson","given":"Jane F.","non-dropping-particle":"","parse-names":false,"suffix":""}],"container-title":"Frontiers in Genetics","id":"ITEM-1","issue":"MAY","issued":{"date-parts":[["2019"]]},"note":"Examines interaction b/w diet, microbiome, and metabolome. Found specific chemical groups (plant nutrients and artificial sweeteners) are associated with significant metabolite diffs, but are rooted in gut microbiome composition. Suggests that microbiome composition mediates the effects of diet on host physiology","title":"Multi-omic analysis of the microbiome and metabolome in healthy subjects reveals microbiome-dependent relationships between diet and metabolites","type":"article-journal","volume":"10"},"uris":["http://www.mendeley.com/documents/?uuid=8fbba7d0-277b-4aeb-8f78-11697a6600cb"]},{"id":"ITEM-2","itemData":{"DOI":"10.1038/srep32826","author":[{"dropping-particle":"","family":"Turroni","given":"Silvia","non-dropping-particle":"","parse-names":false,"suffix":""},{"dropping-particle":"","family":"Fiori","given":"Jessica","non-dropping-particle":"","parse-names":false,"suffix":""},{"dropping-particle":"","family":"Rampelli","given":"Simone","non-dropping-particle":"","parse-names":false,"suffix":""},{"dropping-particle":"","family":"Schnorr","given":"Stephanie L.","non-dropping-particle":"","parse-names":false,"suffix":""},{"dropping-particle":"","family":"Consolandi","given":"Clarissa","non-dropping-particle":"","parse-names":false,"suffix":""},{"dropping-particle":"","family":"Barone","given":"Monica","non-dropping-particle":"","parse-names":false,"suffix":""},{"dropping-particle":"","family":"Biagi","given":"Elena","non-dropping-particle":"","parse-names":false,"suffix":""},{"dropping-particle":"","family":"Fanelli","given":"Flaminia","non-dropping-particle":"","parse-names":false,"suffix":""},{"dropping-particle":"","family":"Mezzullo","given":"Marco","non-dropping-particle":"","parse-names":false,"suffix":""},{"dropping-particle":"","family":"Crittenden","given":"Alyssa N.","non-dropping-particle":"","parse-names":false,"suffix":""},{"dropping-particle":"","family":"Henry","given":"Amanda G.","non-dropping-particle":"","parse-names":false,"suffix":""},{"dropping-particle":"","family":"Brigidi","given":"Patrizia","non-dropping-particle":"","parse-names":false,"suffix":""},{"dropping-particle":"","family":"Candela","given":"Marco","non-dropping-particle":"","parse-names":false,"suffix":""}],"container-title":"Scientific Reports","id":"ITEM-2","issue":"1","issued":{"date-parts":[["2016"]]},"note":"Targeted","page":"1-9","publisher":"Nature Publishing Group","title":"Fecal metabolome of the Hadza hunter-gatherers: a host-microbiome integrative view","type":"article-journal","volume":"6"},"uris":["http://www.mendeley.com/documents/?uuid=91b4d94a-3657-4bf6-9095-53b2a78e6bf6"]}],"mendeley":{"formattedCitation":"&lt;sup&gt;50,143&lt;/sup&gt;","plainTextFormattedCitation":"50,143","previouslyFormattedCitation":"&lt;sup&gt;50,143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50,143</w:t>
      </w:r>
      <w:r w:rsidRPr="00901194">
        <w:rPr>
          <w:rFonts w:cs="Times New Roman"/>
          <w:szCs w:val="24"/>
        </w:rPr>
        <w:fldChar w:fldCharType="end"/>
      </w:r>
      <w:r w:rsidRPr="00901194">
        <w:rPr>
          <w:rFonts w:cs="Times New Roman"/>
          <w:szCs w:val="24"/>
        </w:rPr>
        <w:t>.</w:t>
      </w:r>
      <w:r w:rsidR="00EA4B57" w:rsidRPr="00901194">
        <w:rPr>
          <w:rFonts w:cs="Times New Roman"/>
          <w:szCs w:val="24"/>
        </w:rPr>
        <w:t xml:space="preserve"> </w:t>
      </w:r>
      <w:r w:rsidR="00EA4B57" w:rsidRPr="00901194">
        <w:rPr>
          <w:rFonts w:cs="Times New Roman"/>
          <w:szCs w:val="24"/>
        </w:rPr>
        <w:lastRenderedPageBreak/>
        <w:t>Together, leu-leu and urobilin represent potential biomarkers of an industrialized phenotype. However, the nature of these molecules’ association with industrialization remains unclear, especially with regards to health contexts. This association is possibly informed by different dietary behaviors between these industrialization groups</w:t>
      </w:r>
      <w:r w:rsidR="001B7FD1" w:rsidRPr="00901194">
        <w:rPr>
          <w:rFonts w:cs="Times New Roman"/>
          <w:szCs w:val="24"/>
        </w:rPr>
        <w:t>, such as</w:t>
      </w:r>
      <w:r w:rsidR="00EA4B57" w:rsidRPr="00901194">
        <w:rPr>
          <w:rFonts w:cs="Times New Roman"/>
          <w:szCs w:val="24"/>
        </w:rPr>
        <w:t xml:space="preserve"> urobilin </w:t>
      </w:r>
      <w:r w:rsidR="001B7FD1" w:rsidRPr="00901194">
        <w:rPr>
          <w:rFonts w:cs="Times New Roman"/>
          <w:szCs w:val="24"/>
        </w:rPr>
        <w:t xml:space="preserve">being </w:t>
      </w:r>
      <w:r w:rsidR="00EA4B57" w:rsidRPr="00901194">
        <w:rPr>
          <w:rFonts w:cs="Times New Roman"/>
          <w:szCs w:val="24"/>
        </w:rPr>
        <w:t>previously associated with diet</w:t>
      </w:r>
      <w:r w:rsidR="001B7FD1" w:rsidRPr="00901194">
        <w:rPr>
          <w:rFonts w:cs="Times New Roman"/>
          <w:szCs w:val="24"/>
        </w:rPr>
        <w:fldChar w:fldCharType="begin" w:fldLock="1"/>
      </w:r>
      <w:r w:rsidR="00222F4C" w:rsidRPr="00901194">
        <w:rPr>
          <w:rFonts w:cs="Times New Roman"/>
          <w:szCs w:val="24"/>
        </w:rPr>
        <w:instrText>ADDIN CSL_CITATION {"citationItems":[{"id":"ITEM-1","itemData":{"DOI":"10.1038/s41598-019-45640-y","ISSN":"20452322","abstract":"Gut microbiome plays a vital role in human health. Human fecal and urine metabolome could provide a functional readout of gut microbial metabolism as well as its interaction with host and diet. However, this relationship still needs to be fully characterized. We established an untargeted GC-MS metabolomics method which enabled the detection of 122 and 86 metabolites including amino acids, phenolics, indoles, carbohydrates, sugars and metabolites of microbial origin from fecal and urine samples respectively. 41 compounds were confirmed using external standards. Next, we compared the fecal and urine metabolome of 16 healthy Indian and Chinese adults, ages 22–35 years, using a combined GC-MS and LC-MS approach. We showed dietary habit or ethnicity wise grouping of urine and fecal metabolite profiles of Indian and Chinese adults. Our analysis revealed 53 differentiating metabolites including higher abundance of amino acids and phenolics in Chinese and higher abundance of fatty acids, glycocholic acid, metabolites related to tryptophan metabolism in Indian adults. Correlation analysis showed a strong association of metabolites with gut bacterial profiles of the same subjects in the genus and species level. Thus, our results suggest that gut bacterial compositional changes could be eventually monitored and probed using a metabolomics approach.","author":[{"dropping-particle":"","family":"Jain","given":"Abhishek","non-dropping-particle":"","parse-names":false,"suffix":""},{"dropping-particle":"","family":"Li","given":"Xin Hui","non-dropping-particle":"","parse-names":false,"suffix":""},{"dropping-particle":"","family":"Chen","given":"Wei Ning","non-dropping-particle":"","parse-names":false,"suffix":""}],"container-title":"Scientific Reports","id":"ITEM-1","issue":"1","issued":{"date-parts":[["2019"]]},"page":"1-13","publisher":"Springer US","title":"An untargeted fecal and urine metabolomics analysis of the interplay between the gut microbiome, diet and human metabolism in Indian and Chinese adults","type":"article-journal","volume":"9"},"uris":["http://www.mendeley.com/documents/?uuid=6f5a1770-f399-4fa1-9786-50038c9196ae"]}],"mendeley":{"formattedCitation":"&lt;sup&gt;141&lt;/sup&gt;","plainTextFormattedCitation":"141","previouslyFormattedCitation":"&lt;sup&gt;141&lt;/sup&gt;"},"properties":{"noteIndex":0},"schema":"https://github.com/citation-style-language/schema/raw/master/csl-citation.json"}</w:instrText>
      </w:r>
      <w:r w:rsidR="001B7FD1" w:rsidRPr="00901194">
        <w:rPr>
          <w:rFonts w:cs="Times New Roman"/>
          <w:szCs w:val="24"/>
        </w:rPr>
        <w:fldChar w:fldCharType="separate"/>
      </w:r>
      <w:r w:rsidR="001B7FD1" w:rsidRPr="00901194">
        <w:rPr>
          <w:rFonts w:cs="Times New Roman"/>
          <w:noProof/>
          <w:szCs w:val="24"/>
          <w:vertAlign w:val="superscript"/>
        </w:rPr>
        <w:t>141</w:t>
      </w:r>
      <w:r w:rsidR="001B7FD1" w:rsidRPr="00901194">
        <w:rPr>
          <w:rFonts w:cs="Times New Roman"/>
          <w:szCs w:val="24"/>
        </w:rPr>
        <w:fldChar w:fldCharType="end"/>
      </w:r>
      <w:r w:rsidR="00EA4B57" w:rsidRPr="00901194">
        <w:rPr>
          <w:rFonts w:cs="Times New Roman"/>
          <w:szCs w:val="24"/>
        </w:rPr>
        <w:t xml:space="preserve">, </w:t>
      </w:r>
      <w:r w:rsidR="001B7FD1" w:rsidRPr="00901194">
        <w:rPr>
          <w:rFonts w:cs="Times New Roman"/>
          <w:szCs w:val="24"/>
        </w:rPr>
        <w:t xml:space="preserve">but further work is needed to explore the functional role of these molecules in industrialized/non-industrialized contexts. Nonetheless, the altered levels of leu-leu and urobilin based on industrialization highlight </w:t>
      </w:r>
      <w:r w:rsidR="00EA4B57" w:rsidRPr="00901194">
        <w:rPr>
          <w:rFonts w:cs="Times New Roman"/>
          <w:szCs w:val="24"/>
        </w:rPr>
        <w:t>metabolomic components of an industrialized phenotype</w:t>
      </w:r>
      <w:r w:rsidR="002C302A" w:rsidRPr="00901194">
        <w:rPr>
          <w:rFonts w:cs="Times New Roman"/>
          <w:szCs w:val="24"/>
        </w:rPr>
        <w:t xml:space="preserve"> and illustrate potential mechanisms for exploring behavioral effects on human biology</w:t>
      </w:r>
      <w:r w:rsidR="00EA4B57" w:rsidRPr="00901194">
        <w:rPr>
          <w:rFonts w:cs="Times New Roman"/>
          <w:szCs w:val="24"/>
        </w:rPr>
        <w:t xml:space="preserve">.  </w:t>
      </w:r>
    </w:p>
    <w:p w14:paraId="21F5680E" w14:textId="1AFBD675" w:rsidR="00EE1306" w:rsidRPr="00901194" w:rsidRDefault="00EE1306" w:rsidP="00EE1306">
      <w:pPr>
        <w:ind w:firstLine="720"/>
        <w:rPr>
          <w:rFonts w:cs="Times New Roman"/>
          <w:szCs w:val="24"/>
        </w:rPr>
      </w:pPr>
      <w:r w:rsidRPr="00901194">
        <w:rPr>
          <w:rFonts w:cs="Times New Roman"/>
          <w:szCs w:val="24"/>
        </w:rPr>
        <w:t>Recent research has revealed novel amino acid-conjugated bile acids that are produced by gut microbiota</w:t>
      </w:r>
      <w:r w:rsidRPr="00901194">
        <w:rPr>
          <w:rFonts w:cs="Times New Roman"/>
          <w:szCs w:val="24"/>
        </w:rPr>
        <w:fldChar w:fldCharType="begin" w:fldLock="1"/>
      </w:r>
      <w:r w:rsidR="000A1931" w:rsidRPr="00901194">
        <w:rPr>
          <w:rFonts w:cs="Times New Roman"/>
          <w:szCs w:val="24"/>
        </w:rPr>
        <w:instrText>ADDIN CSL_CITATION {"citationItems":[{"id":"ITEM-1","itemData":{"abstract":"Untargeted metabolomics experiments rely on spectral libraries for structure annotation, but these libraries are vastly incomplete; in silico methods search in structure databases but cannot distinguish between correct and incorrect annotations. As biological interpretation relies on accurate structure annotations, the ability to assign confidence to such annotations is a key outstanding problem. We introduce the COSMIC workflow that combines structure database generation, in silico annotation, and a confidence score consisting of kernel density p-value estimation and a Support Vector Machine with enforced directionality of features. In evaluation, COSMIC annotates a substantial number of hits at small false discovery rates, and outperforms spectral library search for this purpose. To demonstrate that COSMIC can annotate structures never reported before, we annotated twelve novel bile acid conjugates; nine structures were confirmed by manual evaluation and two structures using synthetic standards. Second, we annotated and manually evaluated 315 molecular structures in human samples currently absent from the Human Metabolome Database. Third, we applied COSMIC to 17,400 experimental runs and annotated 1,715 structures with high confidence that were absent from spectral libraries.","author":[{"dropping-particle":"","family":"Hoffmann","given":"Martin A","non-dropping-particle":"","parse-names":false,"suffix":""},{"dropping-particle":"","family":"Nothias","given":"Louis-Félix","non-dropping-particle":"","parse-names":false,"suffix":""},{"dropping-particle":"","family":"Ludwig","given":"Marcus","non-dropping-particle":"","parse-names":false,"suffix":""},{"dropping-particle":"","family":"Fleischauer","given":"Markus","non-dropping-particle":"","parse-names":false,"suffix":""},{"dropping-particle":"","family":"Gentry","given":"Emily C","non-dropping-particle":"","parse-names":false,"suffix":""},{"dropping-particle":"","family":"Witting","given":"Michael","non-dropping-particle":"","parse-names":false,"suffix":""},{"dropping-particle":"","family":"Dorrestein","given":"Pieter C","non-dropping-particle":"","parse-names":false,"suffix":""},{"dropping-particle":"","family":"Dührkop","given":"Kai","non-dropping-particle":"","parse-names":false,"suffix":""},{"dropping-particle":"","family":"Böcker","given":"Sebastian","non-dropping-particle":"","parse-names":false,"suffix":""}],"container-title":"bioRxiv","id":"ITEM-1","issued":{"date-parts":[["2021"]]},"note":"Citation for ReDU public dataset MSV000083559","page":"2021.03.18.435634","title":"Assigning confidence to structural annotations from mass spectra with COSMIC","type":"article-journal"},"uris":["http://www.mendeley.com/documents/?uuid=6f548b34-fc9d-4033-aed9-bc4b71289e88"]},{"id":"ITEM-2","itemData":{"DOI":"10.1038/s41586-020-2047-9","ISBN":"4158602020479","ISSN":"14764687","PMID":"32103176","abstract":"A mosaic of cross-phylum chemical interactions occurs between all metazoans and their microbiomes. A number of molecular families that are known to be produced by the microbiome have a marked effect on the balance between health and disease1–9. Considering the diversity of the human microbiome (which numbers over 40,000 operational taxonomic units10), the effect of the microbiome on the chemistry of an entire animal remains underexplored. Here we use mass spectrometry informatics and data visualization approaches11–13 to provide an assessment of the effects of the microbiome on the chemistry of an entire mammal by comparing metabolomics data from germ-free and specific-pathogen-free mice. We found that the microbiota affects the chemistry of all organs. This included the amino acid conjugations of host bile acids that were used to produce phenylalanocholic acid, tyrosocholic acid and leucocholic acid, which have not previously been characterized despite extensive research on bile-acid chemistry14. These bile-acid conjugates were also found in humans, and were enriched in patients with inflammatory bowel disease or cystic fibrosis. These compounds agonized the farnesoid X receptor in vitro, and mice gavaged with the compounds showed reduced expression of bile-acid synthesis genes in vivo. Further studies are required to confirm whether these compounds have a physiological role in the host, and whether they contribute to gut diseases that are associated with microbiome dysbiosis.","author":[{"dropping-particle":"","family":"Quinn","given":"Robert A.","non-dropping-particle":"","parse-names":false,"suffix":""},{"dropping-particle":"V.","family":"Melnik","given":"Alexey","non-dropping-particle":"","parse-names":false,"suffix":""},{"dropping-particle":"","family":"Vrbanac","given":"Alison","non-dropping-particle":"","parse-names":false,"suffix":""},{"dropping-particle":"","family":"Fu","given":"Ting","non-dropping-particle":"","parse-names":false,"suffix":""},{"dropping-particle":"","family":"Patras","given":"Kathryn A.","non-dropping-particle":"","parse-names":false,"suffix":""},{"dropping-particle":"","family":"Christy","given":"Mitchell P.","non-dropping-particle":"","parse-names":false,"suffix":""},{"dropping-particle":"","family":"Bodai","given":"Zsolt","non-dropping-particle":"","parse-names":false,"suffix":""},{"dropping-particle":"","family":"Belda-Ferre","given":"Pedro","non-dropping-particle":"","parse-names":false,"suffix":""},{"dropping-particle":"","family":"Tripathi","given":"Anupriya","non-dropping-particle":"","parse-names":false,"suffix":""},{"dropping-particle":"","family":"Chung","given":"Lawton K.","non-dropping-particle":"","parse-names":false,"suffix":""},{"dropping-particle":"","family":"Downes","given":"Michael","non-dropping-particle":"","parse-names":false,"suffix":""},{"dropping-particle":"","family":"Welch","given":"Ryan D.","non-dropping-particle":"","parse-names":false,"suffix":""},{"dropping-particle":"","family":"Quinn","given":"Melissa","non-dropping-particle":"","parse-names":false,"suffix":""},{"dropping-particle":"","family":"Humphrey","given":"Greg","non-dropping-particle":"","parse-names":false,"suffix":""},{"dropping-particle":"","family":"Panitchpakdi","given":"Morgan","non-dropping-particle":"","parse-names":false,"suffix":""},{"dropping-particle":"","family":"Weldon","given":"Kelly C.","non-dropping-particle":"","parse-names":false,"suffix":""},{"dropping-particle":"","family":"Aksenov","given":"Alexander","non-dropping-particle":"","parse-names":false,"suffix":""},{"dropping-particle":"","family":"Silva","given":"Ricardo","non-dropping-particle":"da","parse-names":false,"suffix":""},{"dropping-particle":"","family":"Avila-Pacheco","given":"Julian","non-dropping-particle":"","parse-names":false,"suffix":""},{"dropping-particle":"","family":"Clish","given":"Clary","non-dropping-particle":"","parse-names":false,"suffix":""},{"dropping-particle":"","family":"Bae","given":"Sena","non-dropping-particle":"","parse-names":false,"suffix":""},{"dropping-particle":"","family":"Mallick","given":"Himel","non-dropping-particle":"","parse-names":false,"suffix":""},{"dropping-particle":"","family":"Franzosa","given":"Eric A.","non-dropping-particle":"","parse-names":false,"suffix":""},{"dropping-particle":"","family":"Lloyd-Price","given":"Jason","non-dropping-particle":"","parse-names":false,"suffix":""},{"dropping-particle":"","family":"Bussell","given":"Robert","non-dropping-particle":"","parse-names":false,"suffix":""},{"dropping-particle":"","family":"Thron","given":"Taren","non-dropping-particle":"","parse-names":false,"suffix":""},{"dropping-particle":"","family":"Nelson","given":"Andrew T.","non-dropping-particle":"","parse-names":false,"suffix":""},{"dropping-particle":"","family":"Wang","given":"Mingxun","non-dropping-particle":"","parse-names":false,"suffix":""},{"dropping-particle":"","family":"Leszczynski","given":"Eric","non-dropping-particle":"","parse-names":false,"suffix":""},{"dropping-particle":"","family":"Vargas","given":"Fernando","non-dropping-particle":"","parse-names":false,"suffix":""},{"dropping-particle":"","family":"Gauglitz","given":"Julia M.","non-dropping-particle":"","parse-names":false,"suffix":""},{"dropping-particle":"","family":"Meehan","given":"Michael J.","non-dropping-particle":"","parse-names":false,"suffix":""},{"dropping-particle":"","family":"Gentry","given":"Emily","non-dropping-particle":"","parse-names":false,"suffix":""},{"dropping-particle":"","family":"Arthur","given":"Timothy D.","non-dropping-particle":"","parse-names":false,"suffix":""},{"dropping-particle":"","family":"Komor","given":"Alexis C.","non-dropping-particle":"","parse-names":false,"suffix":""},{"dropping-particle":"","family":"Poulsen","given":"Orit","non-dropping-particle":"","parse-names":false,"suffix":""},{"dropping-particle":"","family":"Boland","given":"Brigid S.","non-dropping-particle":"","parse-names":false,"suffix":""},{"dropping-particle":"","family":"Chang","given":"John T.","non-dropping-particle":"","parse-names":false,"suffix":""},{"dropping-particle":"","family":"Sandborn","given":"William J.","non-dropping-particle":"","parse-names":false,"suffix":""},{"dropping-particle":"","family":"Lim","given":"Meerana","non-dropping-particle":"","parse-names":false,"suffix":""},{"dropping-particle":"","family":"Garg","given":"Neha","non-dropping-particle":"","parse-names":false,"suffix":""},{"dropping-particle":"","family":"Lumeng","given":"Julie C.","non-dropping-particle":"","parse-names":false,"suffix":""},{"dropping-particle":"","family":"Xavier","given":"Ramnik J.","non-dropping-particle":"","parse-names":false,"suffix":""},{"dropping-particle":"","family":"Kazmierczak","given":"Barbara I.","non-dropping-particle":"","parse-names":false,"suffix":""},{"dropping-particle":"","family":"Jain","given":"Ruchi","non-dropping-particle":"","parse-names":false,"suffix":""},{"dropping-particle":"","family":"Egan","given":"Marie","non-dropping-particle":"","parse-names":false,"suffix":""},{"dropping-particle":"","family":"Rhee","given":"Kyung E.","non-dropping-particle":"","parse-names":false,"suffix":""},{"dropping-particle":"","family":"Ferguson","given":"David","non-dropping-particle":"","parse-names":false,"suffix":""},{"dropping-particle":"","family":"Raffatellu","given":"Manuela","non-dropping-particle":"","parse-names":false,"suffix":""},{"dropping-particle":"","family":"Vlamakis","given":"Hera","non-dropping-particle":"","parse-names":false,"suffix":""},{"dropping-particle":"","family":"Haddad","given":"Gabriel G.","non-dropping-particle":"","parse-names":false,"suffix":""},{"dropping-particle":"","family":"Siegel","given":"Dionicio","non-dropping-particle":"","parse-names":false,"suffix":""},{"dropping-particle":"","family":"Huttenhower","given":"Curtis","non-dropping-particle":"","parse-names":false,"suffix":""},{"dropping-particle":"","family":"Mazmanian","given":"Sarkis K.","non-dropping-particle":"","parse-names":false,"suffix":""},{"dropping-particle":"","family":"Evans","given":"Ronald M.","non-dropping-particle":"","parse-names":false,"suffix":""},{"dropping-particle":"","family":"Nizet","given":"Victor","non-dropping-particle":"","parse-names":false,"suffix":""},{"dropping-particle":"","family":"Knight","given":"Rob","non-dropping-particle":"","parse-names":false,"suffix":""},{"dropping-particle":"","family":"Dorrestein","given":"Pieter C.","non-dropping-particle":"","parse-names":false,"suffix":""}],"container-title":"Nature","id":"ITEM-2","issue":"7797","issued":{"date-parts":[["2020"]]},"note":"Conjugated bile acids paper -- critical for ours","page":"123-129","publisher":"Springer US","title":"Global chemical effects of the microbiome include new bile-acid conjugations","type":"article-journal","volume":"579"},"uris":["http://www.mendeley.com/documents/?uuid=e63426d4-0f32-40d5-a3c4-074f017d8998"]},{"id":"ITEM-3","itemData":{"DOI":"10.1038/s41587-019-0367-9","ISSN":"15461696","PMID":"31857735","author":[{"dropping-particle":"","family":"Wang","given":"Mingxun","non-dropping-particle":"","parse-names":false,"suffix":""},{"dropping-particle":"","family":"Jarmusch","given":"Alan K.","non-dropping-particle":"","parse-names":false,"suffix":""},{"dropping-particle":"","family":"Vargas","given":"Fernando","non-dropping-particle":"","parse-names":false,"suffix":""},{"dropping-particle":"","family":"Aksenov","given":"Alexander A.","non-dropping-particle":"","parse-names":false,"suffix":""},{"dropping-particle":"","family":"Gauglitz","given":"Julia M.","non-dropping-particle":"","parse-names":false,"suffix":""},{"dropping-particle":"","family":"Weldon","given":"Kelly","non-dropping-particle":"","parse-names":false,"suffix":""},{"dropping-particle":"","family":"Petras","given":"Daniel","non-dropping-particle":"","parse-names":false,"suffix":""},{"dropping-particle":"","family":"Silva","given":"Ricardo","non-dropping-particle":"da","parse-names":false,"suffix":""},{"dropping-particle":"","family":"Quinn","given":"Robert","non-dropping-particle":"","parse-names":false,"suffix":""},{"dropping-particle":"V.","family":"Melnik","given":"Alexey","non-dropping-particle":"","parse-names":false,"suffix":""},{"dropping-particle":"","family":"Hooft","given":"Justin J.J.","non-dropping-particle":"van der","parse-names":false,"suffix":""},{"dropping-particle":"","family":"Caraballo-Rodríguez","given":"Andrés Mauricio","non-dropping-particle":"","parse-names":false,"suffix":""},{"dropping-particle":"","family":"Nothias","given":"Louis Felix","non-dropping-particle":"","parse-names":false,"suffix":""},{"dropping-particle":"","family":"Aceves","given":"Christine M.","non-dropping-particle":"","parse-names":false,"suffix":""},{"dropping-particle":"","family":"Panitchpakdi","given":"Morgan","non-dropping-particle":"","parse-names":false,"suffix":""},{"dropping-particle":"","family":"Brown","given":"Elizabeth","non-dropping-particle":"","parse-names":false,"suffix":""},{"dropping-particle":"","family":"Ottavio","given":"Francesca","non-dropping-particle":"Di","parse-names":false,"suffix":""},{"dropping-particle":"","family":"Sikora","given":"Nicole","non-dropping-particle":"","parse-names":false,"suffix":""},{"dropping-particle":"","family":"Elijah","given":"Emmanuel O.","non-dropping-particle":"","parse-names":false,"suffix":""},{"dropping-particle":"","family":"Labarta-Bajo","given":"Lara","non-dropping-particle":"","parse-names":false,"suffix":""},{"dropping-particle":"","family":"Gentry","given":"Emily C.","non-dropping-particle":"","parse-names":false,"suffix":""},{"dropping-particle":"","family":"Shalapour","given":"Shabnam","non-dropping-particle":"","parse-names":false,"suffix":""},{"dropping-particle":"","family":"Kyle","given":"Kathleen E.","non-dropping-particle":"","parse-names":false,"suffix":""},{"dropping-particle":"","family":"Puckett","given":"Sara P.","non-dropping-particle":"","parse-names":false,"suffix":""},{"dropping-particle":"","family":"Watrous","given":"Jeramie D.","non-dropping-particle":"","parse-names":false,"suffix":""},{"dropping-particle":"","family":"Carpenter","given":"Carolina S.","non-dropping-particle":"","parse-names":false,"suffix":""},{"dropping-particle":"","family":"Bouslimani","given":"Amina","non-dropping-particle":"","parse-names":false,"suffix":""},{"dropping-particle":"","family":"Ernst","given":"Madeleine","non-dropping-particle":"","parse-names":false,"suffix":""},{"dropping-particle":"","family":"Swafford","given":"Austin D.","non-dropping-particle":"","parse-names":false,"suffix":""},{"dropping-particle":"","family":"Zúñiga","given":"Elina I.","non-dropping-particle":"","parse-names":false,"suffix":""},{"dropping-particle":"","family":"Balunas","given":"Marcy J.","non-dropping-particle":"","parse-names":false,"suffix":""},{"dropping-particle":"","family":"Klassen","given":"Jonathan L.","non-dropping-particle":"","parse-names":false,"suffix":""},{"dropping-particle":"","family":"Loomba","given":"Rohit","non-dropping-particle":"","parse-names":false,"suffix":""},{"dropping-particle":"","family":"Knight","given":"Rob","non-dropping-particle":"","parse-names":false,"suffix":""},{"dropping-particle":"","family":"Bandeira","given":"Nuno","non-dropping-particle":"","parse-names":false,"suffix":""},{"dropping-particle":"","family":"Dorrestein","given":"Pieter C.","non-dropping-particle":"","parse-names":false,"suffix":""}],"container-title":"Nature Biotechnology","id":"ITEM-3","issue":"1","issued":{"date-parts":[["2020"]]},"note":"Summary: Describing MASST: mass spectrometry search tool, takes single MS/MS spectrum and searches for it in public data repositories (GNPS/MassIVE, Metabolomics Workbench, MetaboLights, etc.). Furthermore, metadata can be added when data is made public, which will show those categories when getting a MASST result. MASST results are equivalent to level 2 (spectral similarity) or level 3 (chemical class based on spectral similarity) according to MSI. Has some limitations, like when chemicals have near-identical fragmentation patterns or issues with parameters, but still a useful tool.","page":"19-22","title":"Mass spectrometry searches using MASST","type":"article-journal","volume":"38"},"uris":["http://www.mendeley.com/documents/?uuid=8ec94342-4525-4d22-8dd1-ada2347c0d4c"]}],"mendeley":{"formattedCitation":"&lt;sup&gt;30,106,144&lt;/sup&gt;","plainTextFormattedCitation":"30,106,144","previouslyFormattedCitation":"&lt;sup&gt;30,106,144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30,106,144</w:t>
      </w:r>
      <w:r w:rsidRPr="00901194">
        <w:rPr>
          <w:rFonts w:cs="Times New Roman"/>
          <w:szCs w:val="24"/>
        </w:rPr>
        <w:fldChar w:fldCharType="end"/>
      </w:r>
      <w:r w:rsidRPr="00901194">
        <w:rPr>
          <w:rFonts w:cs="Times New Roman"/>
          <w:szCs w:val="24"/>
        </w:rPr>
        <w:t xml:space="preserve"> and enriched in patients with inflammatory bowel disease</w:t>
      </w:r>
      <w:r w:rsidRPr="00901194">
        <w:rPr>
          <w:rFonts w:cs="Times New Roman"/>
          <w:szCs w:val="24"/>
        </w:rPr>
        <w:fldChar w:fldCharType="begin" w:fldLock="1"/>
      </w:r>
      <w:r w:rsidR="000A1931" w:rsidRPr="00901194">
        <w:rPr>
          <w:rFonts w:cs="Times New Roman"/>
          <w:szCs w:val="24"/>
        </w:rPr>
        <w:instrText>ADDIN CSL_CITATION {"citationItems":[{"id":"ITEM-1","itemData":{"DOI":"10.1038/s41586-020-2047-9","ISBN":"4158602020479","ISSN":"14764687","PMID":"32103176","abstract":"A mosaic of cross-phylum chemical interactions occurs between all metazoans and their microbiomes. A number of molecular families that are known to be produced by the microbiome have a marked effect on the balance between health and disease1–9. Considering the diversity of the human microbiome (which numbers over 40,000 operational taxonomic units10), the effect of the microbiome on the chemistry of an entire animal remains underexplored. Here we use mass spectrometry informatics and data visualization approaches11–13 to provide an assessment of the effects of the microbiome on the chemistry of an entire mammal by comparing metabolomics data from germ-free and specific-pathogen-free mice. We found that the microbiota affects the chemistry of all organs. This included the amino acid conjugations of host bile acids that were used to produce phenylalanocholic acid, tyrosocholic acid and leucocholic acid, which have not previously been characterized despite extensive research on bile-acid chemistry14. These bile-acid conjugates were also found in humans, and were enriched in patients with inflammatory bowel disease or cystic fibrosis. These compounds agonized the farnesoid X receptor in vitro, and mice gavaged with the compounds showed reduced expression of bile-acid synthesis genes in vivo. Further studies are required to confirm whether these compounds have a physiological role in the host, and whether they contribute to gut diseases that are associated with microbiome dysbiosis.","author":[{"dropping-particle":"","family":"Quinn","given":"Robert A.","non-dropping-particle":"","parse-names":false,"suffix":""},{"dropping-particle":"V.","family":"Melnik","given":"Alexey","non-dropping-particle":"","parse-names":false,"suffix":""},{"dropping-particle":"","family":"Vrbanac","given":"Alison","non-dropping-particle":"","parse-names":false,"suffix":""},{"dropping-particle":"","family":"Fu","given":"Ting","non-dropping-particle":"","parse-names":false,"suffix":""},{"dropping-particle":"","family":"Patras","given":"Kathryn A.","non-dropping-particle":"","parse-names":false,"suffix":""},{"dropping-particle":"","family":"Christy","given":"Mitchell P.","non-dropping-particle":"","parse-names":false,"suffix":""},{"dropping-particle":"","family":"Bodai","given":"Zsolt","non-dropping-particle":"","parse-names":false,"suffix":""},{"dropping-particle":"","family":"Belda-Ferre","given":"Pedro","non-dropping-particle":"","parse-names":false,"suffix":""},{"dropping-particle":"","family":"Tripathi","given":"Anupriya","non-dropping-particle":"","parse-names":false,"suffix":""},{"dropping-particle":"","family":"Chung","given":"Lawton K.","non-dropping-particle":"","parse-names":false,"suffix":""},{"dropping-particle":"","family":"Downes","given":"Michael","non-dropping-particle":"","parse-names":false,"suffix":""},{"dropping-particle":"","family":"Welch","given":"Ryan D.","non-dropping-particle":"","parse-names":false,"suffix":""},{"dropping-particle":"","family":"Quinn","given":"Melissa","non-dropping-particle":"","parse-names":false,"suffix":""},{"dropping-particle":"","family":"Humphrey","given":"Greg","non-dropping-particle":"","parse-names":false,"suffix":""},{"dropping-particle":"","family":"Panitchpakdi","given":"Morgan","non-dropping-particle":"","parse-names":false,"suffix":""},{"dropping-particle":"","family":"Weldon","given":"Kelly C.","non-dropping-particle":"","parse-names":false,"suffix":""},{"dropping-particle":"","family":"Aksenov","given":"Alexander","non-dropping-particle":"","parse-names":false,"suffix":""},{"dropping-particle":"","family":"Silva","given":"Ricardo","non-dropping-particle":"da","parse-names":false,"suffix":""},{"dropping-particle":"","family":"Avila-Pacheco","given":"Julian","non-dropping-particle":"","parse-names":false,"suffix":""},{"dropping-particle":"","family":"Clish","given":"Clary","non-dropping-particle":"","parse-names":false,"suffix":""},{"dropping-particle":"","family":"Bae","given":"Sena","non-dropping-particle":"","parse-names":false,"suffix":""},{"dropping-particle":"","family":"Mallick","given":"Himel","non-dropping-particle":"","parse-names":false,"suffix":""},{"dropping-particle":"","family":"Franzosa","given":"Eric A.","non-dropping-particle":"","parse-names":false,"suffix":""},{"dropping-particle":"","family":"Lloyd-Price","given":"Jason","non-dropping-particle":"","parse-names":false,"suffix":""},{"dropping-particle":"","family":"Bussell","given":"Robert","non-dropping-particle":"","parse-names":false,"suffix":""},{"dropping-particle":"","family":"Thron","given":"Taren","non-dropping-particle":"","parse-names":false,"suffix":""},{"dropping-particle":"","family":"Nelson","given":"Andrew T.","non-dropping-particle":"","parse-names":false,"suffix":""},{"dropping-particle":"","family":"Wang","given":"Mingxun","non-dropping-particle":"","parse-names":false,"suffix":""},{"dropping-particle":"","family":"Leszczynski","given":"Eric","non-dropping-particle":"","parse-names":false,"suffix":""},{"dropping-particle":"","family":"Vargas","given":"Fernando","non-dropping-particle":"","parse-names":false,"suffix":""},{"dropping-particle":"","family":"Gauglitz","given":"Julia M.","non-dropping-particle":"","parse-names":false,"suffix":""},{"dropping-particle":"","family":"Meehan","given":"Michael J.","non-dropping-particle":"","parse-names":false,"suffix":""},{"dropping-particle":"","family":"Gentry","given":"Emily","non-dropping-particle":"","parse-names":false,"suffix":""},{"dropping-particle":"","family":"Arthur","given":"Timothy D.","non-dropping-particle":"","parse-names":false,"suffix":""},{"dropping-particle":"","family":"Komor","given":"Alexis C.","non-dropping-particle":"","parse-names":false,"suffix":""},{"dropping-particle":"","family":"Poulsen","given":"Orit","non-dropping-particle":"","parse-names":false,"suffix":""},{"dropping-particle":"","family":"Boland","given":"Brigid S.","non-dropping-particle":"","parse-names":false,"suffix":""},{"dropping-particle":"","family":"Chang","given":"John T.","non-dropping-particle":"","parse-names":false,"suffix":""},{"dropping-particle":"","family":"Sandborn","given":"William J.","non-dropping-particle":"","parse-names":false,"suffix":""},{"dropping-particle":"","family":"Lim","given":"Meerana","non-dropping-particle":"","parse-names":false,"suffix":""},{"dropping-particle":"","family":"Garg","given":"Neha","non-dropping-particle":"","parse-names":false,"suffix":""},{"dropping-particle":"","family":"Lumeng","given":"Julie C.","non-dropping-particle":"","parse-names":false,"suffix":""},{"dropping-particle":"","family":"Xavier","given":"Ramnik J.","non-dropping-particle":"","parse-names":false,"suffix":""},{"dropping-particle":"","family":"Kazmierczak","given":"Barbara I.","non-dropping-particle":"","parse-names":false,"suffix":""},{"dropping-particle":"","family":"Jain","given":"Ruchi","non-dropping-particle":"","parse-names":false,"suffix":""},{"dropping-particle":"","family":"Egan","given":"Marie","non-dropping-particle":"","parse-names":false,"suffix":""},{"dropping-particle":"","family":"Rhee","given":"Kyung E.","non-dropping-particle":"","parse-names":false,"suffix":""},{"dropping-particle":"","family":"Ferguson","given":"David","non-dropping-particle":"","parse-names":false,"suffix":""},{"dropping-particle":"","family":"Raffatellu","given":"Manuela","non-dropping-particle":"","parse-names":false,"suffix":""},{"dropping-particle":"","family":"Vlamakis","given":"Hera","non-dropping-particle":"","parse-names":false,"suffix":""},{"dropping-particle":"","family":"Haddad","given":"Gabriel G.","non-dropping-particle":"","parse-names":false,"suffix":""},{"dropping-particle":"","family":"Siegel","given":"Dionicio","non-dropping-particle":"","parse-names":false,"suffix":""},{"dropping-particle":"","family":"Huttenhower","given":"Curtis","non-dropping-particle":"","parse-names":false,"suffix":""},{"dropping-particle":"","family":"Mazmanian","given":"Sarkis K.","non-dropping-particle":"","parse-names":false,"suffix":""},{"dropping-particle":"","family":"Evans","given":"Ronald M.","non-dropping-particle":"","parse-names":false,"suffix":""},{"dropping-particle":"","family":"Nizet","given":"Victor","non-dropping-particle":"","parse-names":false,"suffix":""},{"dropping-particle":"","family":"Knight","given":"Rob","non-dropping-particle":"","parse-names":false,"suffix":""},{"dropping-particle":"","family":"Dorrestein","given":"Pieter C.","non-dropping-particle":"","parse-names":false,"suffix":""}],"container-title":"Nature","id":"ITEM-1","issue":"7797","issued":{"date-parts":[["2020"]]},"note":"Conjugated bile acids paper -- critical for ours","page":"123-129","publisher":"Springer US","title":"Global chemical effects of the microbiome include new bile-acid conjugations","type":"article-journal","volume":"579"},"uris":["http://www.mendeley.com/documents/?uuid=e63426d4-0f32-40d5-a3c4-074f017d8998"]}],"mendeley":{"formattedCitation":"&lt;sup&gt;30&lt;/sup&gt;","plainTextFormattedCitation":"30","previouslyFormattedCitation":"&lt;sup&gt;30&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30</w:t>
      </w:r>
      <w:r w:rsidRPr="00901194">
        <w:rPr>
          <w:rFonts w:cs="Times New Roman"/>
          <w:szCs w:val="24"/>
        </w:rPr>
        <w:fldChar w:fldCharType="end"/>
      </w:r>
      <w:r w:rsidRPr="00901194">
        <w:rPr>
          <w:rFonts w:cs="Times New Roman"/>
          <w:szCs w:val="24"/>
        </w:rPr>
        <w:t>. Given the possible association between inflammatory bowel disease and industrialization processes</w:t>
      </w:r>
      <w:r w:rsidRPr="00901194">
        <w:rPr>
          <w:rFonts w:cs="Times New Roman"/>
          <w:szCs w:val="24"/>
        </w:rPr>
        <w:fldChar w:fldCharType="begin" w:fldLock="1"/>
      </w:r>
      <w:r w:rsidR="000A1931" w:rsidRPr="00901194">
        <w:rPr>
          <w:rFonts w:cs="Times New Roman"/>
          <w:szCs w:val="24"/>
        </w:rPr>
        <w:instrText>ADDIN CSL_CITATION {"citationItems":[{"id":"ITEM-1","itemData":{"DOI":"10.1097/MEG.0000000000000263","ISBN":"0000000000000","ISSN":"14735687","PMID":"25563139","abstract":"BACKGROUND AND AIM: Inflammatory bowel disease (IBD) has been associated with genetic and environmental factors, including urban living. IBD was rare in the Israeli Bedouin community 30 years ago. Over recent decades, a large proportion of this community has undergone a transition from a nomadic to a western lifestyle. Our aim was to carry out an updated evaluation of the clinical and epidemiological features of IBD in the Bedouin sector of southern Israel. METHODS: All Bedouin patients with a known diagnosis of Crohn's disease (CD) or ulcerative colitis (UC) were included in the retrospective study. RESULTS: The cohort included 31 CD patients and 31 UC patients. The mean age of the patients at diagnosis was 29±10.9 and 35±17.5 years for CD and UC, respectively. The prevalence rate for CD was 15.5/100000 and the incidence rate was 0.8-3.55/100000. Fourteen of the CD patients (45%) had ileal disease and 64.5% had inflammatory disease behavior according to the Montreal classification. Eleven of the CD patients (35%) were treated with anti-TNF-α and 26% had undergone surgery. Over the previous decade, the prevalence of UC was 14/100000 and the incidence was 0.5-2.39/100000. Eighteen UC patients (58%) had left-sided colitis. Three (9.7%) had undergone total colectomy for severe disease. CONCLUSION: We found an increased prevalence of IBD in the Bedouin population, associated with their change in lifestyle over previous decades. However, the prevalence is still markedly lower than that in other population groups. A high percentage of patients were treated with anti-TNF-α and/or surgery..","author":[{"dropping-particle":"","family":"Abu Freha","given":"Naim","non-dropping-particle":"","parse-names":false,"suffix":""},{"dropping-particle":"","family":"Schwartz","given":"Doron","non-dropping-particle":"","parse-names":false,"suffix":""},{"dropping-particle":"","family":"Elkrinawi","given":"Jaber","non-dropping-particle":"","parse-names":false,"suffix":""},{"dropping-particle":"","family":"Yakov","given":"Gil","non-dropping-particle":"Ben","parse-names":false,"suffix":""},{"dropping-particle":"","family":"Abu Tailakh","given":"Muhammad","non-dropping-particle":"","parse-names":false,"suffix":""},{"dropping-particle":"","family":"Munteanu","given":"Daniela","non-dropping-particle":"","parse-names":false,"suffix":""},{"dropping-particle":"","family":"Abu Ganim","given":"Abdelrhman","non-dropping-particle":"","parse-names":false,"suffix":""},{"dropping-particle":"","family":"Fich","given":"Alexander","non-dropping-particle":"","parse-names":false,"suffix":""}],"container-title":"European Journal of Gastroenterology and Hepatology","id":"ITEM-1","issue":"3","issued":{"date-parts":[["2015"]]},"note":"Studied IBD prevalence in Israeli Bedouin community. This community became increasingly western over recent yearsm which noted an incrrease in IBD (although it was still less common than other urbanized populations)","page":"230-234","title":"Inflammatory bowel disease among Bedouin Arabs in southern Israel: Urbanization and increasing prevalence rates","type":"article-journal","volume":"27"},"uris":["http://www.mendeley.com/documents/?uuid=f086c531-30fb-430d-bc78-e8fd36877a78"]},{"id":"ITEM-2","itemData":{"DOI":"10.1016/j.crohns.2011.05.009","ISSN":"18739946","PMID":"22115376","abstract":"Background: A higher incidence of inflammatory bowel disease (IBD) in industrialized areas has been previously reported, but the effect of emigrating to western industrialized countries for a period of time and returning to the country of origin is unknown. Aim of the study was to evaluate the effect of emigrating to another country and returning to the place of origin on the risk of IBD. Methods: A prospective case-control study was performed. Inclusion criteria were all patients &gt; 18. years diagnosed with Crohn's disease (CD) or ulcerative colitis (UC) in the last 10. years. Healthy, unrelated controls, matched by sex, age and smoking habits, with no family history of IBD were included. All patients and controls were interviewed and emigration was defined as living for at least one year in another country. Results: 242 consecutive patients with IBD (105 CD and 137 UC) and 242 controls were included. Patients who had previously emigrated developed more frequently IBD than controls (OR 1.93, 95%CI 1.19-3.15, p&lt; 0.01). Patients who emigrated to European countries developed more frequently IBD than controls (OR 1.91, 95%CI 1.07-3.47, p= 0.02), but not those who had emigrated to Latin America (OR 1.48, 95%CI 0.67-3.27, p= 0.32). Emigration plays a significant role in the development of UC (OR 2.24, 95%CI:1.29-3.88, p&lt; 0.01), but not in CD (OR 1.56, 95%IC:0.83-2.92, p= 0.15). Conclusions: People who emigrate to westernised countries have a higher risk for developing IBD, especially UC. Environmental factors related with industrialization seem to play an important role in the pathogenesis of these diseases. © 2011 European Crohn's and Colitis Organisation.","author":[{"dropping-particle":"","family":"Barreiro-de Acosta","given":"M.","non-dropping-particle":"","parse-names":false,"suffix":""},{"dropping-particle":"","family":"Alvarez Castro","given":"A.","non-dropping-particle":"","parse-names":false,"suffix":""},{"dropping-particle":"","family":"Souto","given":"R.","non-dropping-particle":"","parse-names":false,"suffix":""},{"dropping-particle":"","family":"Iglesias","given":"M.","non-dropping-particle":"","parse-names":false,"suffix":""},{"dropping-particle":"","family":"Lorenzo","given":"A.","non-dropping-particle":"","parse-names":false,"suffix":""},{"dropping-particle":"","family":"Dominguez-Muñoz","given":"J. E.","non-dropping-particle":"","parse-names":false,"suffix":""}],"container-title":"Journal of Crohn's and Colitis","id":"ITEM-2","issue":"6","issued":{"date-parts":[["2011"]]},"page":"566-569","publisher":"European Crohn's and Colitis Organisation","title":"Emigration to western industrialized countries: A risk factor for developing inflammatory bowel disease","type":"article-journal","volume":"5"},"uris":["http://www.mendeley.com/documents/?uuid=628c0ec1-8223-42b0-9b77-b6fe1c42d526"]},{"id":"ITEM-3","itemData":{"DOI":"10.1038/ajg.2017.208","ISSN":"15720241","abstract":"Objectives:To determine the association between inflammatory bowel disease (IBD) and rural/urban household at the time of diagnosis, or within the first 5 years (y) of life.Methods:Population-based cohorts of residents of four Canadian provinces were created using health administrative data. Rural/urban status was derived from postal codes based on population density and distance to metropolitan areas. Validated algorithms identified all incident IBD cases from administrative data (Alberta: 1999-2008, Manitoba and Ontario: 1999-2010, and Nova Scotia: 2000-2008). We determined sex-standardized incidence (per 100,000 patient-years) and incident rate ratios (IRR) using Poisson regression. A birth cohort was created of children in whom full administrative data were available from birth (Alberta 1996-2010, Manitoba 1988-2010, and Ontario 1991-2010). IRR was calculated for residents who lived continuously in rural/urban households during each of the first 5 years of life.Results:There were 6,662 rural residents and 38,905 urban residents with IBD. Incidence of IBD per 100,000 was 33.16 (95% CI 27.24-39.08) in urban residents, and 30.72 (95% CI 23.81-37.64) in rural residents (IRR 0.90, 95% CI 0.81-0.99). The protective association was strongest in children &lt;10 years (IRR 0.58, 95% CI 0.43-0.73) and 10-17.9 years (IRR 0.72, 95% CI 0.64-0.81). In the birth cohort, comprising 331 rural and 2,302 urban residents, rurality in the first 1-5 years of life was associated with lower risk of IBD (IRR 0.75-0.78).Conclusions:People living in rural households had lower risk of developing IBD. This association is strongest in young children and adolescents, and in children exposed to the rural environment early in life.","author":[{"dropping-particle":"","family":"Benchimol","given":"Eric I.","non-dropping-particle":"","parse-names":false,"suffix":""},{"dropping-particle":"","family":"Kaplan","given":"Gilaad G.","non-dropping-particle":"","parse-names":false,"suffix":""},{"dropping-particle":"","family":"Otley","given":"Anthony R.","non-dropping-particle":"","parse-names":false,"suffix":""},{"dropping-particle":"","family":"Nguyen","given":"Geoffrey C.","non-dropping-particle":"","parse-names":false,"suffix":""},{"dropping-particle":"","family":"Underwood","given":"Fox E.","non-dropping-particle":"","parse-names":false,"suffix":""},{"dropping-particle":"","family":"Guttmann","given":"Astrid","non-dropping-particle":"","parse-names":false,"suffix":""},{"dropping-particle":"","family":"Jones","given":"Jennifer L.","non-dropping-particle":"","parse-names":false,"suffix":""},{"dropping-particle":"","family":"Potter","given":"Beth K.","non-dropping-particle":"","parse-names":false,"suffix":""},{"dropping-particle":"","family":"Catley","given":"Christina A.","non-dropping-particle":"","parse-names":false,"suffix":""},{"dropping-particle":"","family":"Nugent","given":"Zoann J.","non-dropping-particle":"","parse-names":false,"suffix":""},{"dropping-particle":"","family":"Cui","given":"Yunsong","non-dropping-particle":"","parse-names":false,"suffix":""},{"dropping-particle":"","family":"Tanyingoh","given":"Divine","non-dropping-particle":"","parse-names":false,"suffix":""},{"dropping-particle":"","family":"Mojaverian","given":"Nassim","non-dropping-particle":"","parse-names":false,"suffix":""},{"dropping-particle":"","family":"Bitton","given":"Alain","non-dropping-particle":"","parse-names":false,"suffix":""},{"dropping-particle":"","family":"Carroll","given":"Matthew W.","non-dropping-particle":"","parse-names":false,"suffix":""},{"dropping-particle":"","family":"Debruyn","given":"Jennifer","non-dropping-particle":"","parse-names":false,"suffix":""},{"dropping-particle":"","family":"Dummer","given":"Trevor J.B.","non-dropping-particle":"","parse-names":false,"suffix":""},{"dropping-particle":"","family":"El-Matary","given":"Wael","non-dropping-particle":"","parse-names":false,"suffix":""},{"dropping-particle":"","family":"Griffiths","given":"Anne M.","non-dropping-particle":"","parse-names":false,"suffix":""},{"dropping-particle":"","family":"Jacobson","given":"Kevan","non-dropping-particle":"","parse-names":false,"suffix":""},{"dropping-particle":"","family":"Kuenzig","given":"M. Ellen","non-dropping-particle":"","parse-names":false,"suffix":""},{"dropping-particle":"","family":"Leddin","given":"Desmond","non-dropping-particle":"","parse-names":false,"suffix":""},{"dropping-particle":"","family":"Lix","given":"Lisa M.","non-dropping-particle":"","parse-names":false,"suffix":""},{"dropping-particle":"","family":"Mack","given":"David R.","non-dropping-particle":"","parse-names":false,"suffix":""},{"dropping-particle":"","family":"Murthy","given":"Sanjay K.","non-dropping-particle":"","parse-names":false,"suffix":""},{"dropping-particle":"","family":"Sánchez","given":"Juan Nicolás Peña","non-dropping-particle":"","parse-names":false,"suffix":""},{"dropping-particle":"","family":"Singh","given":"Harminder","non-dropping-particle":"","parse-names":false,"suffix":""},{"dropping-particle":"","family":"Targownik","given":"Laura E.","non-dropping-particle":"","parse-names":false,"suffix":""},{"dropping-particle":"","family":"Vutcovici","given":"Maria","non-dropping-particle":"","parse-names":false,"suffix":""},{"dropping-particle":"","family":"Bernstein","given":"Charles N.","non-dropping-particle":"","parse-names":false,"suffix":""}],"container-title":"American Journal of Gastroenterology","id":"ITEM-3","issue":"9","issued":{"date-parts":[["2017"]]},"note":"People living in less urbanized environments (more rural) are less likely to develop IBD","page":"1412-1422","title":"Rural and Urban Residence during Early Life is Associated with a Lower Risk of Inflammatory Bowel Disease: A Population-Based Inception and Birth Cohort Study","type":"article-journal","volume":"112"},"uris":["http://www.mendeley.com/documents/?uuid=e120b38b-7435-4d47-bb59-e2a15200c4ba"]}],"mendeley":{"formattedCitation":"&lt;sup&gt;88–90&lt;/sup&gt;","plainTextFormattedCitation":"88–90","previouslyFormattedCitation":"&lt;sup&gt;88–90&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88–90</w:t>
      </w:r>
      <w:r w:rsidRPr="00901194">
        <w:rPr>
          <w:rFonts w:cs="Times New Roman"/>
          <w:szCs w:val="24"/>
        </w:rPr>
        <w:fldChar w:fldCharType="end"/>
      </w:r>
      <w:r w:rsidRPr="00901194">
        <w:rPr>
          <w:rFonts w:cs="Times New Roman"/>
          <w:szCs w:val="24"/>
        </w:rPr>
        <w:t xml:space="preserve">, we investigated the distribution of these amino acid-conjugated bile acids across our industrialization gradient. Overall, ten of the 12 total amino acid-conjugated bile acids annotated in this study demonstrated a striking increase with industrialization, despite not appearing in the list of the top 1,000 most abundant features in our data. Such differential amino acid-conjugated bile acids include phenylalanocholic acid (Kruskal-Wallis p=1.9e-6), leucocholic acid (Kruskal-Wallis p=1.69e-7), leucine-conjugated chenodeoxycholic acid (CHDCA) (Kruskal-Wallis p=0.04), tyrosocholic acid (Kruskal-Wallis p=7.71e-3), tyrosine-conjugated deoxycholic acid (Kruskal-Wallis p=1.61e-5), glutamate-conjugated CHDCA (Kruskal-Wallis p=1.69e-7), tryptophan-conjugated CHDCA (Kruskal-Wallis p=4.9e-7), aspartate-conjugated CHDCA (Kruskal-Wallis p=1.13e-5), histidine-conjugated CHDCA (Kruskal-Wallis p=6.41e-3), and histidine-conjugated cholic acid (Kruskal-Wallis p=0.04) (Figure </w:t>
      </w:r>
      <w:r w:rsidR="00F47E53" w:rsidRPr="00901194">
        <w:rPr>
          <w:rFonts w:cs="Times New Roman"/>
          <w:szCs w:val="24"/>
        </w:rPr>
        <w:t>2.</w:t>
      </w:r>
      <w:r w:rsidRPr="00901194">
        <w:rPr>
          <w:rFonts w:cs="Times New Roman"/>
          <w:szCs w:val="24"/>
        </w:rPr>
        <w:t>1g-h, Figure S</w:t>
      </w:r>
      <w:r w:rsidR="00F47E53" w:rsidRPr="00901194">
        <w:rPr>
          <w:rFonts w:cs="Times New Roman"/>
          <w:szCs w:val="24"/>
        </w:rPr>
        <w:t>2.</w:t>
      </w:r>
      <w:r w:rsidRPr="00901194">
        <w:rPr>
          <w:rFonts w:cs="Times New Roman"/>
          <w:szCs w:val="24"/>
        </w:rPr>
        <w:t xml:space="preserve">2ae-ap). </w:t>
      </w:r>
      <w:r w:rsidRPr="00901194">
        <w:rPr>
          <w:rFonts w:cs="Times New Roman"/>
          <w:szCs w:val="24"/>
        </w:rPr>
        <w:lastRenderedPageBreak/>
        <w:t>Interestingly, high abundance of bile acids like phenylalanocholic acid and leucocholic acid were noted in mice fed high-fat diets</w:t>
      </w:r>
      <w:r w:rsidRPr="00901194">
        <w:rPr>
          <w:rFonts w:cs="Times New Roman"/>
          <w:szCs w:val="24"/>
        </w:rPr>
        <w:fldChar w:fldCharType="begin" w:fldLock="1"/>
      </w:r>
      <w:r w:rsidR="000A1931" w:rsidRPr="00901194">
        <w:rPr>
          <w:rFonts w:cs="Times New Roman"/>
          <w:szCs w:val="24"/>
        </w:rPr>
        <w:instrText>ADDIN CSL_CITATION {"citationItems":[{"id":"ITEM-1","itemData":{"DOI":"10.1038/s41586-020-2047-9","ISBN":"4158602020479","ISSN":"14764687","PMID":"32103176","abstract":"A mosaic of cross-phylum chemical interactions occurs between all metazoans and their microbiomes. A number of molecular families that are known to be produced by the microbiome have a marked effect on the balance between health and disease1–9. Considering the diversity of the human microbiome (which numbers over 40,000 operational taxonomic units10), the effect of the microbiome on the chemistry of an entire animal remains underexplored. Here we use mass spectrometry informatics and data visualization approaches11–13 to provide an assessment of the effects of the microbiome on the chemistry of an entire mammal by comparing metabolomics data from germ-free and specific-pathogen-free mice. We found that the microbiota affects the chemistry of all organs. This included the amino acid conjugations of host bile acids that were used to produce phenylalanocholic acid, tyrosocholic acid and leucocholic acid, which have not previously been characterized despite extensive research on bile-acid chemistry14. These bile-acid conjugates were also found in humans, and were enriched in patients with inflammatory bowel disease or cystic fibrosis. These compounds agonized the farnesoid X receptor in vitro, and mice gavaged with the compounds showed reduced expression of bile-acid synthesis genes in vivo. Further studies are required to confirm whether these compounds have a physiological role in the host, and whether they contribute to gut diseases that are associated with microbiome dysbiosis.","author":[{"dropping-particle":"","family":"Quinn","given":"Robert A.","non-dropping-particle":"","parse-names":false,"suffix":""},{"dropping-particle":"V.","family":"Melnik","given":"Alexey","non-dropping-particle":"","parse-names":false,"suffix":""},{"dropping-particle":"","family":"Vrbanac","given":"Alison","non-dropping-particle":"","parse-names":false,"suffix":""},{"dropping-particle":"","family":"Fu","given":"Ting","non-dropping-particle":"","parse-names":false,"suffix":""},{"dropping-particle":"","family":"Patras","given":"Kathryn A.","non-dropping-particle":"","parse-names":false,"suffix":""},{"dropping-particle":"","family":"Christy","given":"Mitchell P.","non-dropping-particle":"","parse-names":false,"suffix":""},{"dropping-particle":"","family":"Bodai","given":"Zsolt","non-dropping-particle":"","parse-names":false,"suffix":""},{"dropping-particle":"","family":"Belda-Ferre","given":"Pedro","non-dropping-particle":"","parse-names":false,"suffix":""},{"dropping-particle":"","family":"Tripathi","given":"Anupriya","non-dropping-particle":"","parse-names":false,"suffix":""},{"dropping-particle":"","family":"Chung","given":"Lawton K.","non-dropping-particle":"","parse-names":false,"suffix":""},{"dropping-particle":"","family":"Downes","given":"Michael","non-dropping-particle":"","parse-names":false,"suffix":""},{"dropping-particle":"","family":"Welch","given":"Ryan D.","non-dropping-particle":"","parse-names":false,"suffix":""},{"dropping-particle":"","family":"Quinn","given":"Melissa","non-dropping-particle":"","parse-names":false,"suffix":""},{"dropping-particle":"","family":"Humphrey","given":"Greg","non-dropping-particle":"","parse-names":false,"suffix":""},{"dropping-particle":"","family":"Panitchpakdi","given":"Morgan","non-dropping-particle":"","parse-names":false,"suffix":""},{"dropping-particle":"","family":"Weldon","given":"Kelly C.","non-dropping-particle":"","parse-names":false,"suffix":""},{"dropping-particle":"","family":"Aksenov","given":"Alexander","non-dropping-particle":"","parse-names":false,"suffix":""},{"dropping-particle":"","family":"Silva","given":"Ricardo","non-dropping-particle":"da","parse-names":false,"suffix":""},{"dropping-particle":"","family":"Avila-Pacheco","given":"Julian","non-dropping-particle":"","parse-names":false,"suffix":""},{"dropping-particle":"","family":"Clish","given":"Clary","non-dropping-particle":"","parse-names":false,"suffix":""},{"dropping-particle":"","family":"Bae","given":"Sena","non-dropping-particle":"","parse-names":false,"suffix":""},{"dropping-particle":"","family":"Mallick","given":"Himel","non-dropping-particle":"","parse-names":false,"suffix":""},{"dropping-particle":"","family":"Franzosa","given":"Eric A.","non-dropping-particle":"","parse-names":false,"suffix":""},{"dropping-particle":"","family":"Lloyd-Price","given":"Jason","non-dropping-particle":"","parse-names":false,"suffix":""},{"dropping-particle":"","family":"Bussell","given":"Robert","non-dropping-particle":"","parse-names":false,"suffix":""},{"dropping-particle":"","family":"Thron","given":"Taren","non-dropping-particle":"","parse-names":false,"suffix":""},{"dropping-particle":"","family":"Nelson","given":"Andrew T.","non-dropping-particle":"","parse-names":false,"suffix":""},{"dropping-particle":"","family":"Wang","given":"Mingxun","non-dropping-particle":"","parse-names":false,"suffix":""},{"dropping-particle":"","family":"Leszczynski","given":"Eric","non-dropping-particle":"","parse-names":false,"suffix":""},{"dropping-particle":"","family":"Vargas","given":"Fernando","non-dropping-particle":"","parse-names":false,"suffix":""},{"dropping-particle":"","family":"Gauglitz","given":"Julia M.","non-dropping-particle":"","parse-names":false,"suffix":""},{"dropping-particle":"","family":"Meehan","given":"Michael J.","non-dropping-particle":"","parse-names":false,"suffix":""},{"dropping-particle":"","family":"Gentry","given":"Emily","non-dropping-particle":"","parse-names":false,"suffix":""},{"dropping-particle":"","family":"Arthur","given":"Timothy D.","non-dropping-particle":"","parse-names":false,"suffix":""},{"dropping-particle":"","family":"Komor","given":"Alexis C.","non-dropping-particle":"","parse-names":false,"suffix":""},{"dropping-particle":"","family":"Poulsen","given":"Orit","non-dropping-particle":"","parse-names":false,"suffix":""},{"dropping-particle":"","family":"Boland","given":"Brigid S.","non-dropping-particle":"","parse-names":false,"suffix":""},{"dropping-particle":"","family":"Chang","given":"John T.","non-dropping-particle":"","parse-names":false,"suffix":""},{"dropping-particle":"","family":"Sandborn","given":"William J.","non-dropping-particle":"","parse-names":false,"suffix":""},{"dropping-particle":"","family":"Lim","given":"Meerana","non-dropping-particle":"","parse-names":false,"suffix":""},{"dropping-particle":"","family":"Garg","given":"Neha","non-dropping-particle":"","parse-names":false,"suffix":""},{"dropping-particle":"","family":"Lumeng","given":"Julie C.","non-dropping-particle":"","parse-names":false,"suffix":""},{"dropping-particle":"","family":"Xavier","given":"Ramnik J.","non-dropping-particle":"","parse-names":false,"suffix":""},{"dropping-particle":"","family":"Kazmierczak","given":"Barbara I.","non-dropping-particle":"","parse-names":false,"suffix":""},{"dropping-particle":"","family":"Jain","given":"Ruchi","non-dropping-particle":"","parse-names":false,"suffix":""},{"dropping-particle":"","family":"Egan","given":"Marie","non-dropping-particle":"","parse-names":false,"suffix":""},{"dropping-particle":"","family":"Rhee","given":"Kyung E.","non-dropping-particle":"","parse-names":false,"suffix":""},{"dropping-particle":"","family":"Ferguson","given":"David","non-dropping-particle":"","parse-names":false,"suffix":""},{"dropping-particle":"","family":"Raffatellu","given":"Manuela","non-dropping-particle":"","parse-names":false,"suffix":""},{"dropping-particle":"","family":"Vlamakis","given":"Hera","non-dropping-particle":"","parse-names":false,"suffix":""},{"dropping-particle":"","family":"Haddad","given":"Gabriel G.","non-dropping-particle":"","parse-names":false,"suffix":""},{"dropping-particle":"","family":"Siegel","given":"Dionicio","non-dropping-particle":"","parse-names":false,"suffix":""},{"dropping-particle":"","family":"Huttenhower","given":"Curtis","non-dropping-particle":"","parse-names":false,"suffix":""},{"dropping-particle":"","family":"Mazmanian","given":"Sarkis K.","non-dropping-particle":"","parse-names":false,"suffix":""},{"dropping-particle":"","family":"Evans","given":"Ronald M.","non-dropping-particle":"","parse-names":false,"suffix":""},{"dropping-particle":"","family":"Nizet","given":"Victor","non-dropping-particle":"","parse-names":false,"suffix":""},{"dropping-particle":"","family":"Knight","given":"Rob","non-dropping-particle":"","parse-names":false,"suffix":""},{"dropping-particle":"","family":"Dorrestein","given":"Pieter C.","non-dropping-particle":"","parse-names":false,"suffix":""}],"container-title":"Nature","id":"ITEM-1","issue":"7797","issued":{"date-parts":[["2020"]]},"note":"Conjugated bile acids paper -- critical for ours","page":"123-129","publisher":"Springer US","title":"Global chemical effects of the microbiome include new bile-acid conjugations","type":"article-journal","volume":"579"},"uris":["http://www.mendeley.com/documents/?uuid=e63426d4-0f32-40d5-a3c4-074f017d8998"]}],"mendeley":{"formattedCitation":"&lt;sup&gt;30&lt;/sup&gt;","plainTextFormattedCitation":"30","previouslyFormattedCitation":"&lt;sup&gt;30&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30</w:t>
      </w:r>
      <w:r w:rsidRPr="00901194">
        <w:rPr>
          <w:rFonts w:cs="Times New Roman"/>
          <w:szCs w:val="24"/>
        </w:rPr>
        <w:fldChar w:fldCharType="end"/>
      </w:r>
      <w:r w:rsidRPr="00901194">
        <w:rPr>
          <w:rFonts w:cs="Times New Roman"/>
          <w:szCs w:val="24"/>
        </w:rPr>
        <w:t>, which is characteristic of Western industrialization societies</w:t>
      </w:r>
      <w:r w:rsidRPr="00901194">
        <w:rPr>
          <w:rFonts w:cs="Times New Roman"/>
          <w:szCs w:val="24"/>
        </w:rPr>
        <w:fldChar w:fldCharType="begin" w:fldLock="1"/>
      </w:r>
      <w:r w:rsidR="000A1931" w:rsidRPr="00901194">
        <w:rPr>
          <w:rFonts w:cs="Times New Roman"/>
          <w:szCs w:val="24"/>
        </w:rPr>
        <w:instrText>ADDIN CSL_CITATION {"citationItems":[{"id":"ITEM-1","itemData":{"DOI":"10.1016/j.cub.2015.05.040","ISSN":"09609822","abstract":"The environment shapes our intestinal microbiome. By contrasting the gut microbiomes of African hunter-gatherer and European subjects, a new study reveals that urbanization is associated with a loss of microbial organisms and genes. What will be the consequences of the lost biodiversity in the sanitized, western-diet world?","author":[{"dropping-particle":"","family":"Segata","given":"Nicola","non-dropping-particle":"","parse-names":false,"suffix":""}],"container-title":"Current Biology","id":"ITEM-1","issue":"14","issued":{"date-parts":[["2015"]]},"page":"R611-R613","publisher":"Elsevier Ltd","title":"Gut Microbiome: Westernization and the Disappearance of Intestinal Diversity","type":"article-journal","volume":"25"},"uris":["http://www.mendeley.com/documents/?uuid=ba37d3a7-6eeb-47e6-84fc-c8d322f245c6"]}],"mendeley":{"formattedCitation":"&lt;sup&gt;145&lt;/sup&gt;","plainTextFormattedCitation":"145","previouslyFormattedCitation":"&lt;sup&gt;145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145</w:t>
      </w:r>
      <w:r w:rsidRPr="00901194">
        <w:rPr>
          <w:rFonts w:cs="Times New Roman"/>
          <w:szCs w:val="24"/>
        </w:rPr>
        <w:fldChar w:fldCharType="end"/>
      </w:r>
      <w:r w:rsidRPr="00901194">
        <w:rPr>
          <w:rFonts w:cs="Times New Roman"/>
          <w:szCs w:val="24"/>
        </w:rPr>
        <w:t xml:space="preserve">. The enrichment of these bile acids in our industrialized populations parallels with these diet studies, further suggesting a link between diet and the metabolome across industrialization. </w:t>
      </w:r>
      <w:r w:rsidR="00901194">
        <w:rPr>
          <w:rFonts w:cs="Times New Roman"/>
          <w:szCs w:val="24"/>
        </w:rPr>
        <w:t xml:space="preserve">Similar to leu-leu and urobilin, these amino acid-conjugated bile acids represent potential biomarkers of an industrialized phenotype, revealing molecular components connected to industrialization. </w:t>
      </w:r>
      <w:r w:rsidRPr="00901194">
        <w:rPr>
          <w:rFonts w:cs="Times New Roman"/>
          <w:szCs w:val="24"/>
        </w:rPr>
        <w:t>However, two amino acid-conjugated bile acids, aspartate-conjugated cholic acid (Kruskal-Wallis p=0.05) and threonine-conjugated CHDCA (Kruskal-Wallis p=0.4), were not enriched in industrialized populations and did not display any statistically significant differences based on industrialization category. The functional role of these amino acid-conjugated bile acids in health is currently unknown, though our results further support a link between amino acid-conjugated bile acids and industrialization, and possibly to associated diseases.</w:t>
      </w:r>
    </w:p>
    <w:p w14:paraId="28DBBED0" w14:textId="77777777" w:rsidR="0043103D" w:rsidRPr="00901194" w:rsidRDefault="0043103D" w:rsidP="00CE7533">
      <w:pPr>
        <w:rPr>
          <w:rFonts w:cs="Times New Roman"/>
          <w:szCs w:val="24"/>
        </w:rPr>
        <w:sectPr w:rsidR="0043103D" w:rsidRPr="00901194" w:rsidSect="00E20C39">
          <w:footerReference w:type="default" r:id="rId23"/>
          <w:pgSz w:w="12240" w:h="15840"/>
          <w:pgMar w:top="1440" w:right="1440" w:bottom="1440" w:left="1440" w:header="0" w:footer="0" w:gutter="0"/>
          <w:pgNumType w:start="1"/>
          <w:cols w:space="720"/>
          <w:formProt w:val="0"/>
          <w:docGrid w:linePitch="360" w:charSpace="-2049"/>
        </w:sectPr>
      </w:pPr>
    </w:p>
    <w:p w14:paraId="0F73C265" w14:textId="77777777" w:rsidR="00196E95" w:rsidRPr="00901194" w:rsidRDefault="00196E95" w:rsidP="00196E95">
      <w:pPr>
        <w:spacing w:after="0" w:line="240" w:lineRule="auto"/>
        <w:rPr>
          <w:rFonts w:cs="Times New Roman"/>
          <w:szCs w:val="24"/>
        </w:rPr>
      </w:pPr>
    </w:p>
    <w:tbl>
      <w:tblPr>
        <w:tblW w:w="11888" w:type="dxa"/>
        <w:tblInd w:w="10" w:type="dxa"/>
        <w:tblCellMar>
          <w:left w:w="10" w:type="dxa"/>
          <w:right w:w="10" w:type="dxa"/>
        </w:tblCellMar>
        <w:tblLook w:val="04A0" w:firstRow="1" w:lastRow="0" w:firstColumn="1" w:lastColumn="0" w:noHBand="0" w:noVBand="1"/>
      </w:tblPr>
      <w:tblGrid>
        <w:gridCol w:w="820"/>
        <w:gridCol w:w="721"/>
        <w:gridCol w:w="658"/>
        <w:gridCol w:w="1021"/>
        <w:gridCol w:w="1252"/>
        <w:gridCol w:w="1619"/>
        <w:gridCol w:w="2274"/>
        <w:gridCol w:w="1118"/>
        <w:gridCol w:w="787"/>
        <w:gridCol w:w="874"/>
        <w:gridCol w:w="744"/>
      </w:tblGrid>
      <w:tr w:rsidR="00196E95" w:rsidRPr="00901194" w14:paraId="38A83793"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54EAB"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Feature</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BD7D5E1" w14:textId="77777777" w:rsidR="00196E95" w:rsidRPr="00901194" w:rsidRDefault="00196E95" w:rsidP="00A3769A">
            <w:pPr>
              <w:spacing w:after="0" w:line="240" w:lineRule="auto"/>
              <w:jc w:val="center"/>
              <w:rPr>
                <w:rFonts w:eastAsia="Times New Roman" w:cs="Times New Roman"/>
                <w:b/>
                <w:bCs/>
                <w:i/>
                <w:iCs/>
                <w:color w:val="000000"/>
              </w:rPr>
            </w:pPr>
            <w:r w:rsidRPr="00901194">
              <w:rPr>
                <w:rFonts w:eastAsia="Times New Roman" w:cs="Times New Roman"/>
                <w:b/>
                <w:bCs/>
                <w:i/>
                <w:iCs/>
                <w:color w:val="000000"/>
              </w:rPr>
              <w:t>m/z</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234F7D2"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RT (min)</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5142075"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p-value (Kruskal-Wallis)</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002E1B4C"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Annotation</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03D9F094"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Details</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5AEF198F"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Predicted Classyfire/CANOPUS Chemical Class with posterior probability</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21B46937"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Mass difference to reference</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13523A5"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Adduct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EA5416B"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Analog?</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4CB5C7E" w14:textId="77777777" w:rsidR="00196E95" w:rsidRPr="00901194" w:rsidRDefault="00196E95"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Cosine Score</w:t>
            </w:r>
          </w:p>
        </w:tc>
      </w:tr>
      <w:tr w:rsidR="00196E95" w:rsidRPr="00901194" w14:paraId="370018A7"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C82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6D3AAD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145.13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14E64D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0.321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780027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1.05E-09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54EB986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6D43577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4B7FC0E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7F18592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421E57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36D096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90F9CD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6ECF53BF"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E9BE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06EDF1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145.13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870E20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0.322</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D9BDF4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1.62E-09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7FD0FA8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0F27400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Part of same sub-network as Feature 1</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FCFBDC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0FB083D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1BD9A9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1E0F03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D6B776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6C634333"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CB73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29E1B3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159.15</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685E89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0.359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A38AEC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3.65E-09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6B955AB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5BC6CDB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74CEC33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3B23F7B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DE3D0B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7CB127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49111C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41EB2B65"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5E1C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D84736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235.17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D4D036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0.251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E8841F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2.28E-07</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5C5849E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4217BED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24021AF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Primary alcohol (71.332%)</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7FD1918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5C7F3E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2E4D07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F1D4BA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00B81C84"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C8C3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5</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ECD1C7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245.19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DC9B11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3.274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D9C5BA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8.73E-09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2274356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Spectral Match to Leu-Leu</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5F30E13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In sub-network with other Leu-Leu spectral matches</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713CFB6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Amino acid derivative (87.591%)</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4B85AB5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20BB58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M+H</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63FABF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3B6391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0.89</w:t>
            </w:r>
          </w:p>
        </w:tc>
      </w:tr>
      <w:tr w:rsidR="00196E95" w:rsidRPr="00901194" w14:paraId="254B9D1B"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AB78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BCFFCD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276.11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523323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0.411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24B087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8.68E-09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6391A01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64B775C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Part of sub-network with matches to N-Acetylmuramic acid</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D2E7B4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Organic phosphoric acid and derivatives (59.786%)</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2B3C5C2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5A7829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6AE846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p w14:paraId="1F922277" w14:textId="77777777" w:rsidR="00E525F8" w:rsidRPr="00901194" w:rsidRDefault="00E525F8" w:rsidP="00E525F8">
            <w:pPr>
              <w:rPr>
                <w:rFonts w:eastAsia="Times New Roman" w:cs="Times New Roman"/>
              </w:rPr>
            </w:pPr>
          </w:p>
          <w:p w14:paraId="0B3CF7AC" w14:textId="77777777" w:rsidR="00E525F8" w:rsidRPr="00901194" w:rsidRDefault="00E525F8" w:rsidP="00E525F8">
            <w:pPr>
              <w:rPr>
                <w:rFonts w:eastAsia="Times New Roman" w:cs="Times New Roman"/>
                <w:color w:val="000000"/>
              </w:rPr>
            </w:pPr>
          </w:p>
          <w:p w14:paraId="464A509F" w14:textId="4440F67D" w:rsidR="00E525F8" w:rsidRPr="00901194" w:rsidRDefault="00E525F8" w:rsidP="00E525F8">
            <w:pPr>
              <w:rPr>
                <w:rFonts w:eastAsia="Times New Roman" w:cs="Times New Roman"/>
              </w:rPr>
            </w:pP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C03B53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7C484E25"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6C90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AEB28E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276.11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A8CD61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0.423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7FE4F0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1.43E-06</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622B9AF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3DE599A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Connected to 2 sub-networks, including the sub-network with Feature 6. Also part of network with matches to Glycan Lacto-N-biose and N-Acetylmuramic acid</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2C4468E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Organic phosphoric acid and derivatives (59.786%)</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5779E3A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A1E4C4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762751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73235D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7D460B73"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AE7D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8</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ACDDE0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286.18</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6CB9D2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1.41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C59404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4.75E-05</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3704C75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4D5FB70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BFCAB3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Secondary carboxylic acid amide (54.113%)</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5741D8A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421D0B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04FF57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6887D9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56D08E14"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22A9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697FD2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286.18</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FD894E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1.677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2D4F51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7.10E-06</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2ECBAD1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56BCA34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Part of same sub-network as Feature 8</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1DD1872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Secondary carboxylic acid amide (54.113%)</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0A3BD11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3D24AD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58DAC8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720F7D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04207A74"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77E1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10</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0DD169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305.19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CB9723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3.744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15F27A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2.66E-06</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0A82228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3D73EA4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22EFF0C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Carbamate esters (70.111%)</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69F4B83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C4CF3F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F385BF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02C074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7DD213B1"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65C1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8073DF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332.07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8E1DAC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0.36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B92727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6.36E-08</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4C3DE9D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7E41AAA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383DEEE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Aryl chloride (83.961%)</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3B02694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68DE1C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C1C258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ED789E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5264BFC6"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A770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12</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6C4CF4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363.21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7500C1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1.018</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4ECA48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1.76E-08</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45707E2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07A5417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9CE3AA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Monosaccharide (59.675%)</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27AC847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06194E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A994D8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6414E4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13955ECB"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E01C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037B40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363.21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402E80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0.874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E8C532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1.78E-06</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385F97C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464E6A2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Part of same sub-network as Feature 12</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494A871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Monosaccharide (59.675%)</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4B2CACE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BF130C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EE9BBA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7D0E2B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1EC6D2CD"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257F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BD50D0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365.19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762644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0.514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4AE706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7.39E-09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331B137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30C73D6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68AC16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Monosaccharide (56.026%)</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742B50D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CC9CEB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50CA87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1A6959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5FF3757E"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1B47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15</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CC47F8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379.3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95D89D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4.804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47E5D4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4.91E-12</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3ECDCBB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780CA0D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178339E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Lipid and lipid-like molecule (53.344%)</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205094F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E6F262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917E4B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4ADF09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3E72D4B1"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F5C2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EAF4E4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379.3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65A311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4.823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D1AF80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1.17E-10</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0EAA244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303F45E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Part of same sub-network as Feature 15</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0669CE5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Lipid and lipid-like molecule (53.344%)</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241EB40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8EC6B9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0E983C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97090E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3B92228E"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652A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8AEC8E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379.3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45D609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4.804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D50510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4.25E-12</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4D42873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0C49150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Part of same sub-network as Features 15 &amp; 16</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AB795A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Lipid and lipid-like molecule (53.344%)</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1FF56D7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575CF8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3A7C26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5D9475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17BD5161"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46E8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18</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C516C8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379.3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ABCC96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4.811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787A99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1.56E-10</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1A820E0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0A5FF16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Part of same sub-network as Features 15, 16, 17</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1DBD3A1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Lipid and lipid-like molecule (53.344%)</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7F69476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4E4771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BB8490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7D73FF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3288A0EF"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7B2B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19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7BF93A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398.34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B8F8B6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4.761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CE51C8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1.28E-07</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7C83726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59C7D44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2273D9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Fatty acid ester (60.662%)</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1672EAF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1AC5A5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C12DBA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A816EE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00F1807A"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2C4D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20</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F95778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398.34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416EAE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4.829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E3D911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9.19E-08</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5AF48AB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727A09A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4ED266C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Fatty acid ester (60.662%)</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78BE936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22A84F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43C56A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9D4BA0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70CCF8D1"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A8B4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A1F180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398.34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5E906E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4.842</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7B9ACC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1.15E-07</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3925E2E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7D7E698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75A2F69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Fatty acid ester (60.662%)</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07DB18F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B5A477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173E0B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57FBEF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0109BE90"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25EE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22</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8AF192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398.34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064120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4.807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A1598C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1.65E-07</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3993B1B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72165B2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5EB3C98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Fatty acid ester (60.662%)</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3247ECB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C5198D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161B1A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BE8E79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54AF1CD1"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055F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24E61F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400.36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410E42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4.832</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70E429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8.29E-07</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391DE6E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4B2F5D3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7318F80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1FEF081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016505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316033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E85F90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22FAEE13"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15C4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26D441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414.34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4DAFB3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4.493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FE3DE9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3.73E-09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63DF4BD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086DD3E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7867C38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3FC4CDC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C1682D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6A6332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104DF6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062D67E2"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C143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25</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BF0362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414.34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9597A0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4.428</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8AA9FC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1.18E-09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64BF80B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21B9988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81DB87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Fatty acid ester (63.169%)</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573B120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030BF5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9282F3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5A7171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2A547B9A"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7081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26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DFF378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414.34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301D43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4.379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83809B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1.07E-10</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78D99E5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4F9CB99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4A898A7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Fatty acid ester (63.169%)</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199297B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7D2BA5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A448A2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274EA7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7CC096B1"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693A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B2AEC7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414.34</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8BE950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4.428</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2681AC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9.24E-11</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5ED88AC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3450D48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1BF5150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Fatty acid ester (63.169%)</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2434A84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328738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1E3C8D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A9BF98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06160F42"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1FEA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28</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17364B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591.32</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2EAEF8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4.516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9F51432"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4.45E-07</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3A14947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Spectral match to Urobilin</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428F5119"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Part of sub-network with matches to Bilirubin</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0F26FFB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Fatty acid ester (77.006%)</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662C6B2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1171A3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M+H</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E56B86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FEC44B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0.79</w:t>
            </w:r>
          </w:p>
        </w:tc>
      </w:tr>
      <w:tr w:rsidR="00196E95" w:rsidRPr="00901194" w14:paraId="2564BA60"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40F7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29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EE26D2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593.33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F821CA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4.979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5D910D73"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3.03E-09</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20BDE12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2F725521"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503897EC"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6-alkylaminopurine (51.054%)</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262916C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15B5BD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8DED32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757FBD4"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r w:rsidR="00196E95" w:rsidRPr="00901194" w14:paraId="6CE36BA8" w14:textId="77777777" w:rsidTr="008B537B">
        <w:trPr>
          <w:trHeight w:val="120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EBDDB"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30</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BD6513F"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597.37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7F7E42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5.313</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2BF8BF8E"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3.27E-06</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14:paraId="00D96915"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2FA0EA7A"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4B50055D"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Depsipeptide (68.585%)</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57EAAB38"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60B77130"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87E2337"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1A19DA96" w14:textId="77777777" w:rsidR="00196E95" w:rsidRPr="00901194" w:rsidRDefault="00196E95" w:rsidP="00A3769A">
            <w:pPr>
              <w:spacing w:after="0" w:line="240" w:lineRule="auto"/>
              <w:jc w:val="center"/>
              <w:rPr>
                <w:rFonts w:eastAsia="Times New Roman" w:cs="Times New Roman"/>
                <w:color w:val="000000"/>
              </w:rPr>
            </w:pPr>
            <w:r w:rsidRPr="00901194">
              <w:rPr>
                <w:rFonts w:eastAsia="Times New Roman" w:cs="Times New Roman"/>
                <w:color w:val="000000"/>
              </w:rPr>
              <w:t>-</w:t>
            </w:r>
          </w:p>
        </w:tc>
      </w:tr>
    </w:tbl>
    <w:p w14:paraId="4E0FE1BD" w14:textId="2A1DE68F" w:rsidR="007E16F9" w:rsidRPr="00901194" w:rsidRDefault="007E16F9" w:rsidP="007E16F9">
      <w:pPr>
        <w:pStyle w:val="CaptionJH"/>
        <w:spacing w:line="240" w:lineRule="auto"/>
      </w:pPr>
      <w:bookmarkStart w:id="56" w:name="_Toc131186549"/>
      <w:r w:rsidRPr="00901194">
        <w:rPr>
          <w:b/>
          <w:bCs w:val="0"/>
        </w:rPr>
        <w:t>Table 2</w:t>
      </w:r>
      <w:r w:rsidR="00F46DFA" w:rsidRPr="00901194">
        <w:rPr>
          <w:b/>
          <w:bCs w:val="0"/>
        </w:rPr>
        <w:t>.</w:t>
      </w:r>
      <w:r w:rsidRPr="00901194">
        <w:rPr>
          <w:b/>
          <w:bCs w:val="0"/>
        </w:rPr>
        <w:t>2</w:t>
      </w:r>
      <w:r w:rsidR="00F46DFA" w:rsidRPr="00901194">
        <w:rPr>
          <w:b/>
          <w:bCs w:val="0"/>
        </w:rPr>
        <w:t>:</w:t>
      </w:r>
      <w:r w:rsidRPr="00901194">
        <w:rPr>
          <w:b/>
          <w:bCs w:val="0"/>
        </w:rPr>
        <w:t xml:space="preserve"> Top 30 most differential metabolite features as determined by random forest classifier</w:t>
      </w:r>
      <w:r w:rsidRPr="00901194">
        <w:t>.</w:t>
      </w:r>
      <w:bookmarkEnd w:id="56"/>
    </w:p>
    <w:p w14:paraId="5253DBC9" w14:textId="77777777" w:rsidR="007E16F9" w:rsidRPr="00901194" w:rsidRDefault="007E16F9" w:rsidP="00F84D27">
      <w:pPr>
        <w:spacing w:line="240" w:lineRule="auto"/>
        <w:rPr>
          <w:rFonts w:cs="Times New Roman"/>
          <w:i/>
          <w:iCs/>
        </w:rPr>
      </w:pPr>
      <w:r w:rsidRPr="00901194">
        <w:rPr>
          <w:rFonts w:cs="Times New Roman"/>
          <w:i/>
          <w:iCs/>
        </w:rPr>
        <w:t xml:space="preserve">These features represent the 30 most differential metabolite features based on mean variable importance scores. </w:t>
      </w:r>
    </w:p>
    <w:p w14:paraId="09ABD556" w14:textId="77777777" w:rsidR="00CE7533" w:rsidRPr="00901194" w:rsidRDefault="00CE7533" w:rsidP="00CE7533">
      <w:pPr>
        <w:rPr>
          <w:rFonts w:cs="Times New Roman"/>
          <w:szCs w:val="24"/>
        </w:rPr>
      </w:pPr>
    </w:p>
    <w:p w14:paraId="1A0F9664" w14:textId="77777777" w:rsidR="0043103D" w:rsidRPr="00901194" w:rsidRDefault="0043103D" w:rsidP="00EE1306">
      <w:pPr>
        <w:ind w:firstLine="720"/>
        <w:rPr>
          <w:rFonts w:cs="Times New Roman"/>
          <w:szCs w:val="24"/>
        </w:rPr>
        <w:sectPr w:rsidR="0043103D" w:rsidRPr="00901194" w:rsidSect="00E525F8">
          <w:pgSz w:w="15840" w:h="12240" w:orient="landscape"/>
          <w:pgMar w:top="1440" w:right="1440" w:bottom="1440" w:left="1440" w:header="0" w:footer="0" w:gutter="0"/>
          <w:cols w:space="720"/>
          <w:formProt w:val="0"/>
          <w:docGrid w:linePitch="360" w:charSpace="-2049"/>
        </w:sectPr>
      </w:pPr>
    </w:p>
    <w:p w14:paraId="5EA5972F" w14:textId="7857FFB5" w:rsidR="00EE1306" w:rsidRPr="00901194" w:rsidRDefault="00EE1306" w:rsidP="00EE1306">
      <w:pPr>
        <w:rPr>
          <w:rFonts w:cs="Times New Roman"/>
          <w:szCs w:val="24"/>
        </w:rPr>
      </w:pPr>
      <w:r w:rsidRPr="00901194">
        <w:rPr>
          <w:rFonts w:cs="Times New Roman"/>
          <w:b/>
          <w:bCs/>
          <w:szCs w:val="24"/>
        </w:rPr>
        <w:lastRenderedPageBreak/>
        <w:tab/>
      </w:r>
      <w:r w:rsidRPr="00901194">
        <w:rPr>
          <w:rFonts w:cs="Times New Roman"/>
          <w:szCs w:val="24"/>
        </w:rPr>
        <w:t>Our sampled populations are considerably different from each other with strong dietary, behavioral, and geographic differences and, together, represent distinct realms of human experience and diversity. Thus, metabolite features common to these markedly separate populations likely constitute shared components of a human fecal metabolome found in major human groups, even if metabolite abundances vary. Frequency assessment of metabolite features can, however, be strongly influenced by data processing parameters, particularly gap-filing and data filtration. Gap-filling identifies peaks that are present in only some samples, and searches for these same peaks at lower intensities in the remaining samples</w:t>
      </w:r>
      <w:r w:rsidRPr="00901194">
        <w:rPr>
          <w:rFonts w:cs="Times New Roman"/>
          <w:szCs w:val="24"/>
        </w:rPr>
        <w:fldChar w:fldCharType="begin" w:fldLock="1"/>
      </w:r>
      <w:r w:rsidR="000A1931" w:rsidRPr="00901194">
        <w:rPr>
          <w:rFonts w:cs="Times New Roman"/>
          <w:szCs w:val="24"/>
        </w:rPr>
        <w:instrText>ADDIN CSL_CITATION {"citationItems":[{"id":"ITEM-1","itemData":{"DOI":"10.1186/1471-2105-6-179","ISBN":"1471210561","ISSN":"14712105","PMID":"16026613","abstract":"Background: Liquid chromatography coupled to mass spectrometry (LC/MS) has been widely used in proteomics and metabolomics research. In this context, the technology has been increasingly used for differential profiling, i.e. broad screening of biomolecular components across multiple samples in order to elucidate the observed phenotypes and discover biomarkers. One of the major challenges in this domain remains development of better solutions for processing of LC/MS data. Results: We present a software package MZmine that enables differential LC/MS analysis of metabolomics data. This software is a toolbox containing methods for all data processing stages preceding differential analysis: spectral filtering, peak detection, alignment and normalization. Specifically, we developed and implemented a new recursive peak search algorithm and a secondary peak picking method for improving already aligned results, as well as a normalization tool that uses multiple internal standards. Visualization tools enable comparative viewing of data across multiple samples. Peak lists can be exported into other data analysis programs. The toolbox has already been utilized in a wide range of applications. We demonstrate its utility on an example of metabolic profiling of Catharanthus roseus cell cultures. Conclusion: The software is freely available under the GNU General Public License and it can be obtained from the project web page at: http://mzmine.sourceforge.net/. © 2005 Katajamaa and Orešič; licensee BioMed Central Ltd.","author":[{"dropping-particle":"","family":"Katajamaa","given":"Mikko","non-dropping-particle":"","parse-names":false,"suffix":""},{"dropping-particle":"","family":"Orešič","given":"Matej","non-dropping-particle":"","parse-names":false,"suffix":""}],"container-title":"BMC Bioinformatics","id":"ITEM-1","issued":{"date-parts":[["2005"]]},"title":"Processing methods for differential analysis of LC/MS profile data","type":"article-journal","volume":"6"},"uris":["http://www.mendeley.com/documents/?uuid=edff1a7c-3a6d-4bfc-a61c-fcb7882be328"]}],"mendeley":{"formattedCitation":"&lt;sup&gt;146&lt;/sup&gt;","plainTextFormattedCitation":"146","previouslyFormattedCitation":"&lt;sup&gt;146&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146</w:t>
      </w:r>
      <w:r w:rsidRPr="00901194">
        <w:rPr>
          <w:rFonts w:cs="Times New Roman"/>
          <w:szCs w:val="24"/>
        </w:rPr>
        <w:fldChar w:fldCharType="end"/>
      </w:r>
      <w:r w:rsidRPr="00901194">
        <w:rPr>
          <w:rFonts w:cs="Times New Roman"/>
          <w:szCs w:val="24"/>
        </w:rPr>
        <w:t>. Analyzing non-gap-filled data can artificially increase divergence between groups, while gap-filling may increase similarities between groups</w:t>
      </w:r>
      <w:r w:rsidRPr="00901194">
        <w:rPr>
          <w:rFonts w:cs="Times New Roman"/>
          <w:szCs w:val="24"/>
        </w:rPr>
        <w:fldChar w:fldCharType="begin" w:fldLock="1"/>
      </w:r>
      <w:r w:rsidR="000A1931" w:rsidRPr="00901194">
        <w:rPr>
          <w:rFonts w:cs="Times New Roman"/>
          <w:szCs w:val="24"/>
        </w:rPr>
        <w:instrText>ADDIN CSL_CITATION {"citationItems":[{"id":"ITEM-1","itemData":{"DOI":"doi:10.1007/978-1-0716-0239-3_13","author":[{"dropping-particle":"V.","family":"Phelan","given":"Vanessa","non-dropping-particle":"","parse-names":false,"suffix":""}],"container-title":"Computational Methods and Data Analysis for Metabolomics","id":"ITEM-1","issued":{"date-parts":[["2020"]]},"page":"227-243","publisher-place":"Humana, NY","title":"Feature-based molecular networking for metabolite annotation","type":"chapter"},"uris":["http://www.mendeley.com/documents/?uuid=20a51dfc-20b3-4138-bf73-e7026dde0be0"]},{"id":"ITEM-2","itemData":{"DOI":"10.1039/9781788019880-00232","ISBN":"9781788019880","ISSN":"20457553","abstract":"MZmine is an open-source, multi-platform, user-friendly, graphical software for mass spectrometry data processing, with the main focus on small molecule mass spectrometry applications such as metabolomics and lipidomics. It provides a set of modules that cover the entire data-processing workflow for liquid chromatography-mass spectrometry. Moreover, the recent addition of the automated data analysis pipeline (ADAP) algorithms for feature detection and spectral deconvolution has further expanded the scope of MZmine to gas chromatography-mass spectrometry as well. The metabolite identification capability of MZmine has been greatly improved by integration of the SIRIUS/CSI:FingerID structure-prediction algorithm, as well as new modules for interactive lipid identification and for direct submission of feature-based molecular networking jobs to the Global Natural Products Social Molecular Networking (GNPS) web server. MZmine also supports the creation and querying of local mass spectral databases and direct deposition of spectra to the GNPS database. In addition to the interactive user interface, batch processing is available for large-scale, automated data analyses. Over its 15-year history, MZmine has matured into a worldwide collaborative project, with many academic labs having contributed new data processing and visualization modules.","author":[{"dropping-particle":"","family":"Pluskal","given":"Tomáš","non-dropping-particle":"","parse-names":false,"suffix":""},{"dropping-particle":"","family":"Korf","given":"Ansgar","non-dropping-particle":"","parse-names":false,"suffix":""},{"dropping-particle":"","family":"Smirnov","given":"Aleksandr","non-dropping-particle":"","parse-names":false,"suffix":""},{"dropping-particle":"","family":"Schmid","given":"Robin","non-dropping-particle":"","parse-names":false,"suffix":""},{"dropping-particle":"","family":"Fallon","given":"Timothy R.","non-dropping-particle":"","parse-names":false,"suffix":""},{"dropping-particle":"","family":"Du","given":"Xiuxia","non-dropping-particle":"","parse-names":false,"suffix":""},{"dropping-particle":"","family":"Weng","given":"Jing Ke","non-dropping-particle":"","parse-names":false,"suffix":""}],"chapter-number":"Chapter 7","container-title":"Processing Metabolomics and Proteomics Data with Open Software","id":"ITEM-2","issued":{"date-parts":[["2020"]]},"note":"Summary: Outlines what MZmine is, how it works, and its utility for analyzing MS/MS data. Covers the basic steps and how they work (filter raw data, detect feats as a feat list, further processing, and align [and gap-filling as an optional final step]). Highlights other platforms it can be integrated with (GNPS, mzTab-M, MetFrag, etc.)","page":"232-254","publisher":"The Royal Society of Chemistry","title":"Chapter 7: Metabolomics Data Analysis Using MZmine","type":"chapter"},"uris":["http://www.mendeley.com/documents/?uuid=26a82ab0-f905-4e77-ac96-94cbc967f2da"]}],"mendeley":{"formattedCitation":"&lt;sup&gt;47,147&lt;/sup&gt;","plainTextFormattedCitation":"47,147","previouslyFormattedCitation":"&lt;sup&gt;47,147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47,147</w:t>
      </w:r>
      <w:r w:rsidRPr="00901194">
        <w:rPr>
          <w:rFonts w:cs="Times New Roman"/>
          <w:szCs w:val="24"/>
        </w:rPr>
        <w:fldChar w:fldCharType="end"/>
      </w:r>
      <w:r w:rsidRPr="00901194">
        <w:rPr>
          <w:rFonts w:cs="Times New Roman"/>
          <w:szCs w:val="24"/>
        </w:rPr>
        <w:t>. Gap-filling is a recommended approach for feature-based molecular networking</w:t>
      </w:r>
      <w:r w:rsidRPr="00901194">
        <w:rPr>
          <w:rFonts w:cs="Times New Roman"/>
          <w:szCs w:val="24"/>
        </w:rPr>
        <w:fldChar w:fldCharType="begin" w:fldLock="1"/>
      </w:r>
      <w:r w:rsidR="000A1931" w:rsidRPr="00901194">
        <w:rPr>
          <w:rFonts w:cs="Times New Roman"/>
          <w:szCs w:val="24"/>
        </w:rPr>
        <w:instrText>ADDIN CSL_CITATION {"citationItems":[{"id":"ITEM-1","itemData":{"DOI":"doi:10.1007/978-1-0716-0239-3_13","author":[{"dropping-particle":"V.","family":"Phelan","given":"Vanessa","non-dropping-particle":"","parse-names":false,"suffix":""}],"container-title":"Computational Methods and Data Analysis for Metabolomics","id":"ITEM-1","issued":{"date-parts":[["2020"]]},"page":"227-243","publisher-place":"Humana, NY","title":"Feature-based molecular networking for metabolite annotation","type":"chapter"},"uris":["http://www.mendeley.com/documents/?uuid=20a51dfc-20b3-4138-bf73-e7026dde0be0"]}],"mendeley":{"formattedCitation":"&lt;sup&gt;47&lt;/sup&gt;","plainTextFormattedCitation":"47","previouslyFormattedCitation":"&lt;sup&gt;47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47</w:t>
      </w:r>
      <w:r w:rsidRPr="00901194">
        <w:rPr>
          <w:rFonts w:cs="Times New Roman"/>
          <w:szCs w:val="24"/>
        </w:rPr>
        <w:fldChar w:fldCharType="end"/>
      </w:r>
      <w:r w:rsidRPr="00901194">
        <w:rPr>
          <w:rFonts w:cs="Times New Roman"/>
          <w:szCs w:val="24"/>
        </w:rPr>
        <w:t xml:space="preserve">. However, to ensure the greatest transparency, we present the analysis of both gap-filled and non-gap-filled data here. </w:t>
      </w:r>
    </w:p>
    <w:p w14:paraId="11A5C576" w14:textId="3E611465" w:rsidR="00EE1306" w:rsidRPr="00901194" w:rsidRDefault="00EE1306" w:rsidP="00EE1306">
      <w:pPr>
        <w:ind w:firstLine="720"/>
        <w:rPr>
          <w:rFonts w:cs="Times New Roman"/>
          <w:szCs w:val="24"/>
        </w:rPr>
      </w:pPr>
      <w:r w:rsidRPr="00901194">
        <w:rPr>
          <w:rFonts w:cs="Times New Roman"/>
          <w:szCs w:val="24"/>
        </w:rPr>
        <w:t xml:space="preserve">Analysis of non-gap-filled data identified 8,017 metabolite features with at least one occurrence in each population (27,707 common metabolite features in gap-filled data). Further filtering by occurrences in each population highlighted 7,483 metabolite features in non-gap-filled data found in at least six samples in all populations (23,477 metabolite features in gap-filled data), 2,240 metabolite features in non-gap-filled data found in half of all samples in each population (5,924 metabolite features in gap-filled data), and 1,080 metabolite features in both non-gap-filled and gap-filled data found in every sample across all populations (Figure </w:t>
      </w:r>
      <w:r w:rsidR="00F84D27" w:rsidRPr="00901194">
        <w:rPr>
          <w:rFonts w:cs="Times New Roman"/>
          <w:szCs w:val="24"/>
        </w:rPr>
        <w:t>2.</w:t>
      </w:r>
      <w:r w:rsidRPr="00901194">
        <w:rPr>
          <w:rFonts w:cs="Times New Roman"/>
          <w:szCs w:val="24"/>
        </w:rPr>
        <w:t>2 for  gap-filled data; Figure S</w:t>
      </w:r>
      <w:r w:rsidR="00F84D27" w:rsidRPr="00901194">
        <w:rPr>
          <w:rFonts w:cs="Times New Roman"/>
          <w:szCs w:val="24"/>
        </w:rPr>
        <w:t>2.</w:t>
      </w:r>
      <w:r w:rsidRPr="00901194">
        <w:rPr>
          <w:rFonts w:cs="Times New Roman"/>
          <w:szCs w:val="24"/>
        </w:rPr>
        <w:t xml:space="preserve">1 for non-gap-filled data). Impact of industrialization on overall fecal metabolome profiles was comparable between gap-filled and non-gap-filled data (compare Figure </w:t>
      </w:r>
      <w:r w:rsidR="00C726E2" w:rsidRPr="00901194">
        <w:rPr>
          <w:rFonts w:cs="Times New Roman"/>
          <w:szCs w:val="24"/>
        </w:rPr>
        <w:t>2.</w:t>
      </w:r>
      <w:r w:rsidRPr="00901194">
        <w:rPr>
          <w:rFonts w:cs="Times New Roman"/>
          <w:szCs w:val="24"/>
        </w:rPr>
        <w:t>1b to Figure S</w:t>
      </w:r>
      <w:r w:rsidR="00C726E2" w:rsidRPr="00901194">
        <w:rPr>
          <w:rFonts w:cs="Times New Roman"/>
          <w:szCs w:val="24"/>
        </w:rPr>
        <w:t>2.</w:t>
      </w:r>
      <w:r w:rsidRPr="00901194">
        <w:rPr>
          <w:rFonts w:cs="Times New Roman"/>
          <w:szCs w:val="24"/>
        </w:rPr>
        <w:t xml:space="preserve">1c). </w:t>
      </w:r>
    </w:p>
    <w:p w14:paraId="29E09183" w14:textId="4A3F4739" w:rsidR="00B46A40" w:rsidRPr="00901194" w:rsidRDefault="00B46A40">
      <w:pPr>
        <w:spacing w:line="259" w:lineRule="auto"/>
        <w:rPr>
          <w:rFonts w:cs="Times New Roman"/>
          <w:szCs w:val="24"/>
        </w:rPr>
      </w:pPr>
      <w:r w:rsidRPr="00901194">
        <w:rPr>
          <w:rFonts w:cs="Times New Roman"/>
          <w:noProof/>
          <w:szCs w:val="24"/>
        </w:rPr>
        <w:lastRenderedPageBreak/>
        <w:drawing>
          <wp:anchor distT="0" distB="0" distL="114300" distR="114300" simplePos="0" relativeHeight="251661312" behindDoc="0" locked="0" layoutInCell="1" allowOverlap="1" wp14:anchorId="00DEB1ED" wp14:editId="3C25A758">
            <wp:simplePos x="0" y="0"/>
            <wp:positionH relativeFrom="margin">
              <wp:align>center</wp:align>
            </wp:positionH>
            <wp:positionV relativeFrom="paragraph">
              <wp:posOffset>0</wp:posOffset>
            </wp:positionV>
            <wp:extent cx="5819140" cy="8229600"/>
            <wp:effectExtent l="0" t="0" r="0" b="0"/>
            <wp:wrapTopAndBottom/>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anchor>
        </w:drawing>
      </w:r>
      <w:r w:rsidRPr="00901194">
        <w:rPr>
          <w:rFonts w:cs="Times New Roman"/>
          <w:szCs w:val="24"/>
        </w:rPr>
        <w:br w:type="page"/>
      </w:r>
    </w:p>
    <w:p w14:paraId="0B91B569" w14:textId="00D8837F" w:rsidR="00B46A40" w:rsidRPr="00901194" w:rsidRDefault="00B46A40" w:rsidP="00B46A40">
      <w:pPr>
        <w:pStyle w:val="CaptionJH"/>
        <w:spacing w:line="240" w:lineRule="auto"/>
      </w:pPr>
      <w:bookmarkStart w:id="57" w:name="_Toc131186550"/>
      <w:r w:rsidRPr="00901194">
        <w:rPr>
          <w:b/>
          <w:bCs w:val="0"/>
        </w:rPr>
        <w:lastRenderedPageBreak/>
        <w:t xml:space="preserve">Figure </w:t>
      </w:r>
      <w:r w:rsidR="005058C7" w:rsidRPr="00901194">
        <w:rPr>
          <w:b/>
          <w:bCs w:val="0"/>
        </w:rPr>
        <w:t>2</w:t>
      </w:r>
      <w:r w:rsidR="00F46DFA" w:rsidRPr="00901194">
        <w:rPr>
          <w:b/>
          <w:bCs w:val="0"/>
        </w:rPr>
        <w:t>.2:</w:t>
      </w:r>
      <w:r w:rsidRPr="00901194">
        <w:rPr>
          <w:b/>
          <w:bCs w:val="0"/>
        </w:rPr>
        <w:t xml:space="preserve"> The shared human metabolome</w:t>
      </w:r>
      <w:r w:rsidRPr="00901194">
        <w:t>.</w:t>
      </w:r>
      <w:bookmarkEnd w:id="57"/>
    </w:p>
    <w:p w14:paraId="6FE939D5" w14:textId="79532BDF" w:rsidR="00B46A40" w:rsidRPr="00901194" w:rsidRDefault="00B46A40" w:rsidP="00C726E2">
      <w:pPr>
        <w:spacing w:line="240" w:lineRule="auto"/>
        <w:rPr>
          <w:rFonts w:cs="Times New Roman"/>
          <w:i/>
          <w:iCs/>
        </w:rPr>
      </w:pPr>
      <w:r w:rsidRPr="00901194">
        <w:rPr>
          <w:rFonts w:cs="Times New Roman"/>
          <w:i/>
          <w:iCs/>
        </w:rPr>
        <w:t xml:space="preserve">Derived from where n=90 (Norman n=18, Guayabo n=12, Tambo de Mora n=14, Boulkiemdé n=11, Tunapuco n=24, and Matses n=11). </w:t>
      </w:r>
      <w:r w:rsidRPr="00901194">
        <w:rPr>
          <w:rFonts w:cs="Times New Roman"/>
          <w:b/>
          <w:i/>
          <w:iCs/>
        </w:rPr>
        <w:t>a</w:t>
      </w:r>
      <w:r w:rsidRPr="00901194">
        <w:rPr>
          <w:rFonts w:cs="Times New Roman"/>
          <w:i/>
          <w:iCs/>
        </w:rPr>
        <w:t xml:space="preserve">, Metabolic feature overlap across study populations in gap-filled data. </w:t>
      </w:r>
      <w:r w:rsidRPr="00901194">
        <w:rPr>
          <w:rFonts w:cs="Times New Roman"/>
          <w:b/>
          <w:i/>
          <w:iCs/>
        </w:rPr>
        <w:t>b</w:t>
      </w:r>
      <w:r w:rsidRPr="00901194">
        <w:rPr>
          <w:rFonts w:cs="Times New Roman"/>
          <w:i/>
          <w:iCs/>
        </w:rPr>
        <w:t xml:space="preserve">, UpSet plot of gap-filled data indicate strong similarity of metabolomic profiles. Total number of metabolite features for each sampled population is depicted in rows with number of overlapping features reported as bar graphs. More features were shared by all populations groups than were seen across different group comparisons. Colored box highlights intersection of all populations (27707 total metabolite features). </w:t>
      </w:r>
      <w:r w:rsidRPr="00901194">
        <w:rPr>
          <w:rFonts w:cs="Times New Roman"/>
          <w:b/>
          <w:i/>
          <w:iCs/>
        </w:rPr>
        <w:t>c</w:t>
      </w:r>
      <w:r w:rsidRPr="00901194">
        <w:rPr>
          <w:rFonts w:cs="Times New Roman"/>
          <w:i/>
          <w:iCs/>
        </w:rPr>
        <w:t>, ReDU co-analysis datasets sorted by MS instrument. ThermoFisher Scientific Q Exactive (n=696); Bruker Impact (n=447); Bruker maXis (n=143). The co-analysis illustrates overlap across the datasets, despite instrumental differences. Colored box highlights intersection of all datasets (846 total metabolite features).</w:t>
      </w:r>
    </w:p>
    <w:p w14:paraId="06C6F6A9" w14:textId="77777777" w:rsidR="00B46A40" w:rsidRPr="00901194" w:rsidRDefault="00B46A40" w:rsidP="00B46A40">
      <w:pPr>
        <w:rPr>
          <w:rFonts w:cs="Times New Roman"/>
        </w:rPr>
      </w:pPr>
    </w:p>
    <w:p w14:paraId="7D660CD5" w14:textId="72A7F090" w:rsidR="00922C1C" w:rsidRPr="00901194" w:rsidRDefault="00EE1306" w:rsidP="00B46A40">
      <w:pPr>
        <w:ind w:firstLine="720"/>
        <w:rPr>
          <w:rFonts w:cs="Times New Roman"/>
          <w:szCs w:val="24"/>
        </w:rPr>
      </w:pPr>
      <w:r w:rsidRPr="00901194">
        <w:rPr>
          <w:rFonts w:cs="Times New Roman"/>
          <w:szCs w:val="24"/>
        </w:rPr>
        <w:t>We discuss here the most stringent results based on the non-gap-filled data, while acknowledging that this approach likely misses many features that are actually common across populations, due to analytical considerations. We further filtered out researcher-derived molecules such as N,N-diethyl-meta-toluamide (DEET) from our list of the shared fecal metabolome. These retained common metabolite features included chemical groups like indoles, steroids, lactones, and fatty acyls (Table S</w:t>
      </w:r>
      <w:r w:rsidR="00C726E2" w:rsidRPr="00901194">
        <w:rPr>
          <w:rFonts w:cs="Times New Roman"/>
          <w:szCs w:val="24"/>
        </w:rPr>
        <w:t>2.</w:t>
      </w:r>
      <w:r w:rsidRPr="00901194">
        <w:rPr>
          <w:rFonts w:cs="Times New Roman"/>
          <w:szCs w:val="24"/>
        </w:rPr>
        <w:t>2; Figure S</w:t>
      </w:r>
      <w:r w:rsidR="00C726E2" w:rsidRPr="00901194">
        <w:rPr>
          <w:rFonts w:cs="Times New Roman"/>
          <w:szCs w:val="24"/>
        </w:rPr>
        <w:t>2.</w:t>
      </w:r>
      <w:r w:rsidRPr="00901194">
        <w:rPr>
          <w:rFonts w:cs="Times New Roman"/>
          <w:szCs w:val="24"/>
        </w:rPr>
        <w:t>3). Dipeptides included threonylphenylalanine (</w:t>
      </w:r>
      <w:r w:rsidRPr="00901194">
        <w:rPr>
          <w:rFonts w:cs="Times New Roman"/>
          <w:i/>
          <w:iCs/>
          <w:szCs w:val="24"/>
        </w:rPr>
        <w:t xml:space="preserve">m/z </w:t>
      </w:r>
      <w:r w:rsidRPr="00901194">
        <w:rPr>
          <w:rFonts w:cs="Times New Roman"/>
          <w:szCs w:val="24"/>
        </w:rPr>
        <w:t>267.134; RT 0.48 min), valylvaline (</w:t>
      </w:r>
      <w:r w:rsidRPr="00901194">
        <w:rPr>
          <w:rFonts w:cs="Times New Roman"/>
          <w:i/>
          <w:iCs/>
          <w:szCs w:val="24"/>
        </w:rPr>
        <w:t xml:space="preserve">m/z </w:t>
      </w:r>
      <w:r w:rsidRPr="00901194">
        <w:rPr>
          <w:rFonts w:cs="Times New Roman"/>
          <w:szCs w:val="24"/>
        </w:rPr>
        <w:t>217.155; RT 0.45 min), and isoleucylproline (</w:t>
      </w:r>
      <w:r w:rsidRPr="00901194">
        <w:rPr>
          <w:rFonts w:cs="Times New Roman"/>
          <w:i/>
          <w:iCs/>
          <w:szCs w:val="24"/>
        </w:rPr>
        <w:t xml:space="preserve">m/z </w:t>
      </w:r>
      <w:r w:rsidRPr="00901194">
        <w:rPr>
          <w:rFonts w:cs="Times New Roman"/>
          <w:szCs w:val="24"/>
        </w:rPr>
        <w:t>229.155; RT 0.55 min). Shared bile acids include hyocholic acid (</w:t>
      </w:r>
      <w:r w:rsidRPr="00901194">
        <w:rPr>
          <w:rFonts w:cs="Times New Roman"/>
          <w:i/>
          <w:iCs/>
          <w:szCs w:val="24"/>
        </w:rPr>
        <w:t xml:space="preserve">m/z </w:t>
      </w:r>
      <w:r w:rsidRPr="00901194">
        <w:rPr>
          <w:rFonts w:cs="Times New Roman"/>
          <w:szCs w:val="24"/>
        </w:rPr>
        <w:t>158.154; RT 4.78 min; primary bile acid involved with absorbing and transporting diet fats and drugs to the liver</w:t>
      </w:r>
      <w:r w:rsidRPr="00901194">
        <w:rPr>
          <w:rFonts w:cs="Times New Roman"/>
          <w:szCs w:val="24"/>
        </w:rPr>
        <w:fldChar w:fldCharType="begin" w:fldLock="1"/>
      </w:r>
      <w:r w:rsidR="000A1931" w:rsidRPr="00901194">
        <w:rPr>
          <w:rFonts w:cs="Times New Roman"/>
          <w:szCs w:val="24"/>
        </w:rPr>
        <w:instrText>ADDIN CSL_CITATION {"citationItems":[{"id":"ITEM-1","itemData":{"DOI":"10.1016/j.livres.2017.05.001","ISSN":"25425684","abstract":"Bile acids play a critical role in the regulation of glucose, lipid, and energy metabolism through activation of the nuclear bile acid receptor farnesoid X receptor (FXR) and membrane G protein-coupled bile acid receptor-1 (Gpbar-1, aka TGR5). Agonist activation of FXR and TGR5 improves insulin and glucose sensitivity and stimulates energy metabolism to prevent diabetes, obesity, and non-alcoholic fatty liver disease (NAFLD). Bile acids have both pro- and anti-inflammatory actions through FXR and TGR5 in the intestine and liver. In the intestine, bile acids activate FXR and TGR5 to stimulate fibroblast growth factor 15 and glucagon-like peptide-1 secretion. FXR and TGR5 agonists may have therapeutic potential for treating liver-related metabolic diseases, such as diabetes and NAFLD.","author":[{"dropping-particle":"","family":"Chiang","given":"John Y.L.","non-dropping-particle":"","parse-names":false,"suffix":""}],"container-title":"Liver Research","id":"ITEM-1","issue":"1","issued":{"date-parts":[["2017"]]},"note":"Hyocholic acid source","page":"3-9","publisher":"Elsevier Ltd","title":"Bile acid metabolism and signaling in liver disease and therapy","type":"article-journal","volume":"1"},"uris":["http://www.mendeley.com/documents/?uuid=4e3e110f-e3c1-4855-92ff-128830f97d15"]}],"mendeley":{"formattedCitation":"&lt;sup&gt;148&lt;/sup&gt;","plainTextFormattedCitation":"148","previouslyFormattedCitation":"&lt;sup&gt;148&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148</w:t>
      </w:r>
      <w:r w:rsidRPr="00901194">
        <w:rPr>
          <w:rFonts w:cs="Times New Roman"/>
          <w:szCs w:val="24"/>
        </w:rPr>
        <w:fldChar w:fldCharType="end"/>
      </w:r>
      <w:r w:rsidRPr="00901194">
        <w:rPr>
          <w:rFonts w:cs="Times New Roman"/>
          <w:szCs w:val="24"/>
        </w:rPr>
        <w:t>) and lithocholic acid (</w:t>
      </w:r>
      <w:r w:rsidRPr="00901194">
        <w:rPr>
          <w:rFonts w:cs="Times New Roman"/>
          <w:i/>
          <w:iCs/>
          <w:szCs w:val="24"/>
        </w:rPr>
        <w:t xml:space="preserve">m/z </w:t>
      </w:r>
      <w:r w:rsidRPr="00901194">
        <w:rPr>
          <w:rFonts w:cs="Times New Roman"/>
          <w:szCs w:val="24"/>
        </w:rPr>
        <w:t>323.273; RT 6.84 min; secondary bile acid commonly found in feces</w:t>
      </w:r>
      <w:r w:rsidRPr="00901194">
        <w:rPr>
          <w:rFonts w:cs="Times New Roman"/>
          <w:szCs w:val="24"/>
        </w:rPr>
        <w:fldChar w:fldCharType="begin" w:fldLock="1"/>
      </w:r>
      <w:r w:rsidR="000A1931" w:rsidRPr="00901194">
        <w:rPr>
          <w:rFonts w:cs="Times New Roman"/>
          <w:szCs w:val="24"/>
        </w:rPr>
        <w:instrText>ADDIN CSL_CITATION {"citationItems":[{"id":"ITEM-1","itemData":{"DOI":"10.1194/jlr.R500013-JLR200","ISSN":"00222275","abstract":"Secondary bile acids, produced solely by intestinal bacteria, can accumulate to high levels in the enterohepatic circulation of some individuals and may contribute to the pathogenesis of colon cancer, gallstones, and other gastrointestinal (GI) diseases. Bile salt hydrolysis and hydroxy group dehydrogenation reactions are carried out by a broad spectrum of intestinal anaerobic bacteria, whereas bile acid 7-dehydroxylation appears restricted to a limited number of intestinal anaerobes representing a small fraction of the total colonic flora. Microbial enzymes modifying bile salts differ between species with respect to pH optima, enzyme kinetics, substrate specificity, cellular location, and possibly physiological function. Crystallization, site-directed mutagenesis, and comparisons of protein secondary structure have provided insight into the mechanisms of several bile acid-biotransforming enzymatic reactions. Molecular cloning of genes encoding bile salt-modifying enzymes has facilitated the understanding of the genetic organization of these pathways and is a means of developing probes for the detection of bile salt-modifying bacteria.jlr The potential exists for altering the bile acid pool by targeting key enzymes in the 7α/β-dehydroxylation pathway through the development of pharmaceuticals or sequestering bile acids biologically in probiotic bacteria, which may result in their effective removal from the host after excretion. Copyright ©2006 by the American Society for Biochemistry and Molecular Biology, Inc.","author":[{"dropping-particle":"","family":"Ridlon","given":"Jason M.","non-dropping-particle":"","parse-names":false,"suffix":""},{"dropping-particle":"","family":"Kang","given":"Dae Joong","non-dropping-particle":"","parse-names":false,"suffix":""},{"dropping-particle":"","family":"Hylemon","given":"Phillip B.","non-dropping-particle":"","parse-names":false,"suffix":""}],"container-title":"Journal of Lipid Research","id":"ITEM-1","issue":"2","issued":{"date-parts":[["2006"]]},"page":"241-259","title":"Bile salt biotransformations by human intestinal bacteria","type":"article-journal","volume":"47"},"uris":["http://www.mendeley.com/documents/?uuid=38ded6e5-51ee-4628-8c36-da913f0a5e4a"]}],"mendeley":{"formattedCitation":"&lt;sup&gt;149&lt;/sup&gt;","plainTextFormattedCitation":"149","previouslyFormattedCitation":"&lt;sup&gt;149&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149</w:t>
      </w:r>
      <w:r w:rsidRPr="00901194">
        <w:rPr>
          <w:rFonts w:cs="Times New Roman"/>
          <w:szCs w:val="24"/>
        </w:rPr>
        <w:fldChar w:fldCharType="end"/>
      </w:r>
      <w:r w:rsidRPr="00901194">
        <w:rPr>
          <w:rFonts w:cs="Times New Roman"/>
          <w:szCs w:val="24"/>
        </w:rPr>
        <w:t>). Fatty acid examples include 3-hydroxydodecanoic acid (</w:t>
      </w:r>
      <w:r w:rsidRPr="00901194">
        <w:rPr>
          <w:rFonts w:cs="Times New Roman"/>
          <w:i/>
          <w:iCs/>
          <w:szCs w:val="24"/>
        </w:rPr>
        <w:t xml:space="preserve">m/z </w:t>
      </w:r>
      <w:r w:rsidRPr="00901194">
        <w:rPr>
          <w:rFonts w:cs="Times New Roman"/>
          <w:szCs w:val="24"/>
        </w:rPr>
        <w:t xml:space="preserve">199.169; RT 7.10 min; medium chain fatty acid associated with fatty acid metabolic disorders, potentially acquired from the microbial genera </w:t>
      </w:r>
      <w:r w:rsidRPr="00901194">
        <w:rPr>
          <w:rFonts w:cs="Times New Roman"/>
          <w:i/>
          <w:iCs/>
          <w:szCs w:val="24"/>
        </w:rPr>
        <w:t xml:space="preserve">Pseudomonas, Moraxella, </w:t>
      </w:r>
      <w:r w:rsidRPr="00901194">
        <w:rPr>
          <w:rFonts w:cs="Times New Roman"/>
          <w:szCs w:val="24"/>
        </w:rPr>
        <w:t xml:space="preserve">and </w:t>
      </w:r>
      <w:r w:rsidRPr="00901194">
        <w:rPr>
          <w:rFonts w:cs="Times New Roman"/>
          <w:i/>
          <w:iCs/>
          <w:szCs w:val="24"/>
        </w:rPr>
        <w:t>Acinetobacter</w:t>
      </w:r>
      <w:r w:rsidRPr="00901194">
        <w:rPr>
          <w:rFonts w:cs="Times New Roman"/>
          <w:szCs w:val="24"/>
        </w:rPr>
        <w:fldChar w:fldCharType="begin" w:fldLock="1"/>
      </w:r>
      <w:r w:rsidR="000A1931" w:rsidRPr="00901194">
        <w:rPr>
          <w:rFonts w:cs="Times New Roman"/>
          <w:szCs w:val="24"/>
        </w:rPr>
        <w:instrText>ADDIN CSL_CITATION {"citationItems":[{"id":"ITEM-1","itemData":{"DOI":"10.1002/jcla.10033","ISSN":"08878013","abstract":"Current diagnostic tests to detect disorders of fatty acids metabolism, such as long-chain hydroxyacyl CoA dehydrogenase deficiency (LCHAD), are hampered by insensitivity or a long delay time required for results. Children with LCHAD deficiency are known to excrete 3-hydroxydicarboxylic acids with chain lengths of 10-16 carbons, but a quantitative method to measure excretion of these potentially diagnostically important compounds has not been reported. We report synthetic schemes for synthesis of 3-hydroxydodecanedioic acid and a di-deuterated analog, suitable for use in a stable-isotope dilution mass spectrometric analytical approach. Evaluation of several common derivatization protocols to produce a volatile derivative for gas chromatography determined that trimethylsyl derivatives produced the best efficiency and stability. Positive-ion chemical ionization mass spectrometry provided the greatest yield of characteristic ions. These results indicate the basic reagents needed to develop sensitive and accurate 3-hydroxydodecanedioic acid measurements for diagnosis of LCHAD deficiency and other fatty acid oxidation disorders. © 2002 Wiley-Liss, Inc.","author":[{"dropping-particle":"","family":"Chickos","given":"J. S.","non-dropping-particle":"","parse-names":false,"suffix":""},{"dropping-particle":"","family":"Way","given":"Barbara A.","non-dropping-particle":"","parse-names":false,"suffix":""},{"dropping-particle":"","family":"Wilson","given":"J.","non-dropping-particle":"","parse-names":false,"suffix":""},{"dropping-particle":"","family":"Shaharuzzaman","given":"M.","non-dropping-particle":"","parse-names":false,"suffix":""},{"dropping-particle":"","family":"Laird","given":"J.","non-dropping-particle":"","parse-names":false,"suffix":""},{"dropping-particle":"","family":"Landt","given":"M.","non-dropping-particle":"","parse-names":false,"suffix":""}],"container-title":"Journal of Clinical Laboratory Analysis","id":"ITEM-1","issue":"2","issued":{"date-parts":[["2002"]]},"page":"115-120","title":"Analysis of 3-hydroxydodecanedioic acid for studies of fatty acid metabolic disorders: Preparation of stable isotope standards","type":"article-journal","volume":"16"},"uris":["http://www.mendeley.com/documents/?uuid=4766ce34-587b-41ad-ad3f-4d1357b8b37f"]},{"id":"ITEM-2","itemData":{"DOI":"10.3389/fmicb.2010.00148","ISSN":"1664302X","abstract":"The human gastrointestinal tract is inhabited by a diverse and dense symbiotic microbiota, the composition of which is the result of host-microbe co-evolution and co-adaptation. This tight integration creates intense cross-talk and signaling between the host and microbiota at the cellular and metabolic levels. In many genetic or infectious diseases the balance between host and microbiota may be compromised resulting in erroneous communication. Consequently, the composition of the human metabolome, which includes the gut metabolome, may be different in health and disease states in terms of microbial products and metabolites entering systemic circulation. To test this hypothesis, we measured the level of hydroxy, branched, cyclopropyl and unsaturated fatty acids, aldehydes, and phenyl derivatives in blood of patients with a hereditary autoinflammatory disorder, familial Mediterranean fever (FMF), and in patients with peptic ulceration (PU) resulting from Helicobacter pylori infection. Discriminant function analysis of a data matrix consisting of 94 cases as statistical units (37 FMF patients, 14 PU patients, and 43 healthy controls) and the concentration of 35 microbial products in the blood as statistical variables revealed a high accuracy of the proposed model (all cases were correctly classified). This suggests that the profile of microbial products and metabolites in the human metabolome is specific for a given disease and may potentially serve as a biomarker for disease. © 2011 Ktsoyan, Beloborodova, Sedrakyan, Osipov, Khachatryan, Kelly, Manukyan, Arakelova, Hovhannisyan, Olenin, Arakelyan, Ghazaryan and Aminov.","author":[{"dropping-particle":"","family":"Ktsoyan","given":"Zhanna A.","non-dropping-particle":"","parse-names":false,"suffix":""},{"dropping-particle":"V.","family":"Beloborodova","given":"Natalia","non-dropping-particle":"","parse-names":false,"suffix":""},{"dropping-particle":"","family":"Sedrakyan","given":"Anahit M.","non-dropping-particle":"","parse-names":false,"suffix":""},{"dropping-particle":"","family":"Osipov","given":"George A.","non-dropping-particle":"","parse-names":false,"suffix":""},{"dropping-particle":"","family":"Khachatryan","given":"Zaruhi A.","non-dropping-particle":"","parse-names":false,"suffix":""},{"dropping-particle":"","family":"Kelly","given":"Denise","non-dropping-particle":"","parse-names":false,"suffix":""},{"dropping-particle":"","family":"Manukyan","given":"Gayane P.","non-dropping-particle":"","parse-names":false,"suffix":""},{"dropping-particle":"","family":"Arakelova","given":"Karine A.","non-dropping-particle":"","parse-names":false,"suffix":""},{"dropping-particle":"","family":"Hovhannisyan","given":"Alvard I.","non-dropping-particle":"","parse-names":false,"suffix":""},{"dropping-particle":"","family":"Olenin","given":"Andrey Y.","non-dropping-particle":"","parse-names":false,"suffix":""},{"dropping-particle":"","family":"Arakelyan","given":"Arsen A.","non-dropping-particle":"","parse-names":false,"suffix":""},{"dropping-particle":"","family":"Ghazaryan","given":"Karine A.","non-dropping-particle":"","parse-names":false,"suffix":""},{"dropping-particle":"","family":"Aminov","given":"Rustam I.","non-dropping-particle":"","parse-names":false,"suffix":""}],"container-title":"Frontiers in Microbiology","id":"ITEM-2","issue":"JAN","issued":{"date-parts":[["2011"]]},"page":"1-9","title":"Profiles of microbial fatty acids in the human metabolome are disease-specific","type":"article-journal","volume":"1"},"uris":["http://www.mendeley.com/documents/?uuid=0a4daa22-4107-4485-afbb-8f0f7c993644"]}],"mendeley":{"formattedCitation":"&lt;sup&gt;150,151&lt;/sup&gt;","plainTextFormattedCitation":"150,151","previouslyFormattedCitation":"&lt;sup&gt;150,151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150,151</w:t>
      </w:r>
      <w:r w:rsidRPr="00901194">
        <w:rPr>
          <w:rFonts w:cs="Times New Roman"/>
          <w:szCs w:val="24"/>
        </w:rPr>
        <w:fldChar w:fldCharType="end"/>
      </w:r>
      <w:r w:rsidRPr="00901194">
        <w:rPr>
          <w:rFonts w:cs="Times New Roman"/>
          <w:szCs w:val="24"/>
        </w:rPr>
        <w:t>) and palmitoleic acid (</w:t>
      </w:r>
      <w:r w:rsidRPr="00901194">
        <w:rPr>
          <w:rFonts w:cs="Times New Roman"/>
          <w:i/>
          <w:iCs/>
          <w:szCs w:val="24"/>
        </w:rPr>
        <w:t xml:space="preserve">m/z </w:t>
      </w:r>
      <w:r w:rsidRPr="00901194">
        <w:rPr>
          <w:rFonts w:cs="Times New Roman"/>
          <w:szCs w:val="24"/>
        </w:rPr>
        <w:t>237.001; RT 6.42 min; fatty acid commonly found in human adipose tissue; also acquired in diet from human breast milk</w:t>
      </w:r>
      <w:r w:rsidRPr="00901194">
        <w:rPr>
          <w:rFonts w:cs="Times New Roman"/>
          <w:szCs w:val="24"/>
        </w:rPr>
        <w:fldChar w:fldCharType="begin" w:fldLock="1"/>
      </w:r>
      <w:r w:rsidR="000A1931" w:rsidRPr="00901194">
        <w:rPr>
          <w:rFonts w:cs="Times New Roman"/>
          <w:szCs w:val="24"/>
        </w:rPr>
        <w:instrText>ADDIN CSL_CITATION {"citationItems":[{"id":"ITEM-1","itemData":{"DOI":"10.3177/jnsv.37.435","ISSN":"18817742","PMID":"1765848","abstract":"The fatty acid composition of samples of breast milk obtained from well-nourished Nigerian and Japanese women was determined by gas chromatography. The cultural differences in dietary intake was reflected in the fatty acid composition of breast milk samples. The milk of Nigerian women contained a significantly higher percentage of saturated fatty acids (48.75%) than that of Japanese women (46.65%). Nigerian milks were also richer in arachidonic (20:4 n-6), eicosatrienoic (20:3 n-6), and docosatetraenoic (22:4 n-6) acids. Conversely, the milk of Japanese woman contained significantly higher percentages of monoun-saturates as palmitoleic, heptadecenoic, oleic, and polyunsaturates of n-3 series as α-linolenic, eicosapentaenoic, and docosahexaenoic acid. © 1991, Center for Academic Publications Japan. All rights reserved.","author":[{"dropping-particle":"","family":"Ogunleye","given":"Abiodun","non-dropping-particle":"","parse-names":false,"suffix":""},{"dropping-particle":"","family":"Fakoya","given":"Adegbola T.","non-dropping-particle":"","parse-names":false,"suffix":""},{"dropping-particle":"","family":"Niizeki","given":"Shiro","non-dropping-particle":"","parse-names":false,"suffix":""},{"dropping-particle":"","family":"Tojo","given":"Hitomi","non-dropping-particle":"","parse-names":false,"suffix":""},{"dropping-particle":"","family":"Sasajima","given":"Ikumi","non-dropping-particle":"","parse-names":false,"suffix":""},{"dropping-particle":"","family":"Kobayashi","given":"Michiko","non-dropping-particle":"","parse-names":false,"suffix":""},{"dropping-particle":"","family":"Tateishi","given":"Setsuko","non-dropping-particle":"","parse-names":false,"suffix":""},{"dropping-particle":"","family":"Yamaguchi","given":"Kenji","non-dropping-particle":"","parse-names":false,"suffix":""}],"container-title":"Journal of Nutritional Science and Vitaminology","id":"ITEM-1","issue":"4","issued":{"date-parts":[["1991"]]},"page":"435-442","title":"Fatty Acid Composition of Breast Milk from Nigerian and Japanese Women","type":"article-journal","volume":"37"},"uris":["http://www.mendeley.com/documents/?uuid=517b95b9-ac75-4483-a61a-5d0176b0ba0f"]}],"mendeley":{"formattedCitation":"&lt;sup&gt;152&lt;/sup&gt;","plainTextFormattedCitation":"152","previouslyFormattedCitation":"&lt;sup&gt;152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152</w:t>
      </w:r>
      <w:r w:rsidRPr="00901194">
        <w:rPr>
          <w:rFonts w:cs="Times New Roman"/>
          <w:szCs w:val="24"/>
        </w:rPr>
        <w:fldChar w:fldCharType="end"/>
      </w:r>
      <w:r w:rsidRPr="00901194">
        <w:rPr>
          <w:rFonts w:cs="Times New Roman"/>
          <w:szCs w:val="24"/>
        </w:rPr>
        <w:t>). Additional metabolites include cholesterol (</w:t>
      </w:r>
      <w:r w:rsidRPr="00901194">
        <w:rPr>
          <w:rFonts w:cs="Times New Roman"/>
          <w:i/>
          <w:iCs/>
          <w:szCs w:val="24"/>
        </w:rPr>
        <w:t xml:space="preserve">m/z </w:t>
      </w:r>
      <w:r w:rsidRPr="00901194">
        <w:rPr>
          <w:rFonts w:cs="Times New Roman"/>
          <w:szCs w:val="24"/>
        </w:rPr>
        <w:t>369.352; RT 10.5 min; essential sterol found in animals</w:t>
      </w:r>
      <w:r w:rsidRPr="00901194">
        <w:rPr>
          <w:rFonts w:cs="Times New Roman"/>
          <w:szCs w:val="24"/>
        </w:rPr>
        <w:fldChar w:fldCharType="begin" w:fldLock="1"/>
      </w:r>
      <w:r w:rsidR="000A1931" w:rsidRPr="00901194">
        <w:rPr>
          <w:rFonts w:cs="Times New Roman"/>
          <w:szCs w:val="24"/>
        </w:rPr>
        <w:instrText>ADDIN CSL_CITATION {"citationItems":[{"id":"ITEM-1","itemData":{"DOI":"10.1093/nar/gkx1089","ISBN":"13624962 (Electronic)","ISSN":"13624962","PMID":"29140435","abstract":"The Human Metabolome Database or HMDB (www.hmdb.ca) is a web-enabled metabolomic database containing comprehensive information about human metabolites along with their biological roles, physiological concentrations, disease associations, chemical reactions, metabolic pathways, and reference spectra. First described in 2007, the HMDB is now considered the standard metabolomic resource for human metabolic studies. Over the past decade the HMDB has continued to grow and evolve in response to emerging needs for metabolomics researchers and continuing changes in web standards. This year's update, HMDB 4.0, represents the most significant upgrade to the database in its history. For instance, the number of fully annotated metabolites has increased by nearly threefold, the number of experimental spectra has grown by almost fourfold and the number of illustrated metabolic pathways has grown by a factor of almost 60. Significant improvements have also been made to the HMDB’s chemical taxonomy, chemical ontology, spectral viewing, and spectral/text searching tools. A great deal of brand new data has also been added to HMDB 4.0. This includes large quantities of predicted MS/MS and GC–MS reference spectral data as well as predicted (physiologically feasible) metabolite structures to facilitate novel metabolite identification. Additional information on metabolite-SNP interactions and the influence of drugs on metabolite levels (pharmacometabolomics) has also been added. Many other important improvements in the content, the interface, and the performance of the HMDB website have been made and these should greatly enhance its ease of use and its potential applications in nutrition, biochemistry, clinical chemistry, clinical genetics, medicine, and metabolomics science.","author":[{"dropping-particle":"","family":"Wishart","given":"David S.","non-dropping-particle":"","parse-names":false,"suffix":""},{"dropping-particle":"","family":"Feunang","given":"Yannick Djoumbou","non-dropping-particle":"","parse-names":false,"suffix":""},{"dropping-particle":"","family":"Marcu","given":"Ana","non-dropping-particle":"","parse-names":false,"suffix":""},{"dropping-particle":"","family":"Guo","given":"An Chi","non-dropping-particle":"","parse-names":false,"suffix":""},{"dropping-particle":"","family":"Liang","given":"Kevin","non-dropping-particle":"","parse-names":false,"suffix":""},{"dropping-particle":"","family":"Vázquez-Fresno","given":"Rosa","non-dropping-particle":"","parse-names":false,"suffix":""},{"dropping-particle":"","family":"Sajed","given":"Tanvir","non-dropping-particle":"","parse-names":false,"suffix":""},{"dropping-particle":"","family":"Johnson","given":"Daniel","non-dropping-particle":"","parse-names":false,"suffix":""},{"dropping-particle":"","family":"Li","given":"Carin","non-dropping-particle":"","parse-names":false,"suffix":""},{"dropping-particle":"","family":"Karu","given":"Naama","non-dropping-particle":"","parse-names":false,"suffix":""},{"dropping-particle":"","family":"Sayeeda","given":"Zinat","non-dropping-particle":"","parse-names":false,"suffix":""},{"dropping-particle":"","family":"Lo","given":"Elvis","non-dropping-particle":"","parse-names":false,"suffix":""},{"dropping-particle":"","family":"Assempour","given":"Nazanin","non-dropping-particle":"","parse-names":false,"suffix":""},{"dropping-particle":"","family":"Berjanskii","given":"Mark","non-dropping-particle":"","parse-names":false,"suffix":""},{"dropping-particle":"","family":"Singhal","given":"Sandeep","non-dropping-particle":"","parse-names":false,"suffix":""},{"dropping-particle":"","family":"Arndt","given":"David","non-dropping-particle":"","parse-names":false,"suffix":""},{"dropping-particle":"","family":"Liang","given":"Yonjie","non-dropping-particle":"","parse-names":false,"suffix":""},{"dropping-particle":"","family":"Badran","given":"Hasan","non-dropping-particle":"","parse-names":false,"suffix":""},{"dropping-particle":"","family":"Grant","given":"Jason","non-dropping-particle":"","parse-names":false,"suffix":""},{"dropping-particle":"","family":"Serra-Cayuela","given":"Arnau","non-dropping-particle":"","parse-names":false,"suffix":""},{"dropping-particle":"","family":"Liu","given":"Yifeng","non-dropping-particle":"","parse-names":false,"suffix":""},{"dropping-particle":"","family":"Mandal","given":"Rupa","non-dropping-particle":"","parse-names":false,"suffix":""},{"dropping-particle":"","family":"Neveu","given":"Vanessa","non-dropping-particle":"","parse-names":false,"suffix":""},{"dropping-particle":"","family":"Pon","given":"Allison","non-dropping-particle":"","parse-names":false,"suffix":""},{"dropping-particle":"","family":"Knox","given":"Craig","non-dropping-particle":"","parse-names":false,"suffix":""},{"dropping-particle":"","family":"Wilson","given":"Michael","non-dropping-particle":"","parse-names":false,"suffix":""},{"dropping-particle":"","family":"Manach","given":"Claudine","non-dropping-particle":"","parse-names":false,"suffix":""},{"dropping-particle":"","family":"Scalbert","given":"Augustin","non-dropping-particle":"","parse-names":false,"suffix":""}],"container-title":"Nucleic Acids Research","id":"ITEM-1","issue":"D1","issued":{"date-parts":[["2017"]]},"page":"D608-D617","title":"HMDB 4.0: The human metabolome database for 2018","type":"article-journal","volume":"46"},"uris":["http://www.mendeley.com/documents/?uuid=e59c3e3b-136c-4c12-a49b-7729d29d34cd"]}],"mendeley":{"formattedCitation":"&lt;sup&gt;44&lt;/sup&gt;","plainTextFormattedCitation":"44","previouslyFormattedCitation":"&lt;sup&gt;44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44</w:t>
      </w:r>
      <w:r w:rsidRPr="00901194">
        <w:rPr>
          <w:rFonts w:cs="Times New Roman"/>
          <w:szCs w:val="24"/>
        </w:rPr>
        <w:fldChar w:fldCharType="end"/>
      </w:r>
      <w:r w:rsidRPr="00901194">
        <w:rPr>
          <w:rFonts w:cs="Times New Roman"/>
          <w:szCs w:val="24"/>
        </w:rPr>
        <w:t xml:space="preserve">), </w:t>
      </w:r>
      <w:r w:rsidRPr="00901194">
        <w:rPr>
          <w:rFonts w:cs="Times New Roman"/>
          <w:szCs w:val="24"/>
        </w:rPr>
        <w:lastRenderedPageBreak/>
        <w:t>methionine (</w:t>
      </w:r>
      <w:r w:rsidRPr="00901194">
        <w:rPr>
          <w:rFonts w:cs="Times New Roman"/>
          <w:i/>
          <w:iCs/>
          <w:szCs w:val="24"/>
        </w:rPr>
        <w:t xml:space="preserve">m/z </w:t>
      </w:r>
      <w:r w:rsidRPr="00901194">
        <w:rPr>
          <w:rFonts w:cs="Times New Roman"/>
          <w:szCs w:val="24"/>
        </w:rPr>
        <w:t>105.058; RT 0.33 min; amino acid), and leucine enkephalin (</w:t>
      </w:r>
      <w:r w:rsidRPr="00901194">
        <w:rPr>
          <w:rFonts w:cs="Times New Roman"/>
          <w:i/>
          <w:iCs/>
          <w:szCs w:val="24"/>
        </w:rPr>
        <w:t xml:space="preserve">m/z </w:t>
      </w:r>
      <w:r w:rsidRPr="00901194">
        <w:rPr>
          <w:rFonts w:cs="Times New Roman"/>
          <w:szCs w:val="24"/>
        </w:rPr>
        <w:t>336.192; RT 3.21 min; peptide naturally produced in animal brains, including humans</w:t>
      </w:r>
      <w:r w:rsidRPr="00901194">
        <w:rPr>
          <w:rFonts w:cs="Times New Roman"/>
          <w:szCs w:val="24"/>
        </w:rPr>
        <w:fldChar w:fldCharType="begin" w:fldLock="1"/>
      </w:r>
      <w:r w:rsidR="000A1931" w:rsidRPr="00901194">
        <w:rPr>
          <w:rFonts w:cs="Times New Roman"/>
          <w:szCs w:val="24"/>
        </w:rPr>
        <w:instrText>ADDIN CSL_CITATION {"citationItems":[{"id":"ITEM-1","itemData":{"DOI":"10.1093/nar/gkx1089","ISBN":"13624962 (Electronic)","ISSN":"13624962","PMID":"29140435","abstract":"The Human Metabolome Database or HMDB (www.hmdb.ca) is a web-enabled metabolomic database containing comprehensive information about human metabolites along with their biological roles, physiological concentrations, disease associations, chemical reactions, metabolic pathways, and reference spectra. First described in 2007, the HMDB is now considered the standard metabolomic resource for human metabolic studies. Over the past decade the HMDB has continued to grow and evolve in response to emerging needs for metabolomics researchers and continuing changes in web standards. This year's update, HMDB 4.0, represents the most significant upgrade to the database in its history. For instance, the number of fully annotated metabolites has increased by nearly threefold, the number of experimental spectra has grown by almost fourfold and the number of illustrated metabolic pathways has grown by a factor of almost 60. Significant improvements have also been made to the HMDB’s chemical taxonomy, chemical ontology, spectral viewing, and spectral/text searching tools. A great deal of brand new data has also been added to HMDB 4.0. This includes large quantities of predicted MS/MS and GC–MS reference spectral data as well as predicted (physiologically feasible) metabolite structures to facilitate novel metabolite identification. Additional information on metabolite-SNP interactions and the influence of drugs on metabolite levels (pharmacometabolomics) has also been added. Many other important improvements in the content, the interface, and the performance of the HMDB website have been made and these should greatly enhance its ease of use and its potential applications in nutrition, biochemistry, clinical chemistry, clinical genetics, medicine, and metabolomics science.","author":[{"dropping-particle":"","family":"Wishart","given":"David S.","non-dropping-particle":"","parse-names":false,"suffix":""},{"dropping-particle":"","family":"Feunang","given":"Yannick Djoumbou","non-dropping-particle":"","parse-names":false,"suffix":""},{"dropping-particle":"","family":"Marcu","given":"Ana","non-dropping-particle":"","parse-names":false,"suffix":""},{"dropping-particle":"","family":"Guo","given":"An Chi","non-dropping-particle":"","parse-names":false,"suffix":""},{"dropping-particle":"","family":"Liang","given":"Kevin","non-dropping-particle":"","parse-names":false,"suffix":""},{"dropping-particle":"","family":"Vázquez-Fresno","given":"Rosa","non-dropping-particle":"","parse-names":false,"suffix":""},{"dropping-particle":"","family":"Sajed","given":"Tanvir","non-dropping-particle":"","parse-names":false,"suffix":""},{"dropping-particle":"","family":"Johnson","given":"Daniel","non-dropping-particle":"","parse-names":false,"suffix":""},{"dropping-particle":"","family":"Li","given":"Carin","non-dropping-particle":"","parse-names":false,"suffix":""},{"dropping-particle":"","family":"Karu","given":"Naama","non-dropping-particle":"","parse-names":false,"suffix":""},{"dropping-particle":"","family":"Sayeeda","given":"Zinat","non-dropping-particle":"","parse-names":false,"suffix":""},{"dropping-particle":"","family":"Lo","given":"Elvis","non-dropping-particle":"","parse-names":false,"suffix":""},{"dropping-particle":"","family":"Assempour","given":"Nazanin","non-dropping-particle":"","parse-names":false,"suffix":""},{"dropping-particle":"","family":"Berjanskii","given":"Mark","non-dropping-particle":"","parse-names":false,"suffix":""},{"dropping-particle":"","family":"Singhal","given":"Sandeep","non-dropping-particle":"","parse-names":false,"suffix":""},{"dropping-particle":"","family":"Arndt","given":"David","non-dropping-particle":"","parse-names":false,"suffix":""},{"dropping-particle":"","family":"Liang","given":"Yonjie","non-dropping-particle":"","parse-names":false,"suffix":""},{"dropping-particle":"","family":"Badran","given":"Hasan","non-dropping-particle":"","parse-names":false,"suffix":""},{"dropping-particle":"","family":"Grant","given":"Jason","non-dropping-particle":"","parse-names":false,"suffix":""},{"dropping-particle":"","family":"Serra-Cayuela","given":"Arnau","non-dropping-particle":"","parse-names":false,"suffix":""},{"dropping-particle":"","family":"Liu","given":"Yifeng","non-dropping-particle":"","parse-names":false,"suffix":""},{"dropping-particle":"","family":"Mandal","given":"Rupa","non-dropping-particle":"","parse-names":false,"suffix":""},{"dropping-particle":"","family":"Neveu","given":"Vanessa","non-dropping-particle":"","parse-names":false,"suffix":""},{"dropping-particle":"","family":"Pon","given":"Allison","non-dropping-particle":"","parse-names":false,"suffix":""},{"dropping-particle":"","family":"Knox","given":"Craig","non-dropping-particle":"","parse-names":false,"suffix":""},{"dropping-particle":"","family":"Wilson","given":"Michael","non-dropping-particle":"","parse-names":false,"suffix":""},{"dropping-particle":"","family":"Manach","given":"Claudine","non-dropping-particle":"","parse-names":false,"suffix":""},{"dropping-particle":"","family":"Scalbert","given":"Augustin","non-dropping-particle":"","parse-names":false,"suffix":""}],"container-title":"Nucleic Acids Research","id":"ITEM-1","issue":"D1","issued":{"date-parts":[["2017"]]},"page":"D608-D617","title":"HMDB 4.0: The human metabolome database for 2018","type":"article-journal","volume":"46"},"uris":["http://www.mendeley.com/documents/?uuid=e59c3e3b-136c-4c12-a49b-7729d29d34cd"]},{"id":"ITEM-2","itemData":{"DOI":"10.1016/j.ab.2018.07.001","ISSN":"10960309","abstract":"The aim of this work was to assess the influence of preanalytical variables on the stability of two endogenous opioid peptides (Methionine-Enkephalin and Leucine-Enkephalin) in human plasma. For this purpose, first a sensitive LC-MS/MS analytical method was developed and validated for the simultaneous quantitative analysis of these two peptides. The methodology consisted of a simple protein precipitation step followed by UPLC separation and MRM quantitative analysis using a stable isotope labelled Methionine-Enkephalin as internal standard. The method with a limit of quantitation of 10 pg/mL showed good reproducibility with excellent accuracy and precision, and was linear up to 2000 pg/mL. An extensive evaluation of the pre-analytical stability of these peptides in human blood was carried out to ensure an adequate sample collection procedure to obtain reliable results in the analysis of clinical samples.","author":[{"dropping-particle":"","family":"Ozalp","given":"Aliye","non-dropping-particle":"","parse-names":false,"suffix":""},{"dropping-particle":"","family":"Barroso","given":"Begona","non-dropping-particle":"","parse-names":false,"suffix":""},{"dropping-particle":"","family":"Meijer","given":"John","non-dropping-particle":"","parse-names":false,"suffix":""},{"dropping-particle":"","family":"Beld","given":"Cas","non-dropping-particle":"van den","parse-names":false,"suffix":""}],"container-title":"Analytical Biochemistry","id":"ITEM-2","issue":"July","issued":{"date-parts":[["2018"]]},"page":"24-29","publisher":"Elsevier","title":"Determination of methionine-enkephalin and leucine-enkephalin by LC-MS in human plasma: Study of pre-analytical stability","type":"article-journal","volume":"559"},"uris":["http://www.mendeley.com/documents/?uuid=0c53149e-b19f-44c4-9ec4-2fdc293d3f50"]}],"mendeley":{"formattedCitation":"&lt;sup&gt;44,153&lt;/sup&gt;","plainTextFormattedCitation":"44,153","previouslyFormattedCitation":"&lt;sup&gt;44,153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44,153</w:t>
      </w:r>
      <w:r w:rsidRPr="00901194">
        <w:rPr>
          <w:rFonts w:cs="Times New Roman"/>
          <w:szCs w:val="24"/>
        </w:rPr>
        <w:fldChar w:fldCharType="end"/>
      </w:r>
      <w:r w:rsidRPr="00901194">
        <w:rPr>
          <w:rFonts w:cs="Times New Roman"/>
          <w:szCs w:val="24"/>
        </w:rPr>
        <w:t>). While a number of these shared metabolite features listed above provide key biological functions, some metabolites appear to be derived from dietary sources. An example of a metabolite possibly acquired from food products includes conjugated linoleic acid (</w:t>
      </w:r>
      <w:r w:rsidRPr="00901194">
        <w:rPr>
          <w:rFonts w:cs="Times New Roman"/>
          <w:i/>
          <w:iCs/>
          <w:szCs w:val="24"/>
        </w:rPr>
        <w:t xml:space="preserve">m/z </w:t>
      </w:r>
      <w:r w:rsidRPr="00901194">
        <w:rPr>
          <w:rFonts w:cs="Times New Roman"/>
          <w:szCs w:val="24"/>
        </w:rPr>
        <w:t>263.24; RT 6.68 min; commonly found in meat and dairy products</w:t>
      </w:r>
      <w:r w:rsidRPr="00901194">
        <w:rPr>
          <w:rFonts w:cs="Times New Roman"/>
          <w:szCs w:val="24"/>
        </w:rPr>
        <w:fldChar w:fldCharType="begin" w:fldLock="1"/>
      </w:r>
      <w:r w:rsidR="000A1931" w:rsidRPr="00901194">
        <w:rPr>
          <w:rFonts w:cs="Times New Roman"/>
          <w:szCs w:val="24"/>
        </w:rPr>
        <w:instrText>ADDIN CSL_CITATION {"citationItems":[{"id":"ITEM-1","itemData":{"DOI":"10.1093/nar/gkx1089","ISBN":"13624962 (Electronic)","ISSN":"13624962","PMID":"29140435","abstract":"The Human Metabolome Database or HMDB (www.hmdb.ca) is a web-enabled metabolomic database containing comprehensive information about human metabolites along with their biological roles, physiological concentrations, disease associations, chemical reactions, metabolic pathways, and reference spectra. First described in 2007, the HMDB is now considered the standard metabolomic resource for human metabolic studies. Over the past decade the HMDB has continued to grow and evolve in response to emerging needs for metabolomics researchers and continuing changes in web standards. This year's update, HMDB 4.0, represents the most significant upgrade to the database in its history. For instance, the number of fully annotated metabolites has increased by nearly threefold, the number of experimental spectra has grown by almost fourfold and the number of illustrated metabolic pathways has grown by a factor of almost 60. Significant improvements have also been made to the HMDB’s chemical taxonomy, chemical ontology, spectral viewing, and spectral/text searching tools. A great deal of brand new data has also been added to HMDB 4.0. This includes large quantities of predicted MS/MS and GC–MS reference spectral data as well as predicted (physiologically feasible) metabolite structures to facilitate novel metabolite identification. Additional information on metabolite-SNP interactions and the influence of drugs on metabolite levels (pharmacometabolomics) has also been added. Many other important improvements in the content, the interface, and the performance of the HMDB website have been made and these should greatly enhance its ease of use and its potential applications in nutrition, biochemistry, clinical chemistry, clinical genetics, medicine, and metabolomics science.","author":[{"dropping-particle":"","family":"Wishart","given":"David S.","non-dropping-particle":"","parse-names":false,"suffix":""},{"dropping-particle":"","family":"Feunang","given":"Yannick Djoumbou","non-dropping-particle":"","parse-names":false,"suffix":""},{"dropping-particle":"","family":"Marcu","given":"Ana","non-dropping-particle":"","parse-names":false,"suffix":""},{"dropping-particle":"","family":"Guo","given":"An Chi","non-dropping-particle":"","parse-names":false,"suffix":""},{"dropping-particle":"","family":"Liang","given":"Kevin","non-dropping-particle":"","parse-names":false,"suffix":""},{"dropping-particle":"","family":"Vázquez-Fresno","given":"Rosa","non-dropping-particle":"","parse-names":false,"suffix":""},{"dropping-particle":"","family":"Sajed","given":"Tanvir","non-dropping-particle":"","parse-names":false,"suffix":""},{"dropping-particle":"","family":"Johnson","given":"Daniel","non-dropping-particle":"","parse-names":false,"suffix":""},{"dropping-particle":"","family":"Li","given":"Carin","non-dropping-particle":"","parse-names":false,"suffix":""},{"dropping-particle":"","family":"Karu","given":"Naama","non-dropping-particle":"","parse-names":false,"suffix":""},{"dropping-particle":"","family":"Sayeeda","given":"Zinat","non-dropping-particle":"","parse-names":false,"suffix":""},{"dropping-particle":"","family":"Lo","given":"Elvis","non-dropping-particle":"","parse-names":false,"suffix":""},{"dropping-particle":"","family":"Assempour","given":"Nazanin","non-dropping-particle":"","parse-names":false,"suffix":""},{"dropping-particle":"","family":"Berjanskii","given":"Mark","non-dropping-particle":"","parse-names":false,"suffix":""},{"dropping-particle":"","family":"Singhal","given":"Sandeep","non-dropping-particle":"","parse-names":false,"suffix":""},{"dropping-particle":"","family":"Arndt","given":"David","non-dropping-particle":"","parse-names":false,"suffix":""},{"dropping-particle":"","family":"Liang","given":"Yonjie","non-dropping-particle":"","parse-names":false,"suffix":""},{"dropping-particle":"","family":"Badran","given":"Hasan","non-dropping-particle":"","parse-names":false,"suffix":""},{"dropping-particle":"","family":"Grant","given":"Jason","non-dropping-particle":"","parse-names":false,"suffix":""},{"dropping-particle":"","family":"Serra-Cayuela","given":"Arnau","non-dropping-particle":"","parse-names":false,"suffix":""},{"dropping-particle":"","family":"Liu","given":"Yifeng","non-dropping-particle":"","parse-names":false,"suffix":""},{"dropping-particle":"","family":"Mandal","given":"Rupa","non-dropping-particle":"","parse-names":false,"suffix":""},{"dropping-particle":"","family":"Neveu","given":"Vanessa","non-dropping-particle":"","parse-names":false,"suffix":""},{"dropping-particle":"","family":"Pon","given":"Allison","non-dropping-particle":"","parse-names":false,"suffix":""},{"dropping-particle":"","family":"Knox","given":"Craig","non-dropping-particle":"","parse-names":false,"suffix":""},{"dropping-particle":"","family":"Wilson","given":"Michael","non-dropping-particle":"","parse-names":false,"suffix":""},{"dropping-particle":"","family":"Manach","given":"Claudine","non-dropping-particle":"","parse-names":false,"suffix":""},{"dropping-particle":"","family":"Scalbert","given":"Augustin","non-dropping-particle":"","parse-names":false,"suffix":""}],"container-title":"Nucleic Acids Research","id":"ITEM-1","issue":"D1","issued":{"date-parts":[["2017"]]},"page":"D608-D617","title":"HMDB 4.0: The human metabolome database for 2018","type":"article-journal","volume":"46"},"uris":["http://www.mendeley.com/documents/?uuid=e59c3e3b-136c-4c12-a49b-7729d29d34cd"]}],"mendeley":{"formattedCitation":"&lt;sup&gt;44&lt;/sup&gt;","plainTextFormattedCitation":"44","previouslyFormattedCitation":"&lt;sup&gt;44&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44</w:t>
      </w:r>
      <w:r w:rsidRPr="00901194">
        <w:rPr>
          <w:rFonts w:cs="Times New Roman"/>
          <w:szCs w:val="24"/>
        </w:rPr>
        <w:fldChar w:fldCharType="end"/>
      </w:r>
      <w:r w:rsidRPr="00901194">
        <w:rPr>
          <w:rFonts w:cs="Times New Roman"/>
          <w:szCs w:val="24"/>
        </w:rPr>
        <w:t xml:space="preserve">). </w:t>
      </w:r>
    </w:p>
    <w:p w14:paraId="31989983" w14:textId="01991DFC" w:rsidR="00EE1306" w:rsidRPr="00901194" w:rsidRDefault="00EE1306" w:rsidP="00922C1C">
      <w:pPr>
        <w:ind w:firstLine="720"/>
        <w:rPr>
          <w:rFonts w:cs="Times New Roman"/>
          <w:szCs w:val="24"/>
        </w:rPr>
      </w:pPr>
      <w:r w:rsidRPr="00901194">
        <w:rPr>
          <w:rFonts w:cs="Times New Roman"/>
          <w:szCs w:val="24"/>
        </w:rPr>
        <w:t>To explore possible interactions between this shared human fecal metabolome and gut microbiome, we used the neural network platform microbe-metabolite vectors (mmvec)</w:t>
      </w:r>
      <w:r w:rsidRPr="00901194">
        <w:rPr>
          <w:rFonts w:cs="Times New Roman"/>
          <w:szCs w:val="24"/>
        </w:rPr>
        <w:fldChar w:fldCharType="begin" w:fldLock="1"/>
      </w:r>
      <w:r w:rsidR="000A1931" w:rsidRPr="00901194">
        <w:rPr>
          <w:rFonts w:cs="Times New Roman"/>
          <w:szCs w:val="24"/>
        </w:rPr>
        <w:instrText>ADDIN CSL_CITATION {"citationItems":[{"id":"ITEM-1","itemData":{"DOI":"10.1038/s41592-019-0616-3","ISSN":"15487105","PMID":"31686038","abstract":"Integrating multiomics datasets is critical for microbiome research; however, inferring interactions across omics datasets has multiple statistical challenges. We solve this problem by using neural networks (https://github.com/biocore/mmvec) to estimate the conditional probability that each molecule is present given the presence of a specific microorganism. We show with known environmental (desert soil biocrust wetting) and clinical (cystic fibrosis lung) examples, our ability to recover microbe–metabolite relationships, and demonstrate how the method can discover relationships between microbially produced metabolites and inflammatory bowel disease.","author":[{"dropping-particle":"","family":"Morton","given":"James T.","non-dropping-particle":"","parse-names":false,"suffix":""},{"dropping-particle":"","family":"Aksenov","given":"Alexander A.","non-dropping-particle":"","parse-names":false,"suffix":""},{"dropping-particle":"","family":"Nothias","given":"Louis Felix","non-dropping-particle":"","parse-names":false,"suffix":""},{"dropping-particle":"","family":"Foulds","given":"James R.","non-dropping-particle":"","parse-names":false,"suffix":""},{"dropping-particle":"","family":"Quinn","given":"Robert A.","non-dropping-particle":"","parse-names":false,"suffix":""},{"dropping-particle":"","family":"Badri","given":"Michelle H.","non-dropping-particle":"","parse-names":false,"suffix":""},{"dropping-particle":"","family":"Swenson","given":"Tami L.","non-dropping-particle":"","parse-names":false,"suffix":""},{"dropping-particle":"","family":"Goethem","given":"Marc W.","non-dropping-particle":"Van","parse-names":false,"suffix":""},{"dropping-particle":"","family":"Northen","given":"Trent R.","non-dropping-particle":"","parse-names":false,"suffix":""},{"dropping-particle":"","family":"Vazquez-Baeza","given":"Yoshiki","non-dropping-particle":"","parse-names":false,"suffix":""},{"dropping-particle":"","family":"Wang","given":"Mingxun","non-dropping-particle":"","parse-names":false,"suffix":""},{"dropping-particle":"","family":"Bokulich","given":"Nicholas A.","non-dropping-particle":"","parse-names":false,"suffix":""},{"dropping-particle":"","family":"Watters","given":"Aaron","non-dropping-particle":"","parse-names":false,"suffix":""},{"dropping-particle":"","family":"Song","given":"Se Jin","non-dropping-particle":"","parse-names":false,"suffix":""},{"dropping-particle":"","family":"Bonneau","given":"Richard","non-dropping-particle":"","parse-names":false,"suffix":""},{"dropping-particle":"","family":"Dorrestein","given":"Pieter C.","non-dropping-particle":"","parse-names":false,"suffix":""},{"dropping-particle":"","family":"Knight","given":"Rob","non-dropping-particle":"","parse-names":false,"suffix":""}],"container-title":"Nature Methods","id":"ITEM-1","issue":"12","issued":{"date-parts":[["2019"]]},"note":"Summary: Article is presenting mmvec as a new approach for exploring the interactions of microbe-metabolite interactions, using it to demonstrate how/why it's better than previous options (e.g., Spearman and Pearson correlations are weaker b/c they assume independence b/w data). mmvec works by estimating the probability of each molecule being present given the presence of a specific microbe, to explore co-occurrence. However, it doesn't yet have a way to statistically assess the rank probabilities.\nSummary: Decent paper, but does a good jopb at explaining mmvec nonetheless. Uses data from case studies to highlight how mmvec can provide specific microbe-metabolite interactions that other models cannot.\n\nmmvec works by estimating the probability of each molecule being present given the presence of a specific microbe\n\nmmvec = mircobe-metabolite vectors\n\nmmvec looks at co-occurrence probabilities (prob. of observing a metabolite given a microbe was observed)","page":"1306-1314","publisher":"Springer US","title":"Learning representations of microbe–metabolite interactions","type":"article-journal","volume":"16"},"uris":["http://www.mendeley.com/documents/?uuid=f000d347-78d6-428d-b039-cb5d5dfe8226"]}],"mendeley":{"formattedCitation":"&lt;sup&gt;115&lt;/sup&gt;","plainTextFormattedCitation":"115","previouslyFormattedCitation":"&lt;sup&gt;115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115</w:t>
      </w:r>
      <w:r w:rsidRPr="00901194">
        <w:rPr>
          <w:rFonts w:cs="Times New Roman"/>
          <w:szCs w:val="24"/>
        </w:rPr>
        <w:fldChar w:fldCharType="end"/>
      </w:r>
      <w:r w:rsidRPr="00901194">
        <w:rPr>
          <w:rFonts w:cs="Times New Roman"/>
          <w:szCs w:val="24"/>
        </w:rPr>
        <w:t>. Briefly, mmvec predicts the abundance of metabolites given specific microbial sequences, which then estimates conditional probabilities of co-occurrences between the metabolite and microbe being compared. Given the compositional nature of microbiome and metabolomics data</w:t>
      </w:r>
      <w:r w:rsidRPr="00901194">
        <w:rPr>
          <w:rFonts w:cs="Times New Roman"/>
          <w:szCs w:val="24"/>
        </w:rPr>
        <w:fldChar w:fldCharType="begin" w:fldLock="1"/>
      </w:r>
      <w:r w:rsidR="000A1931" w:rsidRPr="00901194">
        <w:rPr>
          <w:rFonts w:cs="Times New Roman"/>
          <w:szCs w:val="24"/>
        </w:rPr>
        <w:instrText>ADDIN CSL_CITATION {"citationItems":[{"id":"ITEM-1","itemData":{"DOI":"10.3389/fmicb.2017.02224","ISSN":"1664302X","abstract":"Datasets collected by high-throughput sequencing (HTS) of 16S rRNA gene amplimers, metagenomes or metatranscriptomes are commonplace and being used to study human disease states, ecological differences between sites, and the built environment. There is increasing awareness that microbiome datasets generated by HTS are compositional because they have an arbitrary total imposed by the instrument. However, many investigators are either unaware of this or assume specific properties of the compositional data. The purpose of this review is to alert investigators to the dangers inherent in ignoring the compositional nature of the data, and point out that HTS datasets derived from microbiome studies can and should be treated as compositions at all stages of analysis. We briefly introduce compositional data, illustrate the pathologies that occur when compositional data are analyzed inappropriately, and finally give guidance and point to resources and examples for the analysis of microbiome datasets using compositional data analysis.","author":[{"dropping-particle":"","family":"Gloor","given":"Gregory B.","non-dropping-particle":"","parse-names":false,"suffix":""},{"dropping-particle":"","family":"Macklaim","given":"Jean M.","non-dropping-particle":"","parse-names":false,"suffix":""},{"dropping-particle":"","family":"Pawlowsky-Glahn","given":"Vera","non-dropping-particle":"","parse-names":false,"suffix":""},{"dropping-particle":"","family":"Egozcue","given":"Juan J.","non-dropping-particle":"","parse-names":false,"suffix":""}],"container-title":"Frontiers in Microbiology","id":"ITEM-1","issue":"NOV","issued":{"date-parts":[["2017"]]},"page":"1-6","title":"Microbiome datasets are compositional: And this is not optional","type":"article-journal","volume":"8"},"uris":["http://www.mendeley.com/documents/?uuid=dedd817b-f9c2-4d57-8364-147394b5272a"]},{"id":"ITEM-2","itemData":{"DOI":"10.1002/cem.2657","ISSN":"1099128X","abstract":"When quantifying information in metabolomics, the results are often expressed as data carrying only relative information. Vectors of these data have positive components, and the only relevant information is contained in the ratios between their parts; such observations are called compositional data. The aim of the paper is to demonstrate how partial least squares discriminant analysis (PLS-DA)-the most widely used method in chemometrics for multivariate classification-can be applied to compositional data. Theoretical arguments are provided, and data sets from metabolomics are investigated. The data are related to the diagnosis of inherited metabolic disorders (IMDs). The first example analyzes the significance of the corresponding regression parameters (metabolites) using a small data set resulting from targeted metabolomics, where just a subset of potential markers is selected. The second example-the approach of untargeted metabolomics-was used for the analysis detecting almost 500 metabolites. The significance of the metabolites is investigated by applying PLS-DA, accommodated according to a compositional approach. The significance of important metabolites (markers of diseases) is more clearly visible with the compositional method in both examples. Also, cross-validation methods lead to better results in case of using the compositional approach.","author":[{"dropping-particle":"","family":"Kalivodová","given":"Alžběta","non-dropping-particle":"","parse-names":false,"suffix":""},{"dropping-particle":"","family":"Hron","given":"Karel","non-dropping-particle":"","parse-names":false,"suffix":""},{"dropping-particle":"","family":"Filzmoser","given":"Peter","non-dropping-particle":"","parse-names":false,"suffix":""},{"dropping-particle":"","family":"Najdekr","given":"Lukáš","non-dropping-particle":"","parse-names":false,"suffix":""},{"dropping-particle":"","family":"Janečková","given":"Hana","non-dropping-particle":"","parse-names":false,"suffix":""},{"dropping-particle":"","family":"Adam","given":"Tomáš","non-dropping-particle":"","parse-names":false,"suffix":""}],"container-title":"Journal of Chemometrics","id":"ITEM-2","issue":"1","issued":{"date-parts":[["2015"]]},"page":"21-28","title":"PLS-DA for compositional data with application to metabolomics","type":"article-journal","volume":"29"},"uris":["http://www.mendeley.com/documents/?uuid=ab748d72-0a6e-435a-9047-989f2eebd332"]}],"mendeley":{"formattedCitation":"&lt;sup&gt;154,155&lt;/sup&gt;","plainTextFormattedCitation":"154,155","previouslyFormattedCitation":"&lt;sup&gt;154,155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154,155</w:t>
      </w:r>
      <w:r w:rsidRPr="00901194">
        <w:rPr>
          <w:rFonts w:cs="Times New Roman"/>
          <w:szCs w:val="24"/>
        </w:rPr>
        <w:fldChar w:fldCharType="end"/>
      </w:r>
      <w:r w:rsidRPr="00901194">
        <w:rPr>
          <w:rFonts w:cs="Times New Roman"/>
          <w:szCs w:val="24"/>
        </w:rPr>
        <w:t>, mmvec is a robust approach for inferring interactions between gut metabolites and microbes compared to standard correlation analyses</w:t>
      </w:r>
      <w:r w:rsidRPr="00901194">
        <w:rPr>
          <w:rFonts w:cs="Times New Roman"/>
          <w:szCs w:val="24"/>
        </w:rPr>
        <w:fldChar w:fldCharType="begin" w:fldLock="1"/>
      </w:r>
      <w:r w:rsidR="000A1931" w:rsidRPr="00901194">
        <w:rPr>
          <w:rFonts w:cs="Times New Roman"/>
          <w:szCs w:val="24"/>
        </w:rPr>
        <w:instrText>ADDIN CSL_CITATION {"citationItems":[{"id":"ITEM-1","itemData":{"DOI":"10.1038/s41592-019-0616-3","ISSN":"15487105","PMID":"31686038","abstract":"Integrating multiomics datasets is critical for microbiome research; however, inferring interactions across omics datasets has multiple statistical challenges. We solve this problem by using neural networks (https://github.com/biocore/mmvec) to estimate the conditional probability that each molecule is present given the presence of a specific microorganism. We show with known environmental (desert soil biocrust wetting) and clinical (cystic fibrosis lung) examples, our ability to recover microbe–metabolite relationships, and demonstrate how the method can discover relationships between microbially produced metabolites and inflammatory bowel disease.","author":[{"dropping-particle":"","family":"Morton","given":"James T.","non-dropping-particle":"","parse-names":false,"suffix":""},{"dropping-particle":"","family":"Aksenov","given":"Alexander A.","non-dropping-particle":"","parse-names":false,"suffix":""},{"dropping-particle":"","family":"Nothias","given":"Louis Felix","non-dropping-particle":"","parse-names":false,"suffix":""},{"dropping-particle":"","family":"Foulds","given":"James R.","non-dropping-particle":"","parse-names":false,"suffix":""},{"dropping-particle":"","family":"Quinn","given":"Robert A.","non-dropping-particle":"","parse-names":false,"suffix":""},{"dropping-particle":"","family":"Badri","given":"Michelle H.","non-dropping-particle":"","parse-names":false,"suffix":""},{"dropping-particle":"","family":"Swenson","given":"Tami L.","non-dropping-particle":"","parse-names":false,"suffix":""},{"dropping-particle":"","family":"Goethem","given":"Marc W.","non-dropping-particle":"Van","parse-names":false,"suffix":""},{"dropping-particle":"","family":"Northen","given":"Trent R.","non-dropping-particle":"","parse-names":false,"suffix":""},{"dropping-particle":"","family":"Vazquez-Baeza","given":"Yoshiki","non-dropping-particle":"","parse-names":false,"suffix":""},{"dropping-particle":"","family":"Wang","given":"Mingxun","non-dropping-particle":"","parse-names":false,"suffix":""},{"dropping-particle":"","family":"Bokulich","given":"Nicholas A.","non-dropping-particle":"","parse-names":false,"suffix":""},{"dropping-particle":"","family":"Watters","given":"Aaron","non-dropping-particle":"","parse-names":false,"suffix":""},{"dropping-particle":"","family":"Song","given":"Se Jin","non-dropping-particle":"","parse-names":false,"suffix":""},{"dropping-particle":"","family":"Bonneau","given":"Richard","non-dropping-particle":"","parse-names":false,"suffix":""},{"dropping-particle":"","family":"Dorrestein","given":"Pieter C.","non-dropping-particle":"","parse-names":false,"suffix":""},{"dropping-particle":"","family":"Knight","given":"Rob","non-dropping-particle":"","parse-names":false,"suffix":""}],"container-title":"Nature Methods","id":"ITEM-1","issue":"12","issued":{"date-parts":[["2019"]]},"note":"Summary: Article is presenting mmvec as a new approach for exploring the interactions of microbe-metabolite interactions, using it to demonstrate how/why it's better than previous options (e.g., Spearman and Pearson correlations are weaker b/c they assume independence b/w data). mmvec works by estimating the probability of each molecule being present given the presence of a specific microbe, to explore co-occurrence. However, it doesn't yet have a way to statistically assess the rank probabilities.\nSummary: Decent paper, but does a good jopb at explaining mmvec nonetheless. Uses data from case studies to highlight how mmvec can provide specific microbe-metabolite interactions that other models cannot.\n\nmmvec works by estimating the probability of each molecule being present given the presence of a specific microbe\n\nmmvec = mircobe-metabolite vectors\n\nmmvec looks at co-occurrence probabilities (prob. of observing a metabolite given a microbe was observed)","page":"1306-1314","publisher":"Springer US","title":"Learning representations of microbe–metabolite interactions","type":"article-journal","volume":"16"},"uris":["http://www.mendeley.com/documents/?uuid=f000d347-78d6-428d-b039-cb5d5dfe8226"]}],"mendeley":{"formattedCitation":"&lt;sup&gt;115&lt;/sup&gt;","plainTextFormattedCitation":"115","previouslyFormattedCitation":"&lt;sup&gt;115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115</w:t>
      </w:r>
      <w:r w:rsidRPr="00901194">
        <w:rPr>
          <w:rFonts w:cs="Times New Roman"/>
          <w:szCs w:val="24"/>
        </w:rPr>
        <w:fldChar w:fldCharType="end"/>
      </w:r>
      <w:r w:rsidRPr="00901194">
        <w:rPr>
          <w:rFonts w:cs="Times New Roman"/>
          <w:szCs w:val="24"/>
        </w:rPr>
        <w:t>. Our mmvec analysis used microbial amplicon sequencing variants (ASVs) derived from earlier sample analyses</w:t>
      </w:r>
      <w:r w:rsidRPr="00901194">
        <w:rPr>
          <w:rFonts w:cs="Times New Roman"/>
          <w:szCs w:val="24"/>
        </w:rPr>
        <w:fldChar w:fldCharType="begin" w:fldLock="1"/>
      </w:r>
      <w:r w:rsidR="000A1931" w:rsidRPr="00901194">
        <w:rPr>
          <w:rFonts w:cs="Times New Roman"/>
          <w:szCs w:val="24"/>
        </w:rPr>
        <w:instrText>ADDIN CSL_CITATION {"citationItems":[{"id":"ITEM-1","itemData":{"DOI":"10.1038/ncomms7505","ISBN":"2041-1723","ISSN":"20411723","PMID":"25807110","abstract":"Recent studies suggest that gut microbiomes of urban-industrialized societies are different from those of traditional peoples. Here we examine the relationship between lifeways and gut microbiota through taxonomic and functional potential characterization of faecal samples from hunter-gatherer and traditional agriculturalist communities in Peru and an urban-industrialized community from the US. We find that in addition to taxonomic and metabolic differences between urban and traditional lifestyles, hunter-gatherers form a distinct sub-group among traditional peoples. As observed in previous studies, we find that Treponema are characteristic of traditional gut microbiomes. Moreover, through genome reconstruction (2.2-2.5 MB, coverage depth × 26-513) and functional potential characterization, we discover these Treponema are diverse, fall outside of pathogenic clades and are similar to Treponema succinifaciens, a known carbohydrate metabolizer in swine. Gut Treponema are found in non-human primates and all traditional peoples studied to date, suggesting they are symbionts lost in urban-industrialized societies.","author":[{"dropping-particle":"","family":"Obregon-Tito","given":"Alexandra J.","non-dropping-particle":"","parse-names":false,"suffix":""},{"dropping-particle":"","family":"Tito","given":"Raul Y.","non-dropping-particle":"","parse-names":false,"suffix":""},{"dropping-particle":"","family":"Metcalf","given":"Jessica","non-dropping-particle":"","parse-names":false,"suffix":""},{"dropping-particle":"","family":"Sankaranarayanan","given":"Krithivasan","non-dropping-particle":"","parse-names":false,"suffix":""},{"dropping-particle":"","family":"Clemente","given":"Jose C.","non-dropping-particle":"","parse-names":false,"suffix":""},{"dropping-particle":"","family":"Ursell","given":"Luke K.","non-dropping-particle":"","parse-names":false,"suffix":""},{"dropping-particle":"","family":"Zech Xu","given":"Zhenjiang","non-dropping-particle":"","parse-names":false,"suffix":""},{"dropping-particle":"","family":"Treuren","given":"Will","non-dropping-particle":"Van","parse-names":false,"suffix":""},{"dropping-particle":"","family":"Knight","given":"Rob","non-dropping-particle":"","parse-names":false,"suffix":""},{"dropping-particle":"","family":"Gaffney","given":"Patrick M.","non-dropping-particle":"","parse-names":false,"suffix":""},{"dropping-particle":"","family":"Spicer","given":"Paul","non-dropping-particle":"","parse-names":false,"suffix":""},{"dropping-particle":"","family":"Lawson","given":"Paul","non-dropping-particle":"","parse-names":false,"suffix":""},{"dropping-particle":"","family":"Marin-Reyes","given":"Luis","non-dropping-particle":"","parse-names":false,"suffix":""},{"dropping-particle":"","family":"Trujillo-Villarroel","given":"Omar","non-dropping-particle":"","parse-names":false,"suffix":""},{"dropping-particle":"","family":"Foster","given":"Morris","non-dropping-particle":"","parse-names":false,"suffix":""},{"dropping-particle":"","family":"Guija-Poma","given":"Emilio","non-dropping-particle":"","parse-names":false,"suffix":""},{"dropping-particle":"","family":"Troncoso-Corzo","given":"Luzmila","non-dropping-particle":"","parse-names":false,"suffix":""},{"dropping-particle":"","family":"Warinner","given":"Christina","non-dropping-particle":"","parse-names":false,"suffix":""},{"dropping-particle":"","family":"Ozga","given":"Andrew T.","non-dropping-particle":"","parse-names":false,"suffix":""},{"dropping-particle":"","family":"Lewis","given":"Cecil M.","non-dropping-particle":"","parse-names":false,"suffix":""}],"container-title":"Nature Communications","id":"ITEM-1","issued":{"date-parts":[["2015"]]},"note":"Summary: 16S analyses comparing two traditional human populations (Matses and Tunapuco) against urban-industrialized pops. Found clear differences in taxonomic composition, phylogenetic diversity, functional profiles, etc.","page":"1-9","publisher":"Nature Publishing Group","title":"Subsistence strategies in traditional societies distinguish gut microbiomes","type":"article-journal","volume":"6"},"uris":["http://www.mendeley.com/documents/?uuid=f5a6e1da-0f50-4b17-a7bb-4a0ac4d9e405"]}],"mendeley":{"formattedCitation":"&lt;sup&gt;96&lt;/sup&gt;","plainTextFormattedCitation":"96","previouslyFormattedCitation":"&lt;sup&gt;96&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96</w:t>
      </w:r>
      <w:r w:rsidRPr="00901194">
        <w:rPr>
          <w:rFonts w:cs="Times New Roman"/>
          <w:szCs w:val="24"/>
        </w:rPr>
        <w:fldChar w:fldCharType="end"/>
      </w:r>
      <w:r w:rsidRPr="00901194">
        <w:rPr>
          <w:rFonts w:cs="Times New Roman"/>
          <w:szCs w:val="24"/>
        </w:rPr>
        <w:t xml:space="preserve"> (see 2.3 Materials and Methods) that were assigned to taxonomic identifications and input to mmvec with our full metabolite feature dataset. After subsetting results to our 67 shared annotated metabolites and their major predictive taxa (27 total), several probable interactions between key gut metabolite features and microbes were observed  (Figure </w:t>
      </w:r>
      <w:r w:rsidR="00982378" w:rsidRPr="00901194">
        <w:rPr>
          <w:rFonts w:cs="Times New Roman"/>
          <w:szCs w:val="24"/>
        </w:rPr>
        <w:t>2.</w:t>
      </w:r>
      <w:r w:rsidRPr="00901194">
        <w:rPr>
          <w:rFonts w:cs="Times New Roman"/>
          <w:szCs w:val="24"/>
        </w:rPr>
        <w:t xml:space="preserve">3). For example, five microbial species within the </w:t>
      </w:r>
      <w:r w:rsidRPr="00901194">
        <w:rPr>
          <w:rFonts w:cs="Times New Roman"/>
          <w:i/>
          <w:iCs/>
          <w:szCs w:val="24"/>
        </w:rPr>
        <w:t xml:space="preserve">Sporobacter </w:t>
      </w:r>
      <w:r w:rsidRPr="00901194">
        <w:rPr>
          <w:rFonts w:cs="Times New Roman"/>
          <w:szCs w:val="24"/>
        </w:rPr>
        <w:t xml:space="preserve">genus and one unknown member of the Anaeroplasmataceae family were identified as the most influential taxa. Given that five of the six most influential taxa in our dataset were </w:t>
      </w:r>
      <w:r w:rsidRPr="00901194">
        <w:rPr>
          <w:rFonts w:cs="Times New Roman"/>
          <w:i/>
          <w:iCs/>
          <w:szCs w:val="24"/>
        </w:rPr>
        <w:t xml:space="preserve">Sporobacter </w:t>
      </w:r>
      <w:r w:rsidRPr="00901194">
        <w:rPr>
          <w:rFonts w:cs="Times New Roman"/>
          <w:szCs w:val="24"/>
        </w:rPr>
        <w:t xml:space="preserve">species, these results suggest a possible connection between these species and the shared human fecal metabolome. Metabolite features like N-acetyl-L-phenylalanine exhibited strong predictive interactions with an unknown </w:t>
      </w:r>
      <w:r w:rsidRPr="00901194">
        <w:rPr>
          <w:rFonts w:cs="Times New Roman"/>
          <w:i/>
          <w:iCs/>
          <w:szCs w:val="24"/>
        </w:rPr>
        <w:t xml:space="preserve">Sporobacter </w:t>
      </w:r>
      <w:r w:rsidRPr="00901194">
        <w:rPr>
          <w:rFonts w:cs="Times New Roman"/>
          <w:szCs w:val="24"/>
        </w:rPr>
        <w:t xml:space="preserve">species </w:t>
      </w:r>
      <w:r w:rsidRPr="00901194">
        <w:rPr>
          <w:rFonts w:cs="Times New Roman"/>
          <w:szCs w:val="24"/>
        </w:rPr>
        <w:lastRenderedPageBreak/>
        <w:t xml:space="preserve">(Figure 3), as shown by high conditional probabilities. Other strong relationships were observed between abrine and another </w:t>
      </w:r>
      <w:r w:rsidRPr="00901194">
        <w:rPr>
          <w:rFonts w:cs="Times New Roman"/>
          <w:i/>
          <w:iCs/>
          <w:szCs w:val="24"/>
        </w:rPr>
        <w:t xml:space="preserve">Sporobacter </w:t>
      </w:r>
      <w:r w:rsidRPr="00901194">
        <w:rPr>
          <w:rFonts w:cs="Times New Roman"/>
          <w:szCs w:val="24"/>
        </w:rPr>
        <w:t>species, as well as glycyltyrosine and N-acetyl-D-mannosamine being strongly driven by the Anaeroplasmataceae member. These potential associations had not been noted in previous literature. All in all, these mmvec results suggest clear patterns of predicted interactions between our shared metabolites and gut microbial taxa, but further work is needed to investigate the connections between the shared human fecal metabolome and gut microbiome, especially with regards to industrialization influence.</w:t>
      </w:r>
    </w:p>
    <w:p w14:paraId="5EEAF756" w14:textId="0CECD3B4" w:rsidR="00B46A40" w:rsidRPr="00901194" w:rsidRDefault="00B46A40">
      <w:pPr>
        <w:spacing w:line="259" w:lineRule="auto"/>
        <w:rPr>
          <w:rFonts w:cs="Times New Roman"/>
          <w:szCs w:val="24"/>
        </w:rPr>
      </w:pPr>
      <w:r w:rsidRPr="00901194">
        <w:rPr>
          <w:rFonts w:cs="Times New Roman"/>
          <w:noProof/>
          <w:szCs w:val="24"/>
        </w:rPr>
        <w:lastRenderedPageBreak/>
        <w:drawing>
          <wp:anchor distT="0" distB="0" distL="114300" distR="114300" simplePos="0" relativeHeight="251662336" behindDoc="0" locked="0" layoutInCell="1" allowOverlap="1" wp14:anchorId="74824614" wp14:editId="49C5DAB8">
            <wp:simplePos x="0" y="0"/>
            <wp:positionH relativeFrom="margin">
              <wp:align>right</wp:align>
            </wp:positionH>
            <wp:positionV relativeFrom="paragraph">
              <wp:posOffset>544</wp:posOffset>
            </wp:positionV>
            <wp:extent cx="5819140" cy="8229600"/>
            <wp:effectExtent l="0" t="0" r="0" b="0"/>
            <wp:wrapTopAndBottom/>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anchor>
        </w:drawing>
      </w:r>
      <w:r w:rsidRPr="00901194">
        <w:rPr>
          <w:rFonts w:cs="Times New Roman"/>
          <w:szCs w:val="24"/>
        </w:rPr>
        <w:br w:type="page"/>
      </w:r>
    </w:p>
    <w:p w14:paraId="6B7C0F8D" w14:textId="350F2944" w:rsidR="005058C7" w:rsidRPr="00901194" w:rsidRDefault="005058C7" w:rsidP="005058C7">
      <w:pPr>
        <w:pStyle w:val="CaptionJH"/>
        <w:spacing w:line="240" w:lineRule="auto"/>
        <w:rPr>
          <w:b/>
          <w:bCs w:val="0"/>
        </w:rPr>
      </w:pPr>
      <w:bookmarkStart w:id="58" w:name="_Toc131186551"/>
      <w:r w:rsidRPr="00901194">
        <w:rPr>
          <w:b/>
          <w:bCs w:val="0"/>
        </w:rPr>
        <w:lastRenderedPageBreak/>
        <w:t>Figure 2</w:t>
      </w:r>
      <w:r w:rsidR="00F46DFA" w:rsidRPr="00901194">
        <w:rPr>
          <w:b/>
          <w:bCs w:val="0"/>
        </w:rPr>
        <w:t>.3:</w:t>
      </w:r>
      <w:r w:rsidRPr="00901194">
        <w:rPr>
          <w:b/>
          <w:bCs w:val="0"/>
        </w:rPr>
        <w:t xml:space="preserve"> Principal component analyses (PCA) illustrate probable metabolite-microbe co-occurrences.</w:t>
      </w:r>
      <w:bookmarkEnd w:id="58"/>
    </w:p>
    <w:p w14:paraId="725AEB60" w14:textId="0C00C5F7" w:rsidR="00B46A40" w:rsidRPr="00901194" w:rsidRDefault="005058C7" w:rsidP="00982378">
      <w:pPr>
        <w:spacing w:line="240" w:lineRule="auto"/>
        <w:rPr>
          <w:rFonts w:cs="Times New Roman"/>
          <w:i/>
          <w:iCs/>
        </w:rPr>
      </w:pPr>
      <w:r w:rsidRPr="00901194">
        <w:rPr>
          <w:rFonts w:cs="Times New Roman"/>
          <w:i/>
          <w:iCs/>
        </w:rPr>
        <w:t>Derived from analyses where n=90 (Norman n=18, Guayabo n=12, Tambo de Mora n=14, Boulkiemdé n=11, Tunapuco n=24, and Matses n=11). Metabolite feature placements are based on conditional probabilities produced by mmvec</w:t>
      </w:r>
      <w:r w:rsidR="00DE7322">
        <w:rPr>
          <w:rFonts w:cs="Times New Roman"/>
          <w:i/>
          <w:iCs/>
        </w:rPr>
        <w:fldChar w:fldCharType="begin" w:fldLock="1"/>
      </w:r>
      <w:r w:rsidR="00DE7322">
        <w:rPr>
          <w:rFonts w:cs="Times New Roman"/>
          <w:i/>
          <w:iCs/>
        </w:rPr>
        <w:instrText>ADDIN CSL_CITATION {"citationItems":[{"id":"ITEM-1","itemData":{"DOI":"10.1038/s41592-019-0616-3","ISSN":"15487105","PMID":"31686038","abstract":"Integrating multiomics datasets is critical for microbiome research; however, inferring interactions across omics datasets has multiple statistical challenges. We solve this problem by using neural networks (https://github.com/biocore/mmvec) to estimate the conditional probability that each molecule is present given the presence of a specific microorganism. We show with known environmental (desert soil biocrust wetting) and clinical (cystic fibrosis lung) examples, our ability to recover microbe–metabolite relationships, and demonstrate how the method can discover relationships between microbially produced metabolites and inflammatory bowel disease.","author":[{"dropping-particle":"","family":"Morton","given":"James T.","non-dropping-particle":"","parse-names":false,"suffix":""},{"dropping-particle":"","family":"Aksenov","given":"Alexander A.","non-dropping-particle":"","parse-names":false,"suffix":""},{"dropping-particle":"","family":"Nothias","given":"Louis Felix","non-dropping-particle":"","parse-names":false,"suffix":""},{"dropping-particle":"","family":"Foulds","given":"James R.","non-dropping-particle":"","parse-names":false,"suffix":""},{"dropping-particle":"","family":"Quinn","given":"Robert A.","non-dropping-particle":"","parse-names":false,"suffix":""},{"dropping-particle":"","family":"Badri","given":"Michelle H.","non-dropping-particle":"","parse-names":false,"suffix":""},{"dropping-particle":"","family":"Swenson","given":"Tami L.","non-dropping-particle":"","parse-names":false,"suffix":""},{"dropping-particle":"","family":"Goethem","given":"Marc W.","non-dropping-particle":"Van","parse-names":false,"suffix":""},{"dropping-particle":"","family":"Northen","given":"Trent R.","non-dropping-particle":"","parse-names":false,"suffix":""},{"dropping-particle":"","family":"Vazquez-Baeza","given":"Yoshiki","non-dropping-particle":"","parse-names":false,"suffix":""},{"dropping-particle":"","family":"Wang","given":"Mingxun","non-dropping-particle":"","parse-names":false,"suffix":""},{"dropping-particle":"","family":"Bokulich","given":"Nicholas A.","non-dropping-particle":"","parse-names":false,"suffix":""},{"dropping-particle":"","family":"Watters","given":"Aaron","non-dropping-particle":"","parse-names":false,"suffix":""},{"dropping-particle":"","family":"Song","given":"Se Jin","non-dropping-particle":"","parse-names":false,"suffix":""},{"dropping-particle":"","family":"Bonneau","given":"Richard","non-dropping-particle":"","parse-names":false,"suffix":""},{"dropping-particle":"","family":"Dorrestein","given":"Pieter C.","non-dropping-particle":"","parse-names":false,"suffix":""},{"dropping-particle":"","family":"Knight","given":"Rob","non-dropping-particle":"","parse-names":false,"suffix":""}],"container-title":"Nature Methods","id":"ITEM-1","issue":"12","issued":{"date-parts":[["2019"]]},"note":"Summary: Article is presenting mmvec as a new approach for exploring the interactions of microbe-metabolite interactions, using it to demonstrate how/why it's better than previous options (e.g., Spearman and Pearson correlations are weaker b/c they assume independence b/w data). mmvec works by estimating the probability of each molecule being present given the presence of a specific microbe, to explore co-occurrence. However, it doesn't yet have a way to statistically assess the rank probabilities.\nSummary: Decent paper, but does a good jopb at explaining mmvec nonetheless. Uses data from case studies to highlight how mmvec can provide specific microbe-metabolite interactions that other models cannot.\n\nmmvec works by estimating the probability of each molecule being present given the presence of a specific microbe\n\nmmvec = mircobe-metabolite vectors\n\nmmvec looks at co-occurrence probabilities (prob. of observing a metabolite given a microbe was observed)","page":"1306-1314","publisher":"Springer US","title":"Learning representations of microbe–metabolite interactions","type":"article-journal","volume":"16"},"uris":["http://www.mendeley.com/documents/?uuid=f000d347-78d6-428d-b039-cb5d5dfe8226"]}],"mendeley":{"formattedCitation":"&lt;sup&gt;115&lt;/sup&gt;","plainTextFormattedCitation":"115","previouslyFormattedCitation":"&lt;sup&gt;115&lt;/sup&gt;"},"properties":{"noteIndex":0},"schema":"https://github.com/citation-style-language/schema/raw/master/csl-citation.json"}</w:instrText>
      </w:r>
      <w:r w:rsidR="00DE7322">
        <w:rPr>
          <w:rFonts w:cs="Times New Roman"/>
          <w:i/>
          <w:iCs/>
        </w:rPr>
        <w:fldChar w:fldCharType="separate"/>
      </w:r>
      <w:r w:rsidR="00DE7322" w:rsidRPr="00DE7322">
        <w:rPr>
          <w:rFonts w:cs="Times New Roman"/>
          <w:iCs/>
          <w:noProof/>
          <w:vertAlign w:val="superscript"/>
        </w:rPr>
        <w:t>115</w:t>
      </w:r>
      <w:r w:rsidR="00DE7322">
        <w:rPr>
          <w:rFonts w:cs="Times New Roman"/>
          <w:i/>
          <w:iCs/>
        </w:rPr>
        <w:fldChar w:fldCharType="end"/>
      </w:r>
      <w:r w:rsidRPr="00901194">
        <w:rPr>
          <w:rFonts w:cs="Times New Roman"/>
          <w:i/>
          <w:iCs/>
        </w:rPr>
        <w:t>. Annotated shared metabolite features from gap-filled data are represented as dots and are shape- and color-coded based on ClassyFire</w:t>
      </w:r>
      <w:r w:rsidR="00DE7322">
        <w:rPr>
          <w:rFonts w:cs="Times New Roman"/>
          <w:i/>
          <w:iCs/>
        </w:rPr>
        <w:fldChar w:fldCharType="begin" w:fldLock="1"/>
      </w:r>
      <w:r w:rsidR="00DE7322">
        <w:rPr>
          <w:rFonts w:cs="Times New Roman"/>
          <w:i/>
          <w:iCs/>
        </w:rPr>
        <w:instrText>ADDIN CSL_CITATION {"citationItems":[{"id":"ITEM-1","itemData":{"DOI":"10.1186/s13321-016-0174-y","ISSN":"17582946","abstract":"Background: Scientists have long been driven by the desire to describe, organize, classify, and compare objects using taxonomies and/or ontologies. In contrast to biology, geology, and many other scientific disciplines, the world of chemistry still lacks a standardized chemical ontology or taxonomy. Several attempts at chemical classification have been made; but they have mostly been limited to either manual, or semi-automated proof-of-principle applications. This is regrettable as comprehensive chemical classification and description tools could not only improve our understanding of chemistry but also improve the linkage between chemistry and many other fields. For instance, the chemical classification of a compound could help predict its metabolic fate in humans, its druggability or potential hazards associated with it, among others. However, the sheer number (tens of millions of compounds) and complexity of chemical structures is such that any manual classification effort would prove to be near impossible. Results: We have developed a comprehensive, flexible, and computable, purely structure-based chemical taxonomy (ChemOnt), along with a computer program (ClassyFire) that uses only chemical structures and structural features to automatically assign all known chemical compounds to a taxonomy consisting of &gt;4800 different categories. This new chemical taxonomy consists of up to 11 different levels (Kingdom, SuperClass, Class, SubClass, etc.) with each of the categories defined by unambiguous, computable structural rules. Furthermore each category is named using a consensus-based nomenclature and described (in English) based on the characteristic common structural properties of the compounds it contains. The ClassyFire webserver is freely accessible at http://classyfire.wishartlab.com/ . Moreover, a Ruby API version is available at https://bitbucket.org/wishartlab/classyfire_api , which provides programmatic access to the ClassyFire server and database. ClassyFire has been used to annotate over 77 million compounds and has already been integrated into other software packages to automatically generate textual descriptions for, and/or infer biological properties of over 100,000 compounds. Additional examples and applications are provided in this paper. Conclusion: ClassyFire, in combination with ChemOnt (ClassyFire's comprehensive chemical taxonomy), now allows chemists and cheminformaticians to perform large-scale, rapid and automated chemical classific…","author":[{"dropping-particle":"","family":"Djoumbou Feunang","given":"Yannick","non-dropping-particle":"","parse-names":false,"suffix":""},{"dropping-particle":"","family":"Eisner","given":"Roman","non-dropping-particle":"","parse-names":false,"suffix":""},{"dropping-particle":"","family":"Knox","given":"Craig","non-dropping-particle":"","parse-names":false,"suffix":""},{"dropping-particle":"","family":"Chepelev","given":"Leonid","non-dropping-particle":"","parse-names":false,"suffix":""},{"dropping-particle":"","family":"Hastings","given":"Janna","non-dropping-particle":"","parse-names":false,"suffix":""},{"dropping-particle":"","family":"Owen","given":"Gareth","non-dropping-particle":"","parse-names":false,"suffix":""},{"dropping-particle":"","family":"Fahy","given":"Eoin","non-dropping-particle":"","parse-names":false,"suffix":""},{"dropping-particle":"","family":"Steinbeck","given":"Christoph","non-dropping-particle":"","parse-names":false,"suffix":""},{"dropping-particle":"","family":"Subramanian","given":"Shankar","non-dropping-particle":"","parse-names":false,"suffix":""},{"dropping-particle":"","family":"Bolton","given":"Evan","non-dropping-particle":"","parse-names":false,"suffix":""},{"dropping-particle":"","family":"Greiner","given":"Russell","non-dropping-particle":"","parse-names":false,"suffix":""},{"dropping-particle":"","family":"Wishart","given":"David S.","non-dropping-particle":"","parse-names":false,"suffix":""}],"container-title":"Journal of Cheminformatics","id":"ITEM-1","issue":"1","issued":{"date-parts":[["2016"]]},"page":"1-20","publisher":"Springer International Publishing","title":"ClassyFire: automated chemical classification with a comprehensive, computable taxonomy","type":"article-journal","volume":"8"},"uris":["http://www.mendeley.com/documents/?uuid=d55f0c48-9474-4c41-a9bf-4b7a92dc6877"]}],"mendeley":{"formattedCitation":"&lt;sup&gt;104&lt;/sup&gt;","plainTextFormattedCitation":"104","previouslyFormattedCitation":"&lt;sup&gt;104&lt;/sup&gt;"},"properties":{"noteIndex":0},"schema":"https://github.com/citation-style-language/schema/raw/master/csl-citation.json"}</w:instrText>
      </w:r>
      <w:r w:rsidR="00DE7322">
        <w:rPr>
          <w:rFonts w:cs="Times New Roman"/>
          <w:i/>
          <w:iCs/>
        </w:rPr>
        <w:fldChar w:fldCharType="separate"/>
      </w:r>
      <w:r w:rsidR="00DE7322" w:rsidRPr="00DE7322">
        <w:rPr>
          <w:rFonts w:cs="Times New Roman"/>
          <w:iCs/>
          <w:noProof/>
          <w:vertAlign w:val="superscript"/>
        </w:rPr>
        <w:t>104</w:t>
      </w:r>
      <w:r w:rsidR="00DE7322">
        <w:rPr>
          <w:rFonts w:cs="Times New Roman"/>
          <w:i/>
          <w:iCs/>
        </w:rPr>
        <w:fldChar w:fldCharType="end"/>
      </w:r>
      <w:r w:rsidRPr="00901194">
        <w:rPr>
          <w:rFonts w:cs="Times New Roman"/>
          <w:i/>
          <w:iCs/>
        </w:rPr>
        <w:t xml:space="preserve"> assignments from MolNetEnhancer analyses</w:t>
      </w:r>
      <w:r w:rsidR="00DE7322">
        <w:rPr>
          <w:rFonts w:cs="Times New Roman"/>
          <w:i/>
          <w:iCs/>
        </w:rPr>
        <w:fldChar w:fldCharType="begin" w:fldLock="1"/>
      </w:r>
      <w:r w:rsidR="005317BF">
        <w:rPr>
          <w:rFonts w:cs="Times New Roman"/>
          <w:i/>
          <w:iCs/>
        </w:rPr>
        <w:instrText>ADDIN CSL_CITATION {"citationItems":[{"id":"ITEM-1","itemData":{"DOI":"10.3390/metabo9070144","ISSN":"2218-1989","abstract":"Metabolomics has started to embrace computational approaches for chemical interpretation of large data sets. Yet, metabolite annotation remains a key challenge. Recently, molecular networking and MS2LDA emerged as molecular mining tools that find molecular families and substructures in mass spectrometry fragmentation data. Moreover, in silico annotation tools obtain and rank candidate molecules for fragmentation spectra. Ideally, all structural information obtained and inferred from these computational tools could be combined to increase the resulting chemical insight one can obtain from a data set. However, integration is currently hampered as each tool has its own output format and efficient matching of data across these tools is lacking. Here, we introduce MolNetEnhancer, a workflow that combines the outputs from molecular networking, MS2LDA, in silico annotation tools (such as Network Annotation Propagation or DEREPLICATOR), and the automated chemical classification through ClassyFire to provide a more comprehensive chemical overview of metabolomics data whilst at the same time illuminating structural details for each fragmentation spectrum. We present examples from four plant and bacterial case studies and show how MolNetEnhancer enables the chemical annotation, visualization, and discovery of the subtle substructural diversity within molecular families. We conclude that MolNetEnhancer is a useful tool that greatly assists the metabolomics researcher in deciphering the metabolome through combination of multiple independent in silico pipelines.","author":[{"dropping-particle":"","family":"Ernst","given":"Madeleine","non-dropping-particle":"","parse-names":false,"suffix":""},{"dropping-particle":"Bin","family":"Kang","given":"Kyo","non-dropping-particle":"","parse-names":false,"suffix":""},{"dropping-particle":"","family":"Caraballo-Rodríguez","given":"Andrés Mauricio","non-dropping-particle":"","parse-names":false,"suffix":""},{"dropping-particle":"","family":"Nothias","given":"Louis-Felix","non-dropping-particle":"","parse-names":false,"suffix":""},{"dropping-particle":"","family":"Wandy","given":"Joe","non-dropping-particle":"","parse-names":false,"suffix":""},{"dropping-particle":"","family":"Chen","given":"Christopher","non-dropping-particle":"","parse-names":false,"suffix":""},{"dropping-particle":"","family":"Wang","given":"Mingxun","non-dropping-particle":"","parse-names":false,"suffix":""},{"dropping-particle":"","family":"Rogers","given":"Simon","non-dropping-particle":"","parse-names":false,"suffix":""},{"dropping-particle":"","family":"Medema","given":"Marnix H.","non-dropping-particle":"","parse-names":false,"suffix":""},{"dropping-particle":"","family":"Dorrestein","given":"Pieter C.","non-dropping-particle":"","parse-names":false,"suffix":""},{"dropping-particle":"","family":"Hooft","given":"Justin J.J.","non-dropping-particle":"van der","parse-names":false,"suffix":""}],"container-title":"Metabolites","id":"ITEM-1","issue":"7","issued":{"date-parts":[["2019"]]},"note":"Summary: Paper describes MolNetEnhancer, which takes MS2 info about molecular networking and chemical families, then calculates/estimates what chemical class best matches to that molecular network for each metabolite feature. Provides ways of getting more annotation info/details about metabolite features in your data, and designed to integrate with existing LC-MS/MS data analysis tools like GNPS and FBMN. Also discusses 4 case studies that show how MolNetEnhancer enhances chemical info in datasets.\nAssessment: Overall good, but hard to understand by itself. Think I get the general gist and how it works though\n\n\nPresents case studies showing how MolNetEnhancer provided more info about detected metab features by giving estimated chemical class info (derived from molecular networking that groups by chemical structure)\n\nBased upon Mass2Motifs principle\n\nMolNetEnhancer is a Python and R package","page":"144","title":"MolNetEnhancer: Enhanced Molecular Networks by Integrating Metabolome Mining and Annotation Tools","type":"article-journal","volume":"9"},"uris":["http://www.mendeley.com/documents/?uuid=182fc1cc-64df-4bee-8e11-0642f1f32c90"]}],"mendeley":{"formattedCitation":"&lt;sup&gt;105&lt;/sup&gt;","plainTextFormattedCitation":"105","previouslyFormattedCitation":"&lt;sup&gt;105&lt;/sup&gt;"},"properties":{"noteIndex":0},"schema":"https://github.com/citation-style-language/schema/raw/master/csl-citation.json"}</w:instrText>
      </w:r>
      <w:r w:rsidR="00DE7322">
        <w:rPr>
          <w:rFonts w:cs="Times New Roman"/>
          <w:i/>
          <w:iCs/>
        </w:rPr>
        <w:fldChar w:fldCharType="separate"/>
      </w:r>
      <w:r w:rsidR="00DE7322" w:rsidRPr="00DE7322">
        <w:rPr>
          <w:rFonts w:cs="Times New Roman"/>
          <w:iCs/>
          <w:noProof/>
          <w:vertAlign w:val="superscript"/>
        </w:rPr>
        <w:t>105</w:t>
      </w:r>
      <w:r w:rsidR="00DE7322">
        <w:rPr>
          <w:rFonts w:cs="Times New Roman"/>
          <w:i/>
          <w:iCs/>
        </w:rPr>
        <w:fldChar w:fldCharType="end"/>
      </w:r>
      <w:r w:rsidRPr="00901194">
        <w:rPr>
          <w:rFonts w:cs="Times New Roman"/>
          <w:i/>
          <w:iCs/>
        </w:rPr>
        <w:t xml:space="preserve">. PCAs include biplots highlighting the most influential taxa across each principal component (PC) represented with red arrows showing their influence along the PCs. Taxonomic assignments were simplified to include unique identifiers for each label, such as “Anaeroplasmataceae_f” representing a read assigned to the family Anaeroplasmataceae. Multiple Sporobacter genera were identified and were given a “_g” label followed by a number for each instance of Sporobacter genera. </w:t>
      </w:r>
      <w:r w:rsidRPr="00901194">
        <w:rPr>
          <w:rFonts w:cs="Times New Roman"/>
          <w:b/>
          <w:i/>
          <w:iCs/>
        </w:rPr>
        <w:t>a</w:t>
      </w:r>
      <w:r w:rsidRPr="00901194">
        <w:rPr>
          <w:rFonts w:cs="Times New Roman"/>
          <w:i/>
          <w:iCs/>
        </w:rPr>
        <w:t xml:space="preserve">, Two-dimensional representation of shared metabolite-microbe predicted interactions along PCs 1-2. Three taxa are represented for each component. Legend from a applies to b. </w:t>
      </w:r>
      <w:r w:rsidRPr="00901194">
        <w:rPr>
          <w:rFonts w:cs="Times New Roman"/>
          <w:b/>
          <w:i/>
          <w:iCs/>
        </w:rPr>
        <w:t>b</w:t>
      </w:r>
      <w:r w:rsidRPr="00901194">
        <w:rPr>
          <w:rFonts w:cs="Times New Roman"/>
          <w:i/>
          <w:iCs/>
        </w:rPr>
        <w:t xml:space="preserve">, Three-dimensional figure of shared metabolite-microbe predicted interactions across PCs 1-3. Two taxa are represented for each component.  </w:t>
      </w:r>
    </w:p>
    <w:p w14:paraId="4103DD1E" w14:textId="77777777" w:rsidR="00B46A40" w:rsidRPr="00901194" w:rsidRDefault="00B46A40" w:rsidP="005058C7">
      <w:pPr>
        <w:rPr>
          <w:rFonts w:cs="Times New Roman"/>
          <w:szCs w:val="24"/>
        </w:rPr>
      </w:pPr>
    </w:p>
    <w:p w14:paraId="4645FA2D" w14:textId="766409AC" w:rsidR="00EE1306" w:rsidRPr="00901194" w:rsidRDefault="00EE1306" w:rsidP="00EE1306">
      <w:pPr>
        <w:ind w:firstLine="720"/>
        <w:rPr>
          <w:rFonts w:cs="Times New Roman"/>
          <w:szCs w:val="24"/>
        </w:rPr>
      </w:pPr>
      <w:r w:rsidRPr="00901194">
        <w:rPr>
          <w:rFonts w:cs="Times New Roman"/>
          <w:szCs w:val="24"/>
        </w:rPr>
        <w:t>Our novel data estimate a shared human fecal metabolome from populations of diverse behaviors and lifestyles. The sample set includes the birthplace of humanity and the last continental expansion of our species, Africa and Americas, respectively; moreover, the sample set includes hunter-gatherer, subsistence farmer, and industrialized lifeways. A metabolite observed across these geographic regions and among these different lifeways is an estimate of a shared metabolome, without implying that it is present in every single individual, similar to definitions used when describing the microbiome</w:t>
      </w:r>
      <w:r w:rsidRPr="00901194">
        <w:rPr>
          <w:rFonts w:cs="Times New Roman"/>
          <w:szCs w:val="24"/>
        </w:rPr>
        <w:fldChar w:fldCharType="begin" w:fldLock="1"/>
      </w:r>
      <w:r w:rsidR="000A1931" w:rsidRPr="00901194">
        <w:rPr>
          <w:rFonts w:cs="Times New Roman"/>
          <w:szCs w:val="24"/>
        </w:rPr>
        <w:instrText>ADDIN CSL_CITATION {"citationItems":[{"id":"ITEM-1","itemData":{"DOI":"10.1016/j.tim.2011.10.004","ISSN":"0966842X","PMID":"22112388","abstract":"The Human Microbiome Project (HMP) is following in the footsteps of the Human Genome Project (HGP), which will include exciting discoveries, but also potential disappointment and resentment over the lack of medical applications. There is a wiser path for the HMP. This path includes a greater attention to rare variation, an early commitment to an ethical inclusion of indigenous communities, and a recruitment strategy in which medical benefits are de-emphasized. © 2011 Elsevier Ltd.","author":[{"dropping-particle":"","family":"Lewis","given":"Cecil M.","non-dropping-particle":"","parse-names":false,"suffix":""},{"dropping-particle":"","family":"Obregón-Tito","given":"Alexandra","non-dropping-particle":"","parse-names":false,"suffix":""},{"dropping-particle":"","family":"Tito","given":"Raul Y.","non-dropping-particle":"","parse-names":false,"suffix":""},{"dropping-particle":"","family":"Foster","given":"Morris W.","non-dropping-particle":"","parse-names":false,"suffix":""},{"dropping-particle":"","family":"Spicer","given":"Paul G.","non-dropping-particle":"","parse-names":false,"suffix":""}],"container-title":"Trends in Microbiology","id":"ITEM-1","issue":"1","issued":{"date-parts":[["2012"]]},"page":"1-4","title":"The Human Microbiome Project: Lessons from human genomics","type":"article-journal","volume":"20"},"uris":["http://www.mendeley.com/documents/?uuid=e4dbece6-c26c-4444-85c4-ad77fd990c63"]}],"mendeley":{"formattedCitation":"&lt;sup&gt;156&lt;/sup&gt;","plainTextFormattedCitation":"156","previouslyFormattedCitation":"&lt;sup&gt;156&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156</w:t>
      </w:r>
      <w:r w:rsidRPr="00901194">
        <w:rPr>
          <w:rFonts w:cs="Times New Roman"/>
          <w:szCs w:val="24"/>
        </w:rPr>
        <w:fldChar w:fldCharType="end"/>
      </w:r>
      <w:r w:rsidRPr="00901194">
        <w:rPr>
          <w:rFonts w:cs="Times New Roman"/>
          <w:szCs w:val="24"/>
        </w:rPr>
        <w:t>. Yet, we do not presume to have captured the complete range of diversity of industrial lifestyles or age groups. To broaden our analysis, we co-analyzed our data with all the publicly-available human fecal samples in the Re-Analysis of Data User Interface (ReDU)</w:t>
      </w:r>
      <w:r w:rsidRPr="00901194">
        <w:rPr>
          <w:rFonts w:cs="Times New Roman"/>
          <w:szCs w:val="24"/>
        </w:rPr>
        <w:fldChar w:fldCharType="begin" w:fldLock="1"/>
      </w:r>
      <w:r w:rsidR="000A1931" w:rsidRPr="00901194">
        <w:rPr>
          <w:rFonts w:cs="Times New Roman"/>
          <w:szCs w:val="24"/>
        </w:rPr>
        <w:instrText>ADDIN CSL_CITATION {"citationItems":[{"id":"ITEM-1","itemData":{"DOI":"10.1101/750471","abstract":"Metabolomics data are difficult to find and reuse, even in public repositories. We, therefore, developed the Reanalysis of Data User (ReDU) interface (&lt;https://redu.ucsd.edu/&gt;), a community- and data-driven approach that solves this problem at the repository scale. ReDU enables public data discovery and co- or re-analysis via uniformly formatted, publicly available MS/MS data and metadata in the Global Natural Product Social Molecular Networking Platform (GNPS), consistent with findable, accessible, interoperable, and reusable (FAIR) principles.[1][1] [1]: #ref-1","author":[{"dropping-particle":"","family":"Jarmusch","given":"Alan K.","non-dropping-particle":"","parse-names":false,"suffix":""},{"dropping-particle":"","family":"Wang","given":"Mingxun","non-dropping-particle":"","parse-names":false,"suffix":""},{"dropping-particle":"","family":"Aceves","given":"Christine M.","non-dropping-particle":"","parse-names":false,"suffix":""},{"dropping-particle":"","family":"Advani","given":"Rohit S.","non-dropping-particle":"","parse-names":false,"suffix":""},{"dropping-particle":"","family":"Aguire","given":"Shaden","non-dropping-particle":"","parse-names":false,"suffix":""},{"dropping-particle":"","family":"Aksenov","given":"Alexander A.","non-dropping-particle":"","parse-names":false,"suffix":""},{"dropping-particle":"","family":"Aleti","given":"Gajender","non-dropping-particle":"","parse-names":false,"suffix":""},{"dropping-particle":"","family":"Aron","given":"Allegra T.","non-dropping-particle":"","parse-names":false,"suffix":""},{"dropping-particle":"","family":"Bauermeister","given":"Anelize","non-dropping-particle":"","parse-names":false,"suffix":""},{"dropping-particle":"","family":"Bolleddu","given":"Sanjana","non-dropping-particle":"","parse-names":false,"suffix":""},{"dropping-particle":"","family":"Bouslimani","given":"Amina","non-dropping-particle":"","parse-names":false,"suffix":""},{"dropping-particle":"","family":"Rodriguez","given":"Andres Mauricio Caraballo","non-dropping-particle":"","parse-names":false,"suffix":""},{"dropping-particle":"","family":"Chaar","given":"Rama","non-dropping-particle":"","parse-names":false,"suffix":""},{"dropping-particle":"","family":"Coras","given":"Roxana","non-dropping-particle":"","parse-names":false,"suffix":""},{"dropping-particle":"","family":"Elijah","given":"Emmanuel O.","non-dropping-particle":"","parse-names":false,"suffix":""},{"dropping-particle":"","family":"Ernst","given":"Madeleine","non-dropping-particle":"","parse-names":false,"suffix":""},{"dropping-particle":"","family":"Gauglitz","given":"Julia M.","non-dropping-particle":"","parse-names":false,"suffix":""},{"dropping-particle":"","family":"Gentry","given":"Emily C.","non-dropping-particle":"","parse-names":false,"suffix":""},{"dropping-particle":"","family":"Husband","given":"Makhai","non-dropping-particle":"","parse-names":false,"suffix":""},{"dropping-particle":"","family":"Jarmusch","given":"Scott A.","non-dropping-particle":"","parse-names":false,"suffix":""},{"dropping-particle":"","family":"Jones","given":"Kenneth L.","non-dropping-particle":"","parse-names":false,"suffix":""},{"dropping-particle":"","family":"Kamenik","given":"Zdenek","non-dropping-particle":"","parse-names":false,"suffix":""},{"dropping-particle":"Le","family":"Gouellec","given":"Audrey","non-dropping-particle":"","parse-names":false,"suffix":""},{"dropping-particle":"","family":"Lu","given":"Aileen","non-dropping-particle":"","parse-names":false,"suffix":""},{"dropping-particle":"","family":"McCall","given":"Laura-Isobel","non-dropping-particle":"","parse-names":false,"suffix":""},{"dropping-particle":"","family":"McPhail","given":"Kerry L.","non-dropping-particle":"","parse-names":false,"suffix":""},{"dropping-particle":"","family":"Meehan","given":"Michael J.","non-dropping-particle":"","parse-names":false,"suffix":""},{"dropping-particle":"V.","family":"Melnik","given":"Alexey","non-dropping-particle":"","parse-names":false,"suffix":""},{"dropping-particle":"","family":"Menezes","given":"Riya C.","non-dropping-particle":"","parse-names":false,"suffix":""},{"dropping-particle":"","family":"Giraldo","given":"Yessica Alejandra Montoya","non-dropping-particle":"","parse-names":false,"suffix":""},{"dropping-particle":"","family":"Nguyen","given":"Ngoc Hung","non-dropping-particle":"","parse-names":false,"suffix":""},{"dropping-particle":"","family":"Nothias","given":"Louis Felix","non-dropping-particle":"","parse-names":false,"suffix":""},{"dropping-particle":"","family":"Nothias-Esposito","given":"Mélissa","non-dropping-particle":"","parse-names":false,"suffix":""},{"dropping-particle":"","family":"Panitchpakdi","given":"Morgan","non-dropping-particle":"","parse-names":false,"suffix":""},{"dropping-particle":"","family":"Petras","given":"Daniel","non-dropping-particle":"","parse-names":false,"suffix":""},{"dropping-particle":"","family":"Quinn","given":"Robert","non-dropping-particle":"","parse-names":false,"suffix":""},{"dropping-particle":"","family":"Sikora","given":"Nicole","non-dropping-particle":"","parse-names":false,"suffix":""},{"dropping-particle":"van der","family":"Hooft","given":"Justin J.J.","non-dropping-particle":"","parse-names":false,"suffix":""},{"dropping-particle":"","family":"Vargas","given":"Fernando","non-dropping-particle":"","parse-names":false,"suffix":""},{"dropping-particle":"","family":"Vrbanac","given":"Alison","non-dropping-particle":"","parse-names":false,"suffix":""},{"dropping-particle":"","family":"Weldon","given":"Kelly","non-dropping-particle":"","parse-names":false,"suffix":""},{"dropping-particle":"","family":"Knight","given":"Rob","non-dropping-particle":"","parse-names":false,"suffix":""},{"dropping-particle":"","family":"Bandeira","given":"Nuno","non-dropping-particle":"","parse-names":false,"suffix":""},{"dropping-particle":"","family":"Dorrestein","given":"Pieter C.","non-dropping-particle":"","parse-names":false,"suffix":""}],"container-title":"bioRxiv","id":"ITEM-1","issued":{"date-parts":[["2019"]]},"note":"ReDU preprint -- cite this","page":"750471","title":"Repository-scale Co- and Re-analysis of Tandem Mass Spectrometry Data","type":"article-journal"},"uris":["http://www.mendeley.com/documents/?uuid=b6460689-cafb-458d-bbd7-9ff347777b25"]}],"mendeley":{"formattedCitation":"&lt;sup&gt;139&lt;/sup&gt;","plainTextFormattedCitation":"139","previouslyFormattedCitation":"&lt;sup&gt;139&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139</w:t>
      </w:r>
      <w:r w:rsidRPr="00901194">
        <w:rPr>
          <w:rFonts w:cs="Times New Roman"/>
          <w:szCs w:val="24"/>
        </w:rPr>
        <w:fldChar w:fldCharType="end"/>
      </w:r>
      <w:r w:rsidRPr="00901194">
        <w:rPr>
          <w:rFonts w:cs="Times New Roman"/>
          <w:szCs w:val="24"/>
        </w:rPr>
        <w:t xml:space="preserve">. A total of 5,466 human fecal samples from ReDU were co-analyzed with our 90 samples, resulting in a total 105,707 metabolite features detected across the co-analysis (Figure 2c). These datasets contained samples from male and female children and adults. Moreover, the datasets included different MS platforms and different metabolite extraction methods, enabling us to assess the commonality of these metabolites across </w:t>
      </w:r>
      <w:r w:rsidRPr="00901194">
        <w:rPr>
          <w:rFonts w:cs="Times New Roman"/>
          <w:szCs w:val="24"/>
        </w:rPr>
        <w:lastRenderedPageBreak/>
        <w:t>experimental methods. Within these datasets, 80% of our shared metabolites were identified in this co-analysis. While these ReDU samples are from datasets containing various instrumental and experimental parameters in addition to wide variation of human diversity and lifestyles, the representation of shared metabolites further highlights the prevalence of a shared human fecal metabolome across different human populations.  Furthermore, we also examined the human fecal metabolome database (HFMDB)</w:t>
      </w:r>
      <w:r w:rsidRPr="00901194">
        <w:rPr>
          <w:rFonts w:cs="Times New Roman"/>
          <w:szCs w:val="24"/>
        </w:rPr>
        <w:fldChar w:fldCharType="begin" w:fldLock="1"/>
      </w:r>
      <w:r w:rsidR="000A1931" w:rsidRPr="00901194">
        <w:rPr>
          <w:rFonts w:cs="Times New Roman"/>
          <w:szCs w:val="24"/>
        </w:rPr>
        <w:instrText>ADDIN CSL_CITATION {"citationItems":[{"id":"ITEM-1","itemData":{"DOI":"10.1016/j.aca.2018.05.031","ISBN":"7804921071","ISSN":"18734324","PMID":"30032758","abstract":"Metabolomic analysis of human biospecimens had progressed quickly over the past decade. Technological and methodological advances have led to the comprehensive characterization of human serum, urine, cerebrospinal fluid and saliva metabolomes, and the creation of freely available metabolome reference databases. Unfortunately, the characterization of the human fecal metabolome still lags behind these other metabolomes in terms of the availability of standardized methods and freely available resources. The purpose of this review is to bring the knowledge of the human fecal metabolome, and the methods to characterize it, to the same level as most other human biofluid metabolomes. More specifically, this review is intended to critically assess the field of fecal metabolomics and to provide a comprehensive review of the current state of knowledge with regard to the protocols, technologies and remaining challenges in fecal metabolite analysis. In addition to providing an overview of fecal metabolomics and some consensus recommendations, we also present the human fecal metabolome database (HFMDB – http://www.fecalmetabolome.ca), a freely available, manually curated resource that currently contains over 6000 identified human fecal metabolites. Each entry in the HFMDB includes extensive chemical information, metabolite descriptions and reference data in the same format as the Human Metabolome Database (HMDB).","author":[{"dropping-particle":"","family":"Karu","given":"Naama","non-dropping-particle":"","parse-names":false,"suffix":""},{"dropping-particle":"","family":"Deng","given":"Lu","non-dropping-particle":"","parse-names":false,"suffix":""},{"dropping-particle":"","family":"Slae","given":"Mordechai","non-dropping-particle":"","parse-names":false,"suffix":""},{"dropping-particle":"","family":"Guo","given":"An Chi","non-dropping-particle":"","parse-names":false,"suffix":""},{"dropping-particle":"","family":"Sajed","given":"Tanvir","non-dropping-particle":"","parse-names":false,"suffix":""},{"dropping-particle":"","family":"Huynh","given":"Hien","non-dropping-particle":"","parse-names":false,"suffix":""},{"dropping-particle":"","family":"Wine","given":"Eytan","non-dropping-particle":"","parse-names":false,"suffix":""},{"dropping-particle":"","family":"Wishart","given":"David S.","non-dropping-particle":"","parse-names":false,"suffix":""}],"container-title":"Analytica Chimica Acta","id":"ITEM-1","issued":{"date-parts":[["2018"]]},"note":"Summary: Reviewing the state of fecal metabolomics as a field, covering major instrumenational analysis techniques (NMR, GC-MS, and LC-MS), methods, sample prep and treatment, etc. Also discusses the HFMDB and its utility to fecal metabolomics by providing a pub database of confirmed fecal metabolites with full info about its physico-structural properties, detection method, associations with health and disease states, etc., to help improve annotation of fecal metabolomes. \nAssessment: For challenges with ancient molecular work, this paper can be cited to broadly discuss methods and challenges with mtbms work in general -- need carefully optimized methods tailored to the specific research questions.","page":"1-24","publisher":"Elsevier Ltd","title":"A review on human fecal metabolomics: Methods, applications and the human fecal metabolome database","type":"article-journal","volume":"1030"},"uris":["http://www.mendeley.com/documents/?uuid=e6d5c5ae-c654-4e81-9800-c25b94291116"]}],"mendeley":{"formattedCitation":"&lt;sup&gt;42&lt;/sup&gt;","plainTextFormattedCitation":"42","previouslyFormattedCitation":"&lt;sup&gt;42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42</w:t>
      </w:r>
      <w:r w:rsidRPr="00901194">
        <w:rPr>
          <w:rFonts w:cs="Times New Roman"/>
          <w:szCs w:val="24"/>
        </w:rPr>
        <w:fldChar w:fldCharType="end"/>
      </w:r>
      <w:r w:rsidRPr="00901194">
        <w:rPr>
          <w:rFonts w:cs="Times New Roman"/>
          <w:szCs w:val="24"/>
        </w:rPr>
        <w:t>, which contains 6,810 metabolites identified across multiple datasets, for our annotated shared metabolite features. 65% of our annotated shared metabolite features were present in the HFMDB (Table S</w:t>
      </w:r>
      <w:r w:rsidR="00982378" w:rsidRPr="00901194">
        <w:rPr>
          <w:rFonts w:cs="Times New Roman"/>
          <w:szCs w:val="24"/>
        </w:rPr>
        <w:t>2.</w:t>
      </w:r>
      <w:r w:rsidRPr="00901194">
        <w:rPr>
          <w:rFonts w:cs="Times New Roman"/>
          <w:szCs w:val="24"/>
        </w:rPr>
        <w:t>2); examples of identified metabolites also found in the HFMDB include palmitoleic acid, hypoxanthine, and xanthosine. However, it should be noted that the HFMDB is comprised of data derived from various instrumental, analytical, and processing methods</w:t>
      </w:r>
      <w:r w:rsidRPr="00901194">
        <w:rPr>
          <w:rFonts w:cs="Times New Roman"/>
          <w:szCs w:val="24"/>
        </w:rPr>
        <w:fldChar w:fldCharType="begin" w:fldLock="1"/>
      </w:r>
      <w:r w:rsidR="000A1931" w:rsidRPr="00901194">
        <w:rPr>
          <w:rFonts w:cs="Times New Roman"/>
          <w:szCs w:val="24"/>
        </w:rPr>
        <w:instrText>ADDIN CSL_CITATION {"citationItems":[{"id":"ITEM-1","itemData":{"DOI":"10.1016/j.aca.2018.05.031","ISBN":"7804921071","ISSN":"18734324","PMID":"30032758","abstract":"Metabolomic analysis of human biospecimens had progressed quickly over the past decade. Technological and methodological advances have led to the comprehensive characterization of human serum, urine, cerebrospinal fluid and saliva metabolomes, and the creation of freely available metabolome reference databases. Unfortunately, the characterization of the human fecal metabolome still lags behind these other metabolomes in terms of the availability of standardized methods and freely available resources. The purpose of this review is to bring the knowledge of the human fecal metabolome, and the methods to characterize it, to the same level as most other human biofluid metabolomes. More specifically, this review is intended to critically assess the field of fecal metabolomics and to provide a comprehensive review of the current state of knowledge with regard to the protocols, technologies and remaining challenges in fecal metabolite analysis. In addition to providing an overview of fecal metabolomics and some consensus recommendations, we also present the human fecal metabolome database (HFMDB – http://www.fecalmetabolome.ca), a freely available, manually curated resource that currently contains over 6000 identified human fecal metabolites. Each entry in the HFMDB includes extensive chemical information, metabolite descriptions and reference data in the same format as the Human Metabolome Database (HMDB).","author":[{"dropping-particle":"","family":"Karu","given":"Naama","non-dropping-particle":"","parse-names":false,"suffix":""},{"dropping-particle":"","family":"Deng","given":"Lu","non-dropping-particle":"","parse-names":false,"suffix":""},{"dropping-particle":"","family":"Slae","given":"Mordechai","non-dropping-particle":"","parse-names":false,"suffix":""},{"dropping-particle":"","family":"Guo","given":"An Chi","non-dropping-particle":"","parse-names":false,"suffix":""},{"dropping-particle":"","family":"Sajed","given":"Tanvir","non-dropping-particle":"","parse-names":false,"suffix":""},{"dropping-particle":"","family":"Huynh","given":"Hien","non-dropping-particle":"","parse-names":false,"suffix":""},{"dropping-particle":"","family":"Wine","given":"Eytan","non-dropping-particle":"","parse-names":false,"suffix":""},{"dropping-particle":"","family":"Wishart","given":"David S.","non-dropping-particle":"","parse-names":false,"suffix":""}],"container-title":"Analytica Chimica Acta","id":"ITEM-1","issued":{"date-parts":[["2018"]]},"note":"Summary: Reviewing the state of fecal metabolomics as a field, covering major instrumenational analysis techniques (NMR, GC-MS, and LC-MS), methods, sample prep and treatment, etc. Also discusses the HFMDB and its utility to fecal metabolomics by providing a pub database of confirmed fecal metabolites with full info about its physico-structural properties, detection method, associations with health and disease states, etc., to help improve annotation of fecal metabolomes. \nAssessment: For challenges with ancient molecular work, this paper can be cited to broadly discuss methods and challenges with mtbms work in general -- need carefully optimized methods tailored to the specific research questions.","page":"1-24","publisher":"Elsevier Ltd","title":"A review on human fecal metabolomics: Methods, applications and the human fecal metabolome database","type":"article-journal","volume":"1030"},"uris":["http://www.mendeley.com/documents/?uuid=e6d5c5ae-c654-4e81-9800-c25b94291116"]}],"mendeley":{"formattedCitation":"&lt;sup&gt;42&lt;/sup&gt;","plainTextFormattedCitation":"42","previouslyFormattedCitation":"&lt;sup&gt;42&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42</w:t>
      </w:r>
      <w:r w:rsidRPr="00901194">
        <w:rPr>
          <w:rFonts w:cs="Times New Roman"/>
          <w:szCs w:val="24"/>
        </w:rPr>
        <w:fldChar w:fldCharType="end"/>
      </w:r>
      <w:r w:rsidRPr="00901194">
        <w:rPr>
          <w:rFonts w:cs="Times New Roman"/>
          <w:szCs w:val="24"/>
        </w:rPr>
        <w:t xml:space="preserve">. The absence of some of our shared metabolites from the HFMDB can be attributed to these methodological differences. </w:t>
      </w:r>
    </w:p>
    <w:p w14:paraId="059B640C" w14:textId="7F90ADF4" w:rsidR="00EE1306" w:rsidRPr="00901194" w:rsidRDefault="00EE1306" w:rsidP="00EE1306">
      <w:pPr>
        <w:ind w:firstLine="720"/>
        <w:rPr>
          <w:rFonts w:cs="Times New Roman"/>
          <w:szCs w:val="24"/>
        </w:rPr>
      </w:pPr>
      <w:r w:rsidRPr="00901194">
        <w:rPr>
          <w:rFonts w:cs="Times New Roman"/>
          <w:szCs w:val="24"/>
        </w:rPr>
        <w:t>Furthermore, we used Mass Spectrometry Search Tool (MASST)</w:t>
      </w:r>
      <w:r w:rsidRPr="00901194">
        <w:rPr>
          <w:rFonts w:cs="Times New Roman"/>
          <w:szCs w:val="24"/>
        </w:rPr>
        <w:fldChar w:fldCharType="begin" w:fldLock="1"/>
      </w:r>
      <w:r w:rsidR="000A1931" w:rsidRPr="00901194">
        <w:rPr>
          <w:rFonts w:cs="Times New Roman"/>
          <w:szCs w:val="24"/>
        </w:rPr>
        <w:instrText>ADDIN CSL_CITATION {"citationItems":[{"id":"ITEM-1","itemData":{"DOI":"10.1038/s41587-019-0367-9","ISSN":"15461696","PMID":"31857735","author":[{"dropping-particle":"","family":"Wang","given":"Mingxun","non-dropping-particle":"","parse-names":false,"suffix":""},{"dropping-particle":"","family":"Jarmusch","given":"Alan K.","non-dropping-particle":"","parse-names":false,"suffix":""},{"dropping-particle":"","family":"Vargas","given":"Fernando","non-dropping-particle":"","parse-names":false,"suffix":""},{"dropping-particle":"","family":"Aksenov","given":"Alexander A.","non-dropping-particle":"","parse-names":false,"suffix":""},{"dropping-particle":"","family":"Gauglitz","given":"Julia M.","non-dropping-particle":"","parse-names":false,"suffix":""},{"dropping-particle":"","family":"Weldon","given":"Kelly","non-dropping-particle":"","parse-names":false,"suffix":""},{"dropping-particle":"","family":"Petras","given":"Daniel","non-dropping-particle":"","parse-names":false,"suffix":""},{"dropping-particle":"","family":"Silva","given":"Ricardo","non-dropping-particle":"da","parse-names":false,"suffix":""},{"dropping-particle":"","family":"Quinn","given":"Robert","non-dropping-particle":"","parse-names":false,"suffix":""},{"dropping-particle":"V.","family":"Melnik","given":"Alexey","non-dropping-particle":"","parse-names":false,"suffix":""},{"dropping-particle":"","family":"Hooft","given":"Justin J.J.","non-dropping-particle":"van der","parse-names":false,"suffix":""},{"dropping-particle":"","family":"Caraballo-Rodríguez","given":"Andrés Mauricio","non-dropping-particle":"","parse-names":false,"suffix":""},{"dropping-particle":"","family":"Nothias","given":"Louis Felix","non-dropping-particle":"","parse-names":false,"suffix":""},{"dropping-particle":"","family":"Aceves","given":"Christine M.","non-dropping-particle":"","parse-names":false,"suffix":""},{"dropping-particle":"","family":"Panitchpakdi","given":"Morgan","non-dropping-particle":"","parse-names":false,"suffix":""},{"dropping-particle":"","family":"Brown","given":"Elizabeth","non-dropping-particle":"","parse-names":false,"suffix":""},{"dropping-particle":"","family":"Ottavio","given":"Francesca","non-dropping-particle":"Di","parse-names":false,"suffix":""},{"dropping-particle":"","family":"Sikora","given":"Nicole","non-dropping-particle":"","parse-names":false,"suffix":""},{"dropping-particle":"","family":"Elijah","given":"Emmanuel O.","non-dropping-particle":"","parse-names":false,"suffix":""},{"dropping-particle":"","family":"Labarta-Bajo","given":"Lara","non-dropping-particle":"","parse-names":false,"suffix":""},{"dropping-particle":"","family":"Gentry","given":"Emily C.","non-dropping-particle":"","parse-names":false,"suffix":""},{"dropping-particle":"","family":"Shalapour","given":"Shabnam","non-dropping-particle":"","parse-names":false,"suffix":""},{"dropping-particle":"","family":"Kyle","given":"Kathleen E.","non-dropping-particle":"","parse-names":false,"suffix":""},{"dropping-particle":"","family":"Puckett","given":"Sara P.","non-dropping-particle":"","parse-names":false,"suffix":""},{"dropping-particle":"","family":"Watrous","given":"Jeramie D.","non-dropping-particle":"","parse-names":false,"suffix":""},{"dropping-particle":"","family":"Carpenter","given":"Carolina S.","non-dropping-particle":"","parse-names":false,"suffix":""},{"dropping-particle":"","family":"Bouslimani","given":"Amina","non-dropping-particle":"","parse-names":false,"suffix":""},{"dropping-particle":"","family":"Ernst","given":"Madeleine","non-dropping-particle":"","parse-names":false,"suffix":""},{"dropping-particle":"","family":"Swafford","given":"Austin D.","non-dropping-particle":"","parse-names":false,"suffix":""},{"dropping-particle":"","family":"Zúñiga","given":"Elina I.","non-dropping-particle":"","parse-names":false,"suffix":""},{"dropping-particle":"","family":"Balunas","given":"Marcy J.","non-dropping-particle":"","parse-names":false,"suffix":""},{"dropping-particle":"","family":"Klassen","given":"Jonathan L.","non-dropping-particle":"","parse-names":false,"suffix":""},{"dropping-particle":"","family":"Loomba","given":"Rohit","non-dropping-particle":"","parse-names":false,"suffix":""},{"dropping-particle":"","family":"Knight","given":"Rob","non-dropping-particle":"","parse-names":false,"suffix":""},{"dropping-particle":"","family":"Bandeira","given":"Nuno","non-dropping-particle":"","parse-names":false,"suffix":""},{"dropping-particle":"","family":"Dorrestein","given":"Pieter C.","non-dropping-particle":"","parse-names":false,"suffix":""}],"container-title":"Nature Biotechnology","id":"ITEM-1","issue":"1","issued":{"date-parts":[["2020"]]},"note":"Summary: Describing MASST: mass spectrometry search tool, takes single MS/MS spectrum and searches for it in public data repositories (GNPS/MassIVE, Metabolomics Workbench, MetaboLights, etc.). Furthermore, metadata can be added when data is made public, which will show those categories when getting a MASST result. MASST results are equivalent to level 2 (spectral similarity) or level 3 (chemical class based on spectral similarity) according to MSI. Has some limitations, like when chemicals have near-identical fragmentation patterns or issues with parameters, but still a useful tool.","page":"19-22","title":"Mass spectrometry searches using MASST","type":"article-journal","volume":"38"},"uris":["http://www.mendeley.com/documents/?uuid=8ec94342-4525-4d22-8dd1-ada2347c0d4c"]}],"mendeley":{"formattedCitation":"&lt;sup&gt;106&lt;/sup&gt;","plainTextFormattedCitation":"106","previouslyFormattedCitation":"&lt;sup&gt;106&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106</w:t>
      </w:r>
      <w:r w:rsidRPr="00901194">
        <w:rPr>
          <w:rFonts w:cs="Times New Roman"/>
          <w:szCs w:val="24"/>
        </w:rPr>
        <w:fldChar w:fldCharType="end"/>
      </w:r>
      <w:r w:rsidRPr="00901194">
        <w:rPr>
          <w:rFonts w:cs="Times New Roman"/>
          <w:szCs w:val="24"/>
        </w:rPr>
        <w:t xml:space="preserve"> to search for MS/MS spectra matches to our shared metabolites in public datasets in GNPS</w:t>
      </w:r>
      <w:r w:rsidRPr="00901194">
        <w:rPr>
          <w:rFonts w:cs="Times New Roman"/>
          <w:szCs w:val="24"/>
        </w:rPr>
        <w:fldChar w:fldCharType="begin" w:fldLock="1"/>
      </w:r>
      <w:r w:rsidR="000A1931" w:rsidRPr="00901194">
        <w:rPr>
          <w:rFonts w:cs="Times New Roman"/>
          <w:szCs w:val="24"/>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45</w:t>
      </w:r>
      <w:r w:rsidRPr="00901194">
        <w:rPr>
          <w:rFonts w:cs="Times New Roman"/>
          <w:szCs w:val="24"/>
        </w:rPr>
        <w:fldChar w:fldCharType="end"/>
      </w:r>
      <w:r w:rsidRPr="00901194">
        <w:rPr>
          <w:rFonts w:cs="Times New Roman"/>
          <w:szCs w:val="24"/>
        </w:rPr>
        <w:t>, Metabolomics Workbench</w:t>
      </w:r>
      <w:r w:rsidRPr="00901194">
        <w:rPr>
          <w:rFonts w:cs="Times New Roman"/>
          <w:szCs w:val="24"/>
        </w:rPr>
        <w:fldChar w:fldCharType="begin" w:fldLock="1"/>
      </w:r>
      <w:r w:rsidR="000A1931" w:rsidRPr="00901194">
        <w:rPr>
          <w:rFonts w:cs="Times New Roman"/>
          <w:szCs w:val="24"/>
        </w:rPr>
        <w:instrText>ADDIN CSL_CITATION {"citationItems":[{"id":"ITEM-1","itemData":{"DOI":"10.1093/nar/gkv1042","ISSN":"13624962","PMID":"26467476","abstract":"The Metabolomics Workbench, available at www.metabolomicsworkbench.org, is a public repository for metabolomics metadata and experimental data spanning various species and experimental platforms, metabolite standards, metabolite structures, protocols, tutorials, and training material and other educational resources. It provides a computational platform to integrate, analyze, track, deposit and disseminate large volumes of heterogeneous data from a wide variety of metabolomics studies including mass spectrometry (MS) and nuclear magnetic resonance spectrometry (NMR) data spanning over 20 different species covering all the major taxonomic categories including humans and other mammals, plants, insects, invertebrates and microorganisms. Additionally, a number of protocols are provided for a range of metabolite classes, sample types, and both MS and NMR-based studies, along with a metabolite structure database. The metabolites characterized in the studies available on the Metabolomics Workbench are linked to chemical structures in the metabolite structure database to facilitate comparative analysis across studies. The Metabolomics Workbench, part of the data coordinating effort of the National Institute of Health (NIH) Common Fund's Metabolomics Program, provides data from the Common Fund's Metabolomics Resource Cores, metabolite standards, and analysis tools to the wider metabolomics community and seeks data depositions from metabolomics researchers across the world.","author":[{"dropping-particle":"","family":"Sud","given":"Manish","non-dropping-particle":"","parse-names":false,"suffix":""},{"dropping-particle":"","family":"Fahy","given":"Eoin","non-dropping-particle":"","parse-names":false,"suffix":""},{"dropping-particle":"","family":"Cotter","given":"Dawn","non-dropping-particle":"","parse-names":false,"suffix":""},{"dropping-particle":"","family":"Azam","given":"Kenan","non-dropping-particle":"","parse-names":false,"suffix":""},{"dropping-particle":"","family":"Vadivelu","given":"Ilango","non-dropping-particle":"","parse-names":false,"suffix":""},{"dropping-particle":"","family":"Burant","given":"Charles","non-dropping-particle":"","parse-names":false,"suffix":""},{"dropping-particle":"","family":"Edison","given":"Arthur","non-dropping-particle":"","parse-names":false,"suffix":""},{"dropping-particle":"","family":"Fiehn","given":"Oliver","non-dropping-particle":"","parse-names":false,"suffix":""},{"dropping-particle":"","family":"Higashi","given":"Richard","non-dropping-particle":"","parse-names":false,"suffix":""},{"dropping-particle":"","family":"Nair","given":"K. Sreekumaran","non-dropping-particle":"","parse-names":false,"suffix":""},{"dropping-particle":"","family":"Sumner","given":"Susan","non-dropping-particle":"","parse-names":false,"suffix":""},{"dropping-particle":"","family":"Subramaniam","given":"Shankar","non-dropping-particle":"","parse-names":false,"suffix":""}],"container-title":"Nucleic Acids Research","id":"ITEM-1","issue":"D1","issued":{"date-parts":[["2016"]]},"page":"D463-D470","title":"Metabolomics Workbench: An international repository for metabolomics data and metadata, metabolite standards, protocols, tutorials and training, and analysis tools","type":"article-journal","volume":"44"},"uris":["http://www.mendeley.com/documents/?uuid=f19748b7-e1f5-471e-a264-fe249441827a"]}],"mendeley":{"formattedCitation":"&lt;sup&gt;107&lt;/sup&gt;","plainTextFormattedCitation":"107","previouslyFormattedCitation":"&lt;sup&gt;107&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107</w:t>
      </w:r>
      <w:r w:rsidRPr="00901194">
        <w:rPr>
          <w:rFonts w:cs="Times New Roman"/>
          <w:szCs w:val="24"/>
        </w:rPr>
        <w:fldChar w:fldCharType="end"/>
      </w:r>
      <w:r w:rsidRPr="00901194">
        <w:rPr>
          <w:rFonts w:cs="Times New Roman"/>
          <w:szCs w:val="24"/>
        </w:rPr>
        <w:t>, Metabolights</w:t>
      </w:r>
      <w:r w:rsidRPr="00901194">
        <w:rPr>
          <w:rFonts w:cs="Times New Roman"/>
          <w:szCs w:val="24"/>
        </w:rPr>
        <w:fldChar w:fldCharType="begin" w:fldLock="1"/>
      </w:r>
      <w:r w:rsidR="000A1931" w:rsidRPr="00901194">
        <w:rPr>
          <w:rFonts w:cs="Times New Roman"/>
          <w:szCs w:val="24"/>
        </w:rPr>
        <w:instrText>ADDIN CSL_CITATION {"citationItems":[{"id":"ITEM-1","itemData":{"DOI":"10.1093/nar/gks1004","ISSN":"03051048","PMID":"23109552","abstract":"MetaboLights (http://www.ebi.ac.uk/metabolights) is the first general-purpose, open-access repository for metabolomics studies, their raw experimental data and associated metadata, maintained by one of the major open-access data providers in molecular biology. Metabolomic profiling is an important tool for research into biological functioning and into the systemic perturbations caused by diseases, diet and the environment. The effectiveness of such methods depends on the availability of public open data across a broad range of experimental methods and conditions. The MetaboLights repository, powered by the open source ISA framework, is cross-species and cross-technique. It will cover metabolite structures and their reference spectra as well as their biological roles, locations, concentrations and raw data from metabolic experiments. Studies automatically receive a stable unique accession number that can be used as a publication reference (e.g. MTBLS1). At present, the repository includes 15 submitted studies, encompassing 93 protocols for 714 assays, and span over 8 different species including human, Caenor-habditis elegans, Mus musculus and Arabidopsis thaliana. Eight hundred twenty-seven of the metabolites identified in these studies have been mapped to ChEBI. These studies cover a variety of techniques, including NMR spectroscopyand mass spectrometry. © The Author(s) 2012.","author":[{"dropping-particle":"","family":"Haug","given":"Kenneth","non-dropping-particle":"","parse-names":false,"suffix":""},{"dropping-particle":"","family":"Salek","given":"Reza M.","non-dropping-particle":"","parse-names":false,"suffix":""},{"dropping-particle":"","family":"Conesa","given":"Pablo","non-dropping-particle":"","parse-names":false,"suffix":""},{"dropping-particle":"","family":"Hastings","given":"Janna","non-dropping-particle":"","parse-names":false,"suffix":""},{"dropping-particle":"","family":"Matos","given":"Paula","non-dropping-particle":"De","parse-names":false,"suffix":""},{"dropping-particle":"","family":"Rijnbeek","given":"Mark","non-dropping-particle":"","parse-names":false,"suffix":""},{"dropping-particle":"","family":"Mahendraker","given":"Tejasvi","non-dropping-particle":"","parse-names":false,"suffix":""},{"dropping-particle":"","family":"Williams","given":"Mark","non-dropping-particle":"","parse-names":false,"suffix":""},{"dropping-particle":"","family":"Neumann","given":"Steffen","non-dropping-particle":"","parse-names":false,"suffix":""},{"dropping-particle":"","family":"Rocca-Serra","given":"Philippe","non-dropping-particle":"","parse-names":false,"suffix":""},{"dropping-particle":"","family":"Maguire","given":"Eamonn","non-dropping-particle":"","parse-names":false,"suffix":""},{"dropping-particle":"","family":"González-Beltrán","given":"Alejandra","non-dropping-particle":"","parse-names":false,"suffix":""},{"dropping-particle":"","family":"Sansone","given":"Susanna Assunta","non-dropping-particle":"","parse-names":false,"suffix":""},{"dropping-particle":"","family":"Griffin","given":"Julian L.","non-dropping-particle":"","parse-names":false,"suffix":""},{"dropping-particle":"","family":"Steinbeck","given":"Christoph","non-dropping-particle":"","parse-names":false,"suffix":""}],"container-title":"Nucleic Acids Research","id":"ITEM-1","issue":"D1","issued":{"date-parts":[["2013"]]},"page":"781-786","title":"MetaboLights - An open-access general-purpose repository for metabolomics studies and associated meta-data","type":"article-journal","volume":"41"},"uris":["http://www.mendeley.com/documents/?uuid=ef1820e2-d46a-4634-9f05-e1ef6a0e5e04"]}],"mendeley":{"formattedCitation":"&lt;sup&gt;108&lt;/sup&gt;","plainTextFormattedCitation":"108","previouslyFormattedCitation":"&lt;sup&gt;108&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108</w:t>
      </w:r>
      <w:r w:rsidRPr="00901194">
        <w:rPr>
          <w:rFonts w:cs="Times New Roman"/>
          <w:szCs w:val="24"/>
        </w:rPr>
        <w:fldChar w:fldCharType="end"/>
      </w:r>
      <w:r w:rsidRPr="00901194">
        <w:rPr>
          <w:rFonts w:cs="Times New Roman"/>
          <w:szCs w:val="24"/>
        </w:rPr>
        <w:t>, Foodomics</w:t>
      </w:r>
      <w:r w:rsidRPr="00901194">
        <w:rPr>
          <w:rFonts w:cs="Times New Roman"/>
          <w:szCs w:val="24"/>
        </w:rPr>
        <w:fldChar w:fldCharType="begin" w:fldLock="1"/>
      </w:r>
      <w:r w:rsidR="000A1931" w:rsidRPr="00901194">
        <w:rPr>
          <w:rFonts w:cs="Times New Roman"/>
          <w:szCs w:val="24"/>
        </w:rPr>
        <w:instrText>ADDIN CSL_CITATION {"citationItems":[{"id":"ITEM-1","itemData":{"DOI":"10.3945/ajcn.113.076133","ISSN":"19383207","PMID":"24760973","abstract":"The food metabolome is defined as the part of the human metabolome directly derived from the digestion and biotransformation of foods and their constituents. With .25,000 compounds known in various foods, the food metabolome is extremely complex, with a composition varying widely according to the diet. By its very nature it represents a considerable and still largely unexploited source of novel dietary biomarkers that could be used to measure dietary exposures with a high level of detail and precision. Most dietary biomarkers currently have been identified on the basis of our knowledge of food compositions by using hypothesis-driven approaches. However, the rapid development of metabolomics resulting from the development of highly sensitive modern analytic instruments, the availability of metabolite databases, and progress in (bio)informatics has made agnostic approaches more attractive as shown by the recent identification of novel biomarkers of intakes for fruit, vegetables, beverages, meats, or complex diets. Moreover, examples also show how the scrutiny of the food metabolome can lead to the discovery of bioactive molecules and dietary factors associated with diseases. However, researchers still face hurdles, which slow progress and need to be resolved to bring this emerging field of research to maturity. These limits were discussed during the First International Workshop on the Food Metabolome held in Glasgow. Key recommendations made during the workshop included more coordination of efforts; development of new databases, software tools, and chemical libraries for the food metabolome; and shared repositories of metabolomic data. Once achieved, major progress can be expected toward a better understanding of the complex interactions between diet and human health. © 2014 American Society for Nutrition.","author":[{"dropping-particle":"","family":"Scalbert","given":"Augustin","non-dropping-particle":"","parse-names":false,"suffix":""},{"dropping-particle":"","family":"Brennan","given":"Lorraine","non-dropping-particle":"","parse-names":false,"suffix":""},{"dropping-particle":"","family":"Manach","given":"Claudine","non-dropping-particle":"","parse-names":false,"suffix":""},{"dropping-particle":"","family":"Andres-Lacueva","given":"Cristina","non-dropping-particle":"","parse-names":false,"suffix":""},{"dropping-particle":"","family":"Dragsted","given":"Lars O.","non-dropping-particle":"","parse-names":false,"suffix":""},{"dropping-particle":"","family":"Draper","given":"John","non-dropping-particle":"","parse-names":false,"suffix":""},{"dropping-particle":"","family":"Rappaport","given":"Stephen M.","non-dropping-particle":"","parse-names":false,"suffix":""},{"dropping-particle":"","family":"Hooft","given":"Justin J.J.","non-dropping-particle":"Van Der","parse-names":false,"suffix":""},{"dropping-particle":"","family":"Wishart","given":"David S.","non-dropping-particle":"","parse-names":false,"suffix":""}],"container-title":"American Journal of Clinical Nutrition","id":"ITEM-1","issue":"6","issued":{"date-parts":[["2014"]]},"page":"1286-1308","title":"The food metabolome: A window over dietary exposure","type":"article-journal","volume":"99"},"uris":["http://www.mendeley.com/documents/?uuid=8ce45c92-56c0-4480-9141-223dbefd6317"]}],"mendeley":{"formattedCitation":"&lt;sup&gt;109&lt;/sup&gt;","plainTextFormattedCitation":"109","previouslyFormattedCitation":"&lt;sup&gt;109&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109</w:t>
      </w:r>
      <w:r w:rsidRPr="00901194">
        <w:rPr>
          <w:rFonts w:cs="Times New Roman"/>
          <w:szCs w:val="24"/>
        </w:rPr>
        <w:fldChar w:fldCharType="end"/>
      </w:r>
      <w:r w:rsidRPr="00901194">
        <w:rPr>
          <w:rFonts w:cs="Times New Roman"/>
          <w:szCs w:val="24"/>
        </w:rPr>
        <w:t>, and Skin Trace Evidence (Table S</w:t>
      </w:r>
      <w:r w:rsidR="00982378" w:rsidRPr="00901194">
        <w:rPr>
          <w:rFonts w:cs="Times New Roman"/>
          <w:szCs w:val="24"/>
        </w:rPr>
        <w:t>2.</w:t>
      </w:r>
      <w:r w:rsidRPr="00901194">
        <w:rPr>
          <w:rFonts w:cs="Times New Roman"/>
          <w:szCs w:val="24"/>
        </w:rPr>
        <w:t>3). These searches report sample types matched with our spectra, such as human, mouse, plant, bacterial, or environmental sample types, as well as matched dataset name. Across our 67 shared metabolites, MASST reported a total of 4,485 total dataset matches, with an average of 67 total dataset matchers per metabolite. Indeed, 61% of our shared metabolites reported more matches to human samples than to other sample types (Table S</w:t>
      </w:r>
      <w:r w:rsidR="00982378" w:rsidRPr="00901194">
        <w:rPr>
          <w:rFonts w:cs="Times New Roman"/>
          <w:szCs w:val="24"/>
        </w:rPr>
        <w:t>2.</w:t>
      </w:r>
      <w:r w:rsidRPr="00901194">
        <w:rPr>
          <w:rFonts w:cs="Times New Roman"/>
          <w:szCs w:val="24"/>
        </w:rPr>
        <w:t xml:space="preserve">3) and 79% of our shared metabolites also contained bacterial sample matches, suggesting a possible microbiome origin. Additionally, 39% of our shared metabolites were present in human urbanization gradient studies and 67% were present in studies with cultured bacteria from the gut microbiome. Similar to HFMDB and </w:t>
      </w:r>
      <w:r w:rsidRPr="00901194">
        <w:rPr>
          <w:rFonts w:cs="Times New Roman"/>
          <w:szCs w:val="24"/>
        </w:rPr>
        <w:lastRenderedPageBreak/>
        <w:t>ReDU, MASST searches contain data collected through various instrumental and experimental methods</w:t>
      </w:r>
      <w:r w:rsidR="00D450D7" w:rsidRPr="00901194">
        <w:rPr>
          <w:rFonts w:cs="Times New Roman"/>
          <w:szCs w:val="24"/>
        </w:rPr>
        <w:t xml:space="preserve"> – any </w:t>
      </w:r>
      <w:r w:rsidRPr="00901194">
        <w:rPr>
          <w:rFonts w:cs="Times New Roman"/>
          <w:szCs w:val="24"/>
        </w:rPr>
        <w:t>absent shared metabolites can be attributed to these differences. Nonetheless, the MASST searches demonstrate the prevalence of our shared metabolites across different databases and MS/MS platforms.</w:t>
      </w:r>
    </w:p>
    <w:p w14:paraId="3559CFB7" w14:textId="60ABEE90" w:rsidR="00EE1306" w:rsidRPr="00901194" w:rsidRDefault="00EE1306" w:rsidP="00EE1306">
      <w:pPr>
        <w:ind w:firstLine="720"/>
        <w:rPr>
          <w:rFonts w:cs="Times New Roman"/>
          <w:szCs w:val="24"/>
        </w:rPr>
      </w:pPr>
      <w:r w:rsidRPr="00901194">
        <w:rPr>
          <w:rFonts w:cs="Times New Roman"/>
          <w:szCs w:val="24"/>
        </w:rPr>
        <w:t>While we were able to reveal a shared human fecal metabolome, only 6.1% of our complete dataset had putative compound-level annotations (level 2 according to the metabolomics standards initiative</w:t>
      </w:r>
      <w:r w:rsidRPr="00901194">
        <w:rPr>
          <w:rFonts w:cs="Times New Roman"/>
          <w:szCs w:val="24"/>
        </w:rPr>
        <w:fldChar w:fldCharType="begin" w:fldLock="1"/>
      </w:r>
      <w:r w:rsidR="000A1931" w:rsidRPr="00901194">
        <w:rPr>
          <w:rFonts w:cs="Times New Roman"/>
          <w:szCs w:val="24"/>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41</w:t>
      </w:r>
      <w:r w:rsidRPr="00901194">
        <w:rPr>
          <w:rFonts w:cs="Times New Roman"/>
          <w:szCs w:val="24"/>
        </w:rPr>
        <w:fldChar w:fldCharType="end"/>
      </w:r>
      <w:r w:rsidRPr="00901194">
        <w:rPr>
          <w:rFonts w:cs="Times New Roman"/>
          <w:szCs w:val="24"/>
        </w:rPr>
        <w:t>). Fifteen of these were validated using standards, enabling level 1 annotation confidence</w:t>
      </w:r>
      <w:r w:rsidRPr="00901194">
        <w:rPr>
          <w:rFonts w:cs="Times New Roman"/>
          <w:szCs w:val="24"/>
        </w:rPr>
        <w:fldChar w:fldCharType="begin" w:fldLock="1"/>
      </w:r>
      <w:r w:rsidR="000A1931" w:rsidRPr="00901194">
        <w:rPr>
          <w:rFonts w:cs="Times New Roman"/>
          <w:szCs w:val="24"/>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41</w:t>
      </w:r>
      <w:r w:rsidRPr="00901194">
        <w:rPr>
          <w:rFonts w:cs="Times New Roman"/>
          <w:szCs w:val="24"/>
        </w:rPr>
        <w:fldChar w:fldCharType="end"/>
      </w:r>
      <w:r w:rsidRPr="00901194">
        <w:rPr>
          <w:rFonts w:cs="Times New Roman"/>
          <w:szCs w:val="24"/>
        </w:rPr>
        <w:t xml:space="preserve"> (Figure S</w:t>
      </w:r>
      <w:r w:rsidR="00982378" w:rsidRPr="00901194">
        <w:rPr>
          <w:rFonts w:cs="Times New Roman"/>
          <w:szCs w:val="24"/>
        </w:rPr>
        <w:t>2.</w:t>
      </w:r>
      <w:r w:rsidRPr="00901194">
        <w:rPr>
          <w:rFonts w:cs="Times New Roman"/>
          <w:szCs w:val="24"/>
        </w:rPr>
        <w:t>4). 28.8% of the dataset had annotations based only on chemical class (level 3 of the metabolomics standards initiative</w:t>
      </w:r>
      <w:r w:rsidRPr="00901194">
        <w:rPr>
          <w:rFonts w:cs="Times New Roman"/>
          <w:szCs w:val="24"/>
        </w:rPr>
        <w:fldChar w:fldCharType="begin" w:fldLock="1"/>
      </w:r>
      <w:r w:rsidR="000A1931" w:rsidRPr="00901194">
        <w:rPr>
          <w:rFonts w:cs="Times New Roman"/>
          <w:szCs w:val="24"/>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41</w:t>
      </w:r>
      <w:r w:rsidRPr="00901194">
        <w:rPr>
          <w:rFonts w:cs="Times New Roman"/>
          <w:szCs w:val="24"/>
        </w:rPr>
        <w:fldChar w:fldCharType="end"/>
      </w:r>
      <w:r w:rsidRPr="00901194">
        <w:rPr>
          <w:rFonts w:cs="Times New Roman"/>
          <w:szCs w:val="24"/>
        </w:rPr>
        <w:t>). This underscores the need for further annotation of human fecal metabolites, especially from human populations traditionally underrepresented in metabolomic databases. Additionally, it is important to note that samples used for this study were collected at different times and subjected to varying preservation treatments and lengths. However, our samples clustered based on industrialization category rather than storage conditions or geographic origin, indicating that any confounding influence from preservation was overshadowed by the effect of industrialization. Moreover, industrialization refers to a suite of features that can influence the metabolome, with diet as a strong candidate</w:t>
      </w:r>
      <w:r w:rsidRPr="00901194">
        <w:rPr>
          <w:rFonts w:cs="Times New Roman"/>
          <w:szCs w:val="24"/>
        </w:rPr>
        <w:fldChar w:fldCharType="begin" w:fldLock="1"/>
      </w:r>
      <w:r w:rsidR="000A1931" w:rsidRPr="00901194">
        <w:rPr>
          <w:rFonts w:cs="Times New Roman"/>
          <w:szCs w:val="24"/>
        </w:rPr>
        <w:instrText>ADDIN CSL_CITATION {"citationItems":[{"id":"ITEM-1","itemData":{"DOI":"10.1039/C7FO01820G","author":[{"dropping-particle":"","family":"Requena","given":"T.","non-dropping-particle":"","parse-names":false,"suffix":""},{"dropping-particle":"","family":"Martínez-Cuesta","given":"M.C.","non-dropping-particle":"","parse-names":false,"suffix":""},{"dropping-particle":"","family":"Peláez","given":"C.","non-dropping-particle":"","parse-names":false,"suffix":""}],"container-title":"Food and Function","id":"ITEM-1","issue":"2","issued":{"date-parts":[["2018"]]},"page":"688-704","title":"Diet and microbiota linked in health and disease","type":"article-journal","volume":"9"},"uris":["http://www.mendeley.com/documents/?uuid=bd94aef4-9773-4e6b-8f01-ce9c47e02e6b"]},{"id":"ITEM-2","itemData":{"DOI":"10.3389/fgene.2019.00454","ISSN":"16648021","abstract":"The human microbiome has been associated with health status, and risk of disease development. While the etiology of microbiome-mediated disease remains to be fully elucidated, one mechanism may be through microbial metabolism. Metabolites produced by commensal organisms, including in response to host diet, may affect host metabolic processes, with potentially protective or pathogenic consequences. We conducted multi-omic phenotyping of healthy subjects (N = 136), in order to investigate the interaction between diet, the microbiome, and the metabolome in a cross-sectional sample. We analyzed the nutrient composition of self-reported diet (3-day food records and food frequency questionnaires). We profiled the gut and oral microbiome (16S rRNA) from stool and saliva, and applied metabolomic profiling to plasma and stool samples in a subset of individuals (N = 75). We analyzed these multi-omic data to investigate the relationship between diet, the microbiome, and the gut and circulating metabolome. On a global level, we observed significant relationships, particularly between long-term diet, the gut microbiome and the metabolome. Intake of plant-derived nutrients as well as consumption of artificial sweeteners were associated with significant differences in circulating metabolites, particularly bile acids, which were dependent on gut enterotype, indicating that microbiome composition mediates the effect of diet on host physiology. Our analysis identifies dietary compounds and phytochemicals that may modulate bacterial abundance within the gut and interact with microbiome composition to alter host metabolism.","author":[{"dropping-particle":"","family":"Tang","given":"Zheng Zheng","non-dropping-particle":"","parse-names":false,"suffix":""},{"dropping-particle":"","family":"Chen","given":"Guanhua","non-dropping-particle":"","parse-names":false,"suffix":""},{"dropping-particle":"","family":"Hong","given":"Qilin","non-dropping-particle":"","parse-names":false,"suffix":""},{"dropping-particle":"","family":"Huang","given":"Shi","non-dropping-particle":"","parse-names":false,"suffix":""},{"dropping-particle":"","family":"Smith","given":"Holly M.","non-dropping-particle":"","parse-names":false,"suffix":""},{"dropping-particle":"","family":"Shah","given":"Rachana D.","non-dropping-particle":"","parse-names":false,"suffix":""},{"dropping-particle":"","family":"Scholz","given":"Matthew","non-dropping-particle":"","parse-names":false,"suffix":""},{"dropping-particle":"","family":"Ferguson","given":"Jane F.","non-dropping-particle":"","parse-names":false,"suffix":""}],"container-title":"Frontiers in Genetics","id":"ITEM-2","issue":"MAY","issued":{"date-parts":[["2019"]]},"note":"Examines interaction b/w diet, microbiome, and metabolome. Found specific chemical groups (plant nutrients and artificial sweeteners) are associated with significant metabolite diffs, but are rooted in gut microbiome composition. Suggests that microbiome composition mediates the effects of diet on host physiology","title":"Multi-omic analysis of the microbiome and metabolome in healthy subjects reveals microbiome-dependent relationships between diet and metabolites","type":"article-journal","volume":"10"},"uris":["http://www.mendeley.com/documents/?uuid=8fbba7d0-277b-4aeb-8f78-11697a6600cb"]}],"mendeley":{"formattedCitation":"&lt;sup&gt;142,143&lt;/sup&gt;","plainTextFormattedCitation":"142,143","previouslyFormattedCitation":"&lt;sup&gt;142,143&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142,143</w:t>
      </w:r>
      <w:r w:rsidRPr="00901194">
        <w:rPr>
          <w:rFonts w:cs="Times New Roman"/>
          <w:szCs w:val="24"/>
        </w:rPr>
        <w:fldChar w:fldCharType="end"/>
      </w:r>
      <w:r w:rsidRPr="00901194">
        <w:rPr>
          <w:rFonts w:cs="Times New Roman"/>
          <w:szCs w:val="24"/>
        </w:rPr>
        <w:t xml:space="preserve">. Other factors like demography, genetics, and environment also influence the metabolome with diet, highlighting a need to explore the mechanisms of industrialization’s effect on the human metabolome. Furthermore, our sampled populations had unequal sex and age distributions, potentially obscuring any effects caused by sex or age on the fecal metabolome. While our results do not indicate statistically significant differences based on age or sex, further research is needed with samples equally representing sex and age distributions. Full </w:t>
      </w:r>
      <w:r w:rsidRPr="00901194">
        <w:rPr>
          <w:rFonts w:cs="Times New Roman"/>
          <w:szCs w:val="24"/>
        </w:rPr>
        <w:lastRenderedPageBreak/>
        <w:t>data are freely available on GNPS</w:t>
      </w:r>
      <w:r w:rsidRPr="00901194">
        <w:rPr>
          <w:rFonts w:cs="Times New Roman"/>
          <w:szCs w:val="24"/>
        </w:rPr>
        <w:fldChar w:fldCharType="begin" w:fldLock="1"/>
      </w:r>
      <w:r w:rsidR="000A1931" w:rsidRPr="00901194">
        <w:rPr>
          <w:rFonts w:cs="Times New Roman"/>
          <w:szCs w:val="24"/>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Pr="00901194">
        <w:rPr>
          <w:rFonts w:cs="Times New Roman"/>
          <w:szCs w:val="24"/>
        </w:rPr>
        <w:fldChar w:fldCharType="separate"/>
      </w:r>
      <w:r w:rsidR="00AB5632" w:rsidRPr="00901194">
        <w:rPr>
          <w:rFonts w:cs="Times New Roman"/>
          <w:noProof/>
          <w:szCs w:val="24"/>
          <w:vertAlign w:val="superscript"/>
        </w:rPr>
        <w:t>45</w:t>
      </w:r>
      <w:r w:rsidRPr="00901194">
        <w:rPr>
          <w:rFonts w:cs="Times New Roman"/>
          <w:szCs w:val="24"/>
        </w:rPr>
        <w:fldChar w:fldCharType="end"/>
      </w:r>
      <w:r w:rsidRPr="00901194">
        <w:rPr>
          <w:rFonts w:cs="Times New Roman"/>
          <w:szCs w:val="24"/>
        </w:rPr>
        <w:t xml:space="preserve"> so they can be of use to other researchers and annotations can continue to expand.</w:t>
      </w:r>
    </w:p>
    <w:p w14:paraId="64E23521" w14:textId="3BB55DDB" w:rsidR="007E25E1" w:rsidRPr="00901194" w:rsidRDefault="007E25E1" w:rsidP="007E25E1">
      <w:pPr>
        <w:pStyle w:val="Sub-ChapterHading"/>
      </w:pPr>
      <w:bookmarkStart w:id="59" w:name="_Toc134185961"/>
      <w:r w:rsidRPr="00901194">
        <w:t>2.5 CONCLUSIONS</w:t>
      </w:r>
      <w:bookmarkEnd w:id="59"/>
    </w:p>
    <w:p w14:paraId="58566228" w14:textId="206CEB55" w:rsidR="00EE1306" w:rsidRPr="00901194" w:rsidRDefault="00EE1306" w:rsidP="00EE1306">
      <w:pPr>
        <w:ind w:firstLine="720"/>
        <w:rPr>
          <w:rFonts w:cs="Times New Roman"/>
          <w:szCs w:val="24"/>
        </w:rPr>
      </w:pPr>
      <w:r w:rsidRPr="00901194">
        <w:rPr>
          <w:rFonts w:cs="Times New Roman"/>
          <w:szCs w:val="24"/>
        </w:rPr>
        <w:t>Our results demonstrate how industrialization profoundly shapes human fecal metabolic environments regardless of age, sex, or geographic origin. We also highlight strong commonalities in the fecal metabolome across these distinct populations, representing shared features of a human fecal metabolome represented by endogenous and exogenous metabolites. Based on our definition, these shared chemical components are shared by major human groups or populations, but not necessarily found in every human individual or LC-MS analysis, given differences in metabolite extraction or instrumental conditions between studies. Further studies focused on untargeted analyses of a spectrum of industrial and non-industrial populations, including past and present humans, can help elucidate the shared human fecal metabolome’s ubiquity, its relationship with the gut microbiome, and how processes such as industrialization drive human evolution.</w:t>
      </w:r>
    </w:p>
    <w:p w14:paraId="294BFB30" w14:textId="62F019E8" w:rsidR="004826F9" w:rsidRPr="00901194" w:rsidRDefault="004826F9" w:rsidP="004826F9">
      <w:pPr>
        <w:rPr>
          <w:rFonts w:cs="Times New Roman"/>
          <w:szCs w:val="24"/>
        </w:rPr>
      </w:pPr>
    </w:p>
    <w:p w14:paraId="301EBF56" w14:textId="269F08DB" w:rsidR="004826F9" w:rsidRPr="00901194" w:rsidRDefault="004826F9" w:rsidP="004826F9">
      <w:pPr>
        <w:rPr>
          <w:rFonts w:cs="Times New Roman"/>
          <w:szCs w:val="24"/>
        </w:rPr>
      </w:pPr>
    </w:p>
    <w:p w14:paraId="42F0862E" w14:textId="01E79C0A" w:rsidR="004A25BA" w:rsidRPr="00901194" w:rsidRDefault="00932383" w:rsidP="00932383">
      <w:pPr>
        <w:pStyle w:val="ChapterHeading1"/>
        <w:rPr>
          <w:vertAlign w:val="superscript"/>
        </w:rPr>
      </w:pPr>
      <w:bookmarkStart w:id="60" w:name="_Toc134185962"/>
      <w:r w:rsidRPr="00901194">
        <w:lastRenderedPageBreak/>
        <w:t xml:space="preserve">Chapter 3 - </w:t>
      </w:r>
      <w:r w:rsidR="00A474EF" w:rsidRPr="00901194">
        <w:t xml:space="preserve">Untargeted </w:t>
      </w:r>
      <w:r w:rsidR="008142EB" w:rsidRPr="00901194">
        <w:t>M</w:t>
      </w:r>
      <w:r w:rsidR="00A474EF" w:rsidRPr="00901194">
        <w:t xml:space="preserve">ass </w:t>
      </w:r>
      <w:r w:rsidR="008142EB" w:rsidRPr="00901194">
        <w:t>S</w:t>
      </w:r>
      <w:r w:rsidR="00A474EF" w:rsidRPr="00901194">
        <w:t>pectrometry-</w:t>
      </w:r>
      <w:r w:rsidR="008142EB" w:rsidRPr="00901194">
        <w:t>B</w:t>
      </w:r>
      <w:r w:rsidR="00A474EF" w:rsidRPr="00901194">
        <w:t xml:space="preserve">ased </w:t>
      </w:r>
      <w:r w:rsidR="008142EB" w:rsidRPr="00901194">
        <w:t>M</w:t>
      </w:r>
      <w:r w:rsidR="00A474EF" w:rsidRPr="00901194">
        <w:t xml:space="preserve">etabolomics </w:t>
      </w:r>
      <w:r w:rsidR="008142EB" w:rsidRPr="00901194">
        <w:t>R</w:t>
      </w:r>
      <w:r w:rsidR="00A474EF" w:rsidRPr="00901194">
        <w:t xml:space="preserve">eveals </w:t>
      </w:r>
      <w:r w:rsidR="008142EB" w:rsidRPr="00901194">
        <w:t>R</w:t>
      </w:r>
      <w:r w:rsidR="00A474EF" w:rsidRPr="00901194">
        <w:t xml:space="preserve">esponses to </w:t>
      </w:r>
      <w:r w:rsidR="008142EB" w:rsidRPr="00901194">
        <w:t>H</w:t>
      </w:r>
      <w:r w:rsidR="00A474EF" w:rsidRPr="00901194">
        <w:t xml:space="preserve">igh </w:t>
      </w:r>
      <w:r w:rsidR="008142EB" w:rsidRPr="00901194">
        <w:t>F</w:t>
      </w:r>
      <w:r w:rsidR="00A474EF" w:rsidRPr="00901194">
        <w:t xml:space="preserve">iber </w:t>
      </w:r>
      <w:r w:rsidR="008142EB" w:rsidRPr="00901194">
        <w:t>W</w:t>
      </w:r>
      <w:r w:rsidR="00A474EF" w:rsidRPr="00901194">
        <w:t>hole-</w:t>
      </w:r>
      <w:r w:rsidR="008142EB" w:rsidRPr="00901194">
        <w:t>F</w:t>
      </w:r>
      <w:r w:rsidR="00A474EF" w:rsidRPr="00901194">
        <w:t xml:space="preserve">ood </w:t>
      </w:r>
      <w:r w:rsidR="008142EB" w:rsidRPr="00901194">
        <w:t>D</w:t>
      </w:r>
      <w:r w:rsidR="00A474EF" w:rsidRPr="00901194">
        <w:t xml:space="preserve">iets and </w:t>
      </w:r>
      <w:r w:rsidR="008142EB" w:rsidRPr="00901194">
        <w:t>M</w:t>
      </w:r>
      <w:r w:rsidR="00A474EF" w:rsidRPr="00901194">
        <w:t xml:space="preserve">icrobiome </w:t>
      </w:r>
      <w:r w:rsidR="008142EB" w:rsidRPr="00901194">
        <w:t>C</w:t>
      </w:r>
      <w:r w:rsidR="00A474EF" w:rsidRPr="00901194">
        <w:t xml:space="preserve">omposition in </w:t>
      </w:r>
      <w:r w:rsidR="008142EB" w:rsidRPr="00901194">
        <w:t>M</w:t>
      </w:r>
      <w:r w:rsidR="00A474EF" w:rsidRPr="00901194">
        <w:t>ice</w:t>
      </w:r>
      <w:r w:rsidR="00CE3669" w:rsidRPr="00901194">
        <w:rPr>
          <w:rStyle w:val="FootnoteReference"/>
        </w:rPr>
        <w:footnoteReference w:id="3"/>
      </w:r>
      <w:bookmarkEnd w:id="60"/>
    </w:p>
    <w:p w14:paraId="63ECFD90" w14:textId="40DBB9EA" w:rsidR="004A25BA" w:rsidRPr="00901194" w:rsidRDefault="004A25BA" w:rsidP="004A25BA">
      <w:pPr>
        <w:pStyle w:val="Sub-ChapterHading"/>
      </w:pPr>
      <w:bookmarkStart w:id="61" w:name="_Toc134185963"/>
      <w:r w:rsidRPr="00901194">
        <w:t>3.1 ABSTRACT</w:t>
      </w:r>
      <w:bookmarkEnd w:id="61"/>
    </w:p>
    <w:p w14:paraId="434494A0" w14:textId="2C59D531" w:rsidR="00EF09EE" w:rsidRPr="00901194" w:rsidRDefault="00EF09EE" w:rsidP="00EE088F">
      <w:pPr>
        <w:ind w:firstLine="720"/>
        <w:rPr>
          <w:rFonts w:eastAsia="Times New Roman" w:cs="Times New Roman"/>
          <w:color w:val="auto"/>
          <w:szCs w:val="24"/>
        </w:rPr>
      </w:pPr>
      <w:r w:rsidRPr="00901194">
        <w:rPr>
          <w:rFonts w:cs="Times New Roman"/>
        </w:rPr>
        <w:t xml:space="preserve">Diet shapes gut microbiome composition and function, which influence the host at least in part by producing metabolites. These metabolites operate on intestinal receptors to cause cascading cellular signals to other organ systems, directly shaping host cellular responses to their environment. Examining organ responses to this metabolite network, called the metabolome, represents a direct link between host functions and phenotypes, the environment (especially diet), and health. In this mouse study, we evaluate the metabolomic consequences of multiple high-fiber diets and microbiome communities. Through a multi-omic approach examining host microbiome and metabolome interactions, our results illustrate how diets and microbiome communities contribute to unique cecum and serum metabolite profiles. Germ-free mice (total </w:t>
      </w:r>
      <w:r w:rsidRPr="00901194">
        <w:rPr>
          <w:rStyle w:val="Emphasis"/>
          <w:rFonts w:cs="Times New Roman"/>
        </w:rPr>
        <w:t>n</w:t>
      </w:r>
      <w:r w:rsidRPr="00901194">
        <w:rPr>
          <w:rFonts w:cs="Times New Roman"/>
        </w:rPr>
        <w:t xml:space="preserve">=86) were fed standard chow diets for two weeks, then colonized with three different human microbiome communities (subA, subB, subC). Mice were then fed one of three high fiber and high fat combination diets, with legume, vegetable, or whole grain supplementation. After 12 weeks on these diets, cecum contents were sampled and blood serum samples were collected. Metabolites were extracted, separated using C8 liquid chromatography, and analyzed using electrospray ionization mass spectrometry in positive mode with data-dependent MS2 acquisition. Data were analyzed using feature-based molecular networking, spectral library search, principal coordinate analysis, and PERMANOVA. </w:t>
      </w:r>
      <w:r w:rsidRPr="00901194">
        <w:rPr>
          <w:rFonts w:eastAsia="Times New Roman" w:cs="Times New Roman"/>
          <w:color w:val="auto"/>
          <w:szCs w:val="24"/>
        </w:rPr>
        <w:t xml:space="preserve">Overall, diet and gut communities </w:t>
      </w:r>
      <w:r w:rsidRPr="00901194">
        <w:rPr>
          <w:rFonts w:eastAsia="Times New Roman" w:cs="Times New Roman"/>
          <w:color w:val="auto"/>
          <w:szCs w:val="24"/>
        </w:rPr>
        <w:lastRenderedPageBreak/>
        <w:t xml:space="preserve">both differentially modulated cecal and serum metabolites. Analyses focused on microbiome-modulated metabolites that were elevated or depleted compared to the germ-free controls. In the cecum, 40% of all metabolite features were microbiome-modulated, with 16% of these metabolites being microbiome community-specific and 19% diet-specific. The whole grain diet resulted in the greatest number of unique metabolites. In contrast, the microbiome community with the greatest number of unique metabolites varied by diet. Examining diet-donor effects together revealed variation in microbiome-modulated metabolites between donors and diets, with the vegetable diet as the most divergent diet and one specific community (subB) as the most divergent community. Examining molecular networks revealed donor-diet effects on hydroxycinnamic acids (e.g., ferulic acid in whole grain diet), bile acids (e.g., glycocholic acid enriched in subC community) and triterpenoids (e.g., glochidone abundance in legume diet). Furthermore, bile acids were often enriched in legume/vegetable diets, and subC/subA microbiome communities. In the serum, 19% of total metabolite features detected were microbiome-modulated. The whole grain diet was again associated with the greatest amount of unique microbiome-modulated metabolites across donors, but further diversity measures revealed no significant differences between donors across diets. </w:t>
      </w:r>
      <w:r w:rsidR="00157D3E" w:rsidRPr="00901194">
        <w:rPr>
          <w:rFonts w:eastAsia="Times New Roman" w:cs="Times New Roman"/>
          <w:color w:val="auto"/>
          <w:szCs w:val="24"/>
        </w:rPr>
        <w:t xml:space="preserve">Across these sample types, such diet-based patterns reveal how personalized dietary behaviors </w:t>
      </w:r>
      <w:r w:rsidR="00EE088F" w:rsidRPr="00901194">
        <w:rPr>
          <w:rFonts w:eastAsia="Times New Roman" w:cs="Times New Roman"/>
          <w:color w:val="auto"/>
          <w:szCs w:val="24"/>
        </w:rPr>
        <w:t>varyingly and uniquely shape metabolomes. Moreover, cecum and serum metabolomes exhibited different responses to diet-informed gut microbiota activity. This finding displays spatial aspects to investigating host-microbe relationships, where different metabolome systems are variably influenced by gut microbes and their responses to dietary behaviors. Additionally, s</w:t>
      </w:r>
      <w:r w:rsidRPr="00901194">
        <w:rPr>
          <w:rFonts w:eastAsia="Times New Roman" w:cs="Times New Roman"/>
          <w:color w:val="auto"/>
          <w:szCs w:val="24"/>
        </w:rPr>
        <w:t>ignificantly different metabolites between experimental groups included structural analogs of curcumol (plant natural product) and glochidone (plant metabolite).</w:t>
      </w:r>
      <w:r w:rsidR="00157D3E" w:rsidRPr="00901194">
        <w:rPr>
          <w:rFonts w:eastAsia="Times New Roman" w:cs="Times New Roman"/>
          <w:color w:val="auto"/>
          <w:szCs w:val="24"/>
        </w:rPr>
        <w:t xml:space="preserve"> </w:t>
      </w:r>
      <w:r w:rsidRPr="00901194">
        <w:rPr>
          <w:rFonts w:eastAsia="Times New Roman" w:cs="Times New Roman"/>
          <w:color w:val="auto"/>
          <w:szCs w:val="24"/>
        </w:rPr>
        <w:t xml:space="preserve">. Ultimately, these findings accentuate the strong </w:t>
      </w:r>
      <w:r w:rsidRPr="00901194">
        <w:rPr>
          <w:rFonts w:eastAsia="Times New Roman" w:cs="Times New Roman"/>
          <w:color w:val="auto"/>
          <w:szCs w:val="24"/>
        </w:rPr>
        <w:lastRenderedPageBreak/>
        <w:t xml:space="preserve">potential for dietary effects on personalized health through microbiome-metabolite interactions and </w:t>
      </w:r>
      <w:r w:rsidRPr="00901194">
        <w:rPr>
          <w:rFonts w:cs="Times New Roman"/>
        </w:rPr>
        <w:t>highlights mass spectrometry-based metabolomic approaches for examining microbiome-dependent personal dietary effects on host biology</w:t>
      </w:r>
      <w:r w:rsidRPr="00901194">
        <w:rPr>
          <w:rFonts w:eastAsia="Times New Roman" w:cs="Times New Roman"/>
          <w:color w:val="auto"/>
          <w:szCs w:val="24"/>
        </w:rPr>
        <w:t>.</w:t>
      </w:r>
    </w:p>
    <w:p w14:paraId="4C5B3179" w14:textId="0160F5EB" w:rsidR="004A25BA" w:rsidRPr="00901194" w:rsidRDefault="004A25BA" w:rsidP="004A25BA">
      <w:pPr>
        <w:pStyle w:val="Sub-ChapterHading"/>
        <w:ind w:left="0" w:firstLine="0"/>
      </w:pPr>
      <w:bookmarkStart w:id="62" w:name="_Toc134185964"/>
      <w:r w:rsidRPr="00901194">
        <w:t>3.2 INTRODUCTION</w:t>
      </w:r>
      <w:bookmarkEnd w:id="62"/>
    </w:p>
    <w:p w14:paraId="0ACB7F2C" w14:textId="77EBC484" w:rsidR="00A00839" w:rsidRPr="00901194" w:rsidRDefault="00A00839" w:rsidP="00A00839">
      <w:pPr>
        <w:ind w:firstLine="720"/>
        <w:rPr>
          <w:rFonts w:cs="Times New Roman"/>
        </w:rPr>
      </w:pPr>
      <w:r w:rsidRPr="00901194">
        <w:rPr>
          <w:rFonts w:cs="Times New Roman"/>
        </w:rPr>
        <w:t xml:space="preserve">Mammalian guts contain diverse microbial communities that influence </w:t>
      </w:r>
      <w:r w:rsidR="005869E0" w:rsidRPr="00901194">
        <w:rPr>
          <w:rFonts w:cs="Times New Roman"/>
        </w:rPr>
        <w:t xml:space="preserve">many </w:t>
      </w:r>
      <w:r w:rsidRPr="00901194">
        <w:rPr>
          <w:rFonts w:cs="Times New Roman"/>
        </w:rPr>
        <w:t>aspects of their biology, such as energy harvesting, vitamin production, and behavior</w:t>
      </w:r>
      <w:r w:rsidR="005869E0" w:rsidRPr="00901194">
        <w:rPr>
          <w:rFonts w:cs="Times New Roman"/>
        </w:rPr>
        <w:fldChar w:fldCharType="begin" w:fldLock="1"/>
      </w:r>
      <w:r w:rsidR="006B6CD4" w:rsidRPr="00901194">
        <w:rPr>
          <w:rFonts w:cs="Times New Roman"/>
        </w:rPr>
        <w:instrText>ADDIN CSL_CITATION {"citationItems":[{"id":"ITEM-1","itemData":{"DOI":"10.1016/j.chom.2018.05.012","abstract":"Food is a primordial need for our survival and well-being. However, diet is not only essential to maintain human growth, reproduction, and health, but it also modulates and supports the symbiotic microbial com- munities that colonize the digestive tract—the gut microbiota. Type, quality, and origin of our food shape our gut microbes and affect their composition and function, impacting host-microbe interactions. In this review, we will focus on dietary fibers, which interact directly with gut microbes and lead to the production of key metabolites such as short-chain fatty acids, and discuss how dietary fiber impacts gut microbial ecol- ogy, host physiology, and health. Hippocrates’ notion ‘‘Let food be thy medicine and medicine be thy food’’ remains highly relevant millennia later, but requires consideration of how diet can be used for modulation of gut microbial ecology to promote health.","author":[{"dropping-particle":"","family":"Makki","given":"Kassem","non-dropping-particle":"","parse-names":false,"suffix":""},{"dropping-particle":"","family":"Deehan","given":"Edward C.","non-dropping-particle":"","parse-names":false,"suffix":""},{"dropping-particle":"","family":"Walter","given":"Jens","non-dropping-particle":"","parse-names":false,"suffix":""},{"dropping-particle":"","family":"Bäckhed","given":"Fredrik","non-dropping-particle":"","parse-names":false,"suffix":""}],"container-title":"Cell Host &amp; Microbe","id":"ITEM-1","issue":"6","issued":{"date-parts":[["2018"]]},"page":"705-715","title":"The Impact of Dietary Fiber on Gut Microbiota in Host Health and Disease","type":"article-journal","volume":"23"},"uris":["http://www.mendeley.com/documents/?uuid=c79c691a-b657-424b-88d5-a52646c9f06a"]}],"mendeley":{"formattedCitation":"&lt;sup&gt;157&lt;/sup&gt;","plainTextFormattedCitation":"157","previouslyFormattedCitation":"&lt;sup&gt;157&lt;/sup&gt;"},"properties":{"noteIndex":0},"schema":"https://github.com/citation-style-language/schema/raw/master/csl-citation.json"}</w:instrText>
      </w:r>
      <w:r w:rsidR="005869E0" w:rsidRPr="00901194">
        <w:rPr>
          <w:rFonts w:cs="Times New Roman"/>
        </w:rPr>
        <w:fldChar w:fldCharType="separate"/>
      </w:r>
      <w:r w:rsidR="009D364B" w:rsidRPr="00901194">
        <w:rPr>
          <w:rFonts w:cs="Times New Roman"/>
          <w:noProof/>
          <w:vertAlign w:val="superscript"/>
        </w:rPr>
        <w:t>157</w:t>
      </w:r>
      <w:r w:rsidR="005869E0" w:rsidRPr="00901194">
        <w:rPr>
          <w:rFonts w:cs="Times New Roman"/>
        </w:rPr>
        <w:fldChar w:fldCharType="end"/>
      </w:r>
      <w:r w:rsidRPr="00901194">
        <w:rPr>
          <w:rFonts w:cs="Times New Roman"/>
        </w:rPr>
        <w:t>. The production of metabolites by gut microbes could influence cellular signaling cascades and cause epigenetic changes by interacting with the intestine and other organs, which in turn affects host physiology</w:t>
      </w:r>
      <w:r w:rsidR="005869E0" w:rsidRPr="00901194">
        <w:rPr>
          <w:rFonts w:cs="Times New Roman"/>
        </w:rPr>
        <w:fldChar w:fldCharType="begin" w:fldLock="1"/>
      </w:r>
      <w:r w:rsidR="006B6CD4" w:rsidRPr="00901194">
        <w:rPr>
          <w:rFonts w:cs="Times New Roman"/>
        </w:rPr>
        <w:instrText>ADDIN CSL_CITATION {"citationItems":[{"id":"ITEM-1","itemData":{"DOI":"doi:10.3390/biomedicines8060154","abstract":"The role of the gut microbiome in human health is becoming apparent. The major functional impact of the gut microbiome is transmitted through the microbial metabolites that are produced in the gut and interact with host cells either in the local gut environment or are absorbed into circulation to impact distant cells/organs. Short-chain fatty acids (SCFAs) are the major microbial metabolites that are produced in the gut through the fermentation of non-digestible fibers. SCFAs are known to function through various mechanisms, however, their signaling through free fatty acid receptors 2 and 3 (FFAR2/3; type of G-coupled protein receptors) is a new therapeutic approach. FFAR2/3 are widely expressed in diverse cell types in human and mice, and function as sensors of SCFAs to change several physiological and cellular functions. FFAR2/3 modulate neurological signaling, energy metabolism, intestinal cellular homeostasis, immune response, and hormone synthesis. FFAR2/3 function through Gi and/or Gq signaling, that is mediated through specific structural features of SCFAs-FFAR2/3 bindings and modulating specific signaling pathway. In this review, we discuss the wide-spread expression and structural homologies between human and mice FFAR2/3, and their role in different human health conditions. This information can unlock opportunities to weigh the potential of FFAR2/3 as a drug target to prevent human diseases.","author":[{"dropping-particle":"","family":"Mishra","given":"Sidharth P.","non-dropping-particle":"","parse-names":false,"suffix":""},{"dropping-particle":"","family":"Karunakar","given":"Prashantha","non-dropping-particle":"","parse-names":false,"suffix":""},{"dropping-particle":"","family":"Taraphder","given":"Subhash","non-dropping-particle":"","parse-names":false,"suffix":""},{"dropping-particle":"","family":"Yadav","given":"Hariom","non-dropping-particle":"","parse-names":false,"suffix":""}],"container-title":"Biomedicines","id":"ITEM-1","issue":"6","issued":{"date-parts":[["2020"]]},"page":"1-45","title":"Free Fatty Acid Receptors 2 and 3 as Microbial Metabolite Sensors to Shape Host Health: Pharmacophysiological View","type":"article-journal","volume":"8"},"uris":["http://www.mendeley.com/documents/?uuid=f5347e7e-f42d-48ab-a01c-42cd3bfb27b6"]},{"id":"ITEM-2","itemData":{"DOI":"10.1126/science.1241214","abstract":"The role of specific gut microbes in shaping body composition remains unclear. We transplanted fecal microbiota from adult female twin pairs discordant for obesity into germ-free mice fed low-fat mouse chow, as well as diets representing different levels of saturated fat and fruit and vegetable consumption typical of the U.S. diet. Increased total body and fat mass, as well as obesity-associated metabolic phenotypes, were transmissible with uncultured fecal communities and with their corresponding fecal bacterial culture collections. Cohousing mice harboring an obese twin’s microbiota (Ob) with mice containing the lean co-twin’s microbiota (Ln) prevented the development of increased body mass and obesity-associated metabolic phenotypes in Ob cage mates. Rescue correlated with invasion of specific members of Bacteroidetes from the Ln microbiota into Ob microbiota and was diet-dependent. These findings reveal transmissible, rapid, and modifiable effects of diet-by-microbiota interactions. M","author":[{"dropping-particle":"","family":"Ridaura","given":"Vanessa K","non-dropping-particle":"","parse-names":false,"suffix":""},{"dropping-particle":"","family":"Faith","given":"Jeremiah J","non-dropping-particle":"","parse-names":false,"suffix":""},{"dropping-particle":"","family":"Rey","given":"Federico E","non-dropping-particle":"","parse-names":false,"suffix":""},{"dropping-particle":"","family":"Cheng","given":"Jiye","non-dropping-particle":"","parse-names":false,"suffix":""},{"dropping-particle":"","family":"Duncan","given":"Alexis E","non-dropping-particle":"","parse-names":false,"suffix":""},{"dropping-particle":"","family":"Kau","given":"L","non-dropping-particle":"","parse-names":false,"suffix":""},{"dropping-particle":"","family":"Griffi","given":"Nicholas W","non-dropping-particle":"","parse-names":false,"suffix":""},{"dropping-particle":"","family":"Lombard","given":"Vincent","non-dropping-particle":"","parse-names":false,"suffix":""},{"dropping-particle":"","family":"Henrissat","given":"Bernard","non-dropping-particle":"","parse-names":false,"suffix":""},{"dropping-particle":"","family":"Bain","given":"James R","non-dropping-particle":"","parse-names":false,"suffix":""},{"dropping-particle":"","family":"Michael","given":"J","non-dropping-particle":"","parse-names":false,"suffix":""},{"dropping-particle":"","family":"Ilkayeva","given":"Olga","non-dropping-particle":"","parse-names":false,"suffix":""},{"dropping-particle":"","family":"Semenkovich","given":"Clay F","non-dropping-particle":"","parse-names":false,"suffix":""},{"dropping-particle":"","family":"Funai","given":"Katsuhiko","non-dropping-particle":"","parse-names":false,"suffix":""},{"dropping-particle":"","family":"Hayashi","given":"David K","non-dropping-particle":"","parse-names":false,"suffix":""},{"dropping-particle":"","family":"Lyle","given":"J","non-dropping-particle":"","parse-names":false,"suffix":""},{"dropping-particle":"","family":"Martini","given":"Margaret C","non-dropping-particle":"","parse-names":false,"suffix":""},{"dropping-particle":"","family":"Ursell","given":"Luke K","non-dropping-particle":"","parse-names":false,"suffix":""},{"dropping-particle":"","family":"Clemente","given":"Jose C","non-dropping-particle":"","parse-names":false,"suffix":""},{"dropping-particle":"Van","family":"Treuren","given":"William","non-dropping-particle":"","parse-names":false,"suffix":""},{"dropping-particle":"","family":"William","given":"A","non-dropping-particle":"","parse-names":false,"suffix":""},{"dropping-particle":"","family":"Knight","given":"Rob","non-dropping-particle":"","parse-names":false,"suffix":""},{"dropping-particle":"","family":"Newgard","given":"Christopher B","non-dropping-particle":"","parse-names":false,"suffix":""},{"dropping-particle":"","family":"Heath","given":"Andrew C","non-dropping-particle":"","parse-names":false,"suffix":""},{"dropping-particle":"","family":"Gordon","given":"Jeffrey I","non-dropping-particle":"","parse-names":false,"suffix":""},{"dropping-particle":"","family":"Ridaura","given":"Vanessa K","non-dropping-particle":"","parse-names":false,"suffix":""},{"dropping-particle":"","family":"Faith","given":"Jeremiah J","non-dropping-particle":"","parse-names":false,"suffix":""},{"dropping-particle":"","family":"Rey","given":"Federico E","non-dropping-particle":"","parse-names":false,"suffix":""},{"dropping-particle":"","family":"Cheng","given":"Jiye","non-dropping-particle":"","parse-names":false,"suffix":""},{"dropping-particle":"","family":"Duncan","given":"Alexis E","non-dropping-particle":"","parse-names":false,"suffix":""},{"dropping-particle":"","family":"Kau","given":"Andrew L","non-dropping-particle":"","parse-names":false,"suffix":""},{"dropping-particle":"","family":"Griffin","given":"Nicholas W","non-dropping-particle":"","parse-names":false,"suffix":""},{"dropping-particle":"","family":"Lombard","given":"Vincent","non-dropping-particle":"","parse-names":false,"suffix":""},{"dropping-particle":"","family":"Henrissat","given":"Bernard","non-dropping-particle":"","parse-names":false,"suffix":""},{"dropping-particle":"","family":"Bain","given":"James R","non-dropping-particle":"","parse-names":false,"suffix":""},{"dropping-particle":"","family":"Muehlbauer","given":"Michael J","non-dropping-particle":"","parse-names":false,"suffix":""},{"dropping-particle":"","family":"Ilkayeva","given":"Olga","non-dropping-particle":"","parse-names":false,"suffix":""},{"dropping-particle":"","family":"Semenkovich","given":"Clay F","non-dropping-particle":"","parse-names":false,"suffix":""},{"dropping-particle":"","family":"Funai","given":"Katsuhiko","non-dropping-particle":"","parse-names":false,"suffix":""},{"dropping-particle":"","family":"Hayashi","given":"David K","non-dropping-particle":"","parse-names":false,"suffix":""},{"dropping-particle":"","family":"Lyle","given":"Barbara J","non-dropping-particle":"","parse-names":false,"suffix":""},{"dropping-particle":"","family":"Martini","given":"Margaret C","non-dropping-particle":"","parse-names":false,"suffix":""},{"dropping-particle":"","family":"Ursell","given":"Luke K","non-dropping-particle":"","parse-names":false,"suffix":""},{"dropping-particle":"","family":"Clemente","given":"Jose C","non-dropping-particle":"","parse-names":false,"suffix":""},{"dropping-particle":"","family":"Treuren","given":"William","non-dropping-particle":"Van","parse-names":false,"suffix":""},{"dropping-particle":"","family":"Walters","given":"William A","non-dropping-particle":"","parse-names":false,"suffix":""},{"dropping-particle":"","family":"Knight","given":"Rob","non-dropping-particle":"","parse-names":false,"suffix":""},{"dropping-particle":"","family":"Newgard","given":"Christopher B","non-dropping-particle":"","parse-names":false,"suffix":""},{"dropping-particle":"","family":"Heath","given":"Andrew C","non-dropping-particle":"","parse-names":false,"suffix":""},{"dropping-particle":"","family":"Gordon","given":"Jeffrey I","non-dropping-particle":"","parse-names":false,"suffix":""}],"container-title":"Science","id":"ITEM-2","issue":"6150","issued":{"date-parts":[["2013"]]},"page":"1241214-1-9","title":"Gut Microbiota from Twins Discordant for Obesity Modulate Metabolism in Mice Gut Microbiota from Twins Metabolism in Mice","type":"article-journal","volume":"341"},"uris":["http://www.mendeley.com/documents/?uuid=ae766627-4b2f-4d9b-b609-78d2f280d086"]}],"mendeley":{"formattedCitation":"&lt;sup&gt;158,159&lt;/sup&gt;","plainTextFormattedCitation":"158,159","previouslyFormattedCitation":"&lt;sup&gt;158,159&lt;/sup&gt;"},"properties":{"noteIndex":0},"schema":"https://github.com/citation-style-language/schema/raw/master/csl-citation.json"}</w:instrText>
      </w:r>
      <w:r w:rsidR="005869E0" w:rsidRPr="00901194">
        <w:rPr>
          <w:rFonts w:cs="Times New Roman"/>
        </w:rPr>
        <w:fldChar w:fldCharType="separate"/>
      </w:r>
      <w:r w:rsidR="009D364B" w:rsidRPr="00901194">
        <w:rPr>
          <w:rFonts w:cs="Times New Roman"/>
          <w:noProof/>
          <w:vertAlign w:val="superscript"/>
        </w:rPr>
        <w:t>158,159</w:t>
      </w:r>
      <w:r w:rsidR="005869E0" w:rsidRPr="00901194">
        <w:rPr>
          <w:rFonts w:cs="Times New Roman"/>
        </w:rPr>
        <w:fldChar w:fldCharType="end"/>
      </w:r>
      <w:r w:rsidRPr="00901194">
        <w:rPr>
          <w:rFonts w:cs="Times New Roman"/>
        </w:rPr>
        <w:t>. Numerous metabolites have been linked to the modification of cardiometabolic outcomes</w:t>
      </w:r>
      <w:r w:rsidR="005869E0" w:rsidRPr="00901194">
        <w:rPr>
          <w:rFonts w:cs="Times New Roman"/>
        </w:rPr>
        <w:fldChar w:fldCharType="begin" w:fldLock="1"/>
      </w:r>
      <w:r w:rsidR="006B6CD4" w:rsidRPr="00901194">
        <w:rPr>
          <w:rFonts w:cs="Times New Roman"/>
        </w:rPr>
        <w:instrText>ADDIN CSL_CITATION {"citationItems":[{"id":"ITEM-1","itemData":{"DOI":"10.1016/j.molmet.2022.101557","ISSN":"2212-8778","abstract":"Background: The gut microbiome influences host physiology and cardiometabolic diseases by interacting directly with intestinal cells or by producing molecules that enter the host circulation. Given the large number of microbial species present in the gut and the numerous factors that influence gut bacterial composition, it has been challenging to understand the underlying biological mechanisms that modulate risk of car- diometabolic disease. Scope of the Review: Here we discuss a systems-based approach that involves simultaneously examining individuals in populations for gut microbiome composition, molecular traits using “omics” technologies, such as circulating metabolites quantified by mass spectrometry, and clinical traits. We summarize findings from landmark studies using this approach and discuss future applications. Major Conclusions: Population-based integrative approaches have identified a large number of microbe-derived or microbe-modified me- tabolites that are associated with cardiometabolic traits. The knowledge gained from these studies provide new opportunities for understanding the mechanisms involved in gut microbiomeehost interactions and may have potentially important implications for developing novel therapeutic approaches.","author":[{"dropping-particle":"","family":"Cao","given":"Yang","non-dropping-particle":"","parse-names":false,"suffix":""},{"dropping-particle":"","family":"Aquino-martinez","given":"Ruben","non-dropping-particle":"","parse-names":false,"suffix":""},{"dropping-particle":"","family":"Hutchison","given":"Evan","non-dropping-particle":"","parse-names":false,"suffix":""},{"dropping-particle":"","family":"Allayee","given":"Hooman","non-dropping-particle":"","parse-names":false,"suffix":""},{"dropping-particle":"","family":"Lusis","given":"Aldons J","non-dropping-particle":"","parse-names":false,"suffix":""},{"dropping-particle":"","family":"Rey","given":"Federico E","non-dropping-particle":"","parse-names":false,"suffix":""}],"container-title":"Molecular Metabolism","id":"ITEM-1","issued":{"date-parts":[["2022"]]},"page":"101557","publisher":"The Authors","title":"Role of gut microbe-derived metabolites in cardiometabolic diseases: Systems based approach","type":"article-journal"},"uris":["http://www.mendeley.com/documents/?uuid=6dc91f23-f0b7-43d6-9004-03b6576262fd"]}],"mendeley":{"formattedCitation":"&lt;sup&gt;160&lt;/sup&gt;","plainTextFormattedCitation":"160","previouslyFormattedCitation":"&lt;sup&gt;160&lt;/sup&gt;"},"properties":{"noteIndex":0},"schema":"https://github.com/citation-style-language/schema/raw/master/csl-citation.json"}</w:instrText>
      </w:r>
      <w:r w:rsidR="005869E0" w:rsidRPr="00901194">
        <w:rPr>
          <w:rFonts w:cs="Times New Roman"/>
        </w:rPr>
        <w:fldChar w:fldCharType="separate"/>
      </w:r>
      <w:r w:rsidR="009D364B" w:rsidRPr="00901194">
        <w:rPr>
          <w:rFonts w:cs="Times New Roman"/>
          <w:noProof/>
          <w:vertAlign w:val="superscript"/>
        </w:rPr>
        <w:t>160</w:t>
      </w:r>
      <w:r w:rsidR="005869E0" w:rsidRPr="00901194">
        <w:rPr>
          <w:rFonts w:cs="Times New Roman"/>
        </w:rPr>
        <w:fldChar w:fldCharType="end"/>
      </w:r>
      <w:r w:rsidRPr="00901194">
        <w:rPr>
          <w:rFonts w:cs="Times New Roman"/>
        </w:rPr>
        <w:t>.</w:t>
      </w:r>
    </w:p>
    <w:p w14:paraId="460BB3B2" w14:textId="0E1EEC60" w:rsidR="00A00839" w:rsidRPr="00901194" w:rsidRDefault="00A00839" w:rsidP="00A00839">
      <w:pPr>
        <w:ind w:firstLine="720"/>
        <w:rPr>
          <w:rFonts w:cs="Times New Roman"/>
        </w:rPr>
      </w:pPr>
      <w:r w:rsidRPr="00901194">
        <w:rPr>
          <w:rFonts w:cs="Times New Roman"/>
        </w:rPr>
        <w:t>Whole grain, vegetable, and legume are major sources of fermentable fiber and are frequently encouraged as part of a healthy diet</w:t>
      </w:r>
      <w:r w:rsidR="008C1D2C" w:rsidRPr="00901194">
        <w:rPr>
          <w:rFonts w:cs="Times New Roman"/>
        </w:rPr>
        <w:fldChar w:fldCharType="begin" w:fldLock="1"/>
      </w:r>
      <w:r w:rsidR="006B6CD4" w:rsidRPr="00901194">
        <w:rPr>
          <w:rFonts w:cs="Times New Roman"/>
        </w:rPr>
        <w:instrText>ADDIN CSL_CITATION {"citationItems":[{"id":"ITEM-1","itemData":{"author":[{"dropping-particle":"","family":"Anderson","given":"James W","non-dropping-particle":"","parse-names":false,"suffix":""},{"dropping-particle":"","family":"Smith","given":"Belinda M","non-dropping-particle":"","parse-names":false,"suffix":""},{"dropping-particle":"","family":"Gustafson","given":"Nancy J","non-dropping-particle":"","parse-names":false,"suffix":""}],"container-title":"The American Journal of Clinical Nutrition","id":"ITEM-1","issue":"5","issued":{"date-parts":[["1994"]]},"page":"1242S-1247S","title":"Health benefits and practical of high-fiber diets","type":"article-journal","volume":"59"},"uris":["http://www.mendeley.com/documents/?uuid=49b15fac-88ea-463b-9a18-b9ed1887f7f8"]}],"mendeley":{"formattedCitation":"&lt;sup&gt;161&lt;/sup&gt;","plainTextFormattedCitation":"161","previouslyFormattedCitation":"&lt;sup&gt;161&lt;/sup&gt;"},"properties":{"noteIndex":0},"schema":"https://github.com/citation-style-language/schema/raw/master/csl-citation.json"}</w:instrText>
      </w:r>
      <w:r w:rsidR="008C1D2C" w:rsidRPr="00901194">
        <w:rPr>
          <w:rFonts w:cs="Times New Roman"/>
        </w:rPr>
        <w:fldChar w:fldCharType="separate"/>
      </w:r>
      <w:r w:rsidR="009D364B" w:rsidRPr="00901194">
        <w:rPr>
          <w:rFonts w:cs="Times New Roman"/>
          <w:noProof/>
          <w:vertAlign w:val="superscript"/>
        </w:rPr>
        <w:t>161</w:t>
      </w:r>
      <w:r w:rsidR="008C1D2C" w:rsidRPr="00901194">
        <w:rPr>
          <w:rFonts w:cs="Times New Roman"/>
        </w:rPr>
        <w:fldChar w:fldCharType="end"/>
      </w:r>
      <w:r w:rsidRPr="00901194">
        <w:rPr>
          <w:rFonts w:cs="Times New Roman"/>
        </w:rPr>
        <w:t>. For example, the positive correlation between legume consumption and the lower risk of cardiovascular disease, obesity, type-2 diabetes, and cancer  has garnered considerable interest globally</w:t>
      </w:r>
      <w:r w:rsidR="008C1D2C" w:rsidRPr="00901194">
        <w:rPr>
          <w:rFonts w:cs="Times New Roman"/>
        </w:rPr>
        <w:fldChar w:fldCharType="begin" w:fldLock="1"/>
      </w:r>
      <w:r w:rsidR="006B6CD4" w:rsidRPr="00901194">
        <w:rPr>
          <w:rFonts w:cs="Times New Roman"/>
        </w:rPr>
        <w:instrText>ADDIN CSL_CITATION {"citationItems":[{"id":"ITEM-1","itemData":{"DOI":"doi:10.3390/agriculture3010090","abstract":"Most foods are considered functional in terms of providing nutrients and energy to sustain daily life, but dietary systems that are capable of preventing or remediating a stressed or diseased state are classified as functional foods. Dry beans (Phaseolus vulgaris L.) contain high levels of chemically diverse components (phenols, resistance starch, vitamins, fructooligosaccharides) that have shown to protect against such conditions as oxidative stress, cardiovascular disease, diabetes, metabolic syndrome, and many types of cancer, thereby positioning this legume as an excellent functional food. Moreover, the United States has a rich dry bean history and is currently a top producer of dry beans in the world with pinto beans accounting for the vast majority. Despite these attributes, dry bean consumption in the US remains relatively low. Therefore, the objective of this manuscript is to review dry beans as an important US agricultural crop and as functional food for the present age with an emphasis on pinto beans.","author":[{"dropping-particle":"","family":"Câmara","given":"Cristiane RS","non-dropping-particle":"","parse-names":false,"suffix":""},{"dropping-particle":"","family":"Urrea","given":"Carlos A","non-dropping-particle":"","parse-names":false,"suffix":""},{"dropping-particle":"","family":"Schlegel","given":"Vicki","non-dropping-particle":"","parse-names":false,"suffix":""}],"container-title":"Agriculture","id":"ITEM-1","issue":"1","issued":{"date-parts":[["2013"]]},"page":"90-111","title":"Pinto Beans (Phaseolus vulgaris L.) as a Functional Food: Implications on Human Health","type":"article-journal","volume":"3"},"uris":["http://www.mendeley.com/documents/?uuid=7850b943-a406-49a1-b01d-76acb54f12d6"]}],"mendeley":{"formattedCitation":"&lt;sup&gt;162&lt;/sup&gt;","plainTextFormattedCitation":"162","previouslyFormattedCitation":"&lt;sup&gt;162&lt;/sup&gt;"},"properties":{"noteIndex":0},"schema":"https://github.com/citation-style-language/schema/raw/master/csl-citation.json"}</w:instrText>
      </w:r>
      <w:r w:rsidR="008C1D2C" w:rsidRPr="00901194">
        <w:rPr>
          <w:rFonts w:cs="Times New Roman"/>
        </w:rPr>
        <w:fldChar w:fldCharType="separate"/>
      </w:r>
      <w:r w:rsidR="009D364B" w:rsidRPr="00901194">
        <w:rPr>
          <w:rFonts w:cs="Times New Roman"/>
          <w:noProof/>
          <w:vertAlign w:val="superscript"/>
        </w:rPr>
        <w:t>162</w:t>
      </w:r>
      <w:r w:rsidR="008C1D2C" w:rsidRPr="00901194">
        <w:rPr>
          <w:rFonts w:cs="Times New Roman"/>
        </w:rPr>
        <w:fldChar w:fldCharType="end"/>
      </w:r>
      <w:r w:rsidRPr="00901194">
        <w:rPr>
          <w:rFonts w:cs="Times New Roman"/>
        </w:rPr>
        <w:t>. Additionally, earlier research found the anti-obesity properties of whole grain barley may be mediated by the action of dietary fibers, such as β-glucan, and their capacity to reduce lipid accumulation</w:t>
      </w:r>
      <w:r w:rsidR="008C1D2C" w:rsidRPr="00901194">
        <w:rPr>
          <w:rFonts w:cs="Times New Roman"/>
          <w:kern w:val="2"/>
        </w:rPr>
        <w:fldChar w:fldCharType="begin" w:fldLock="1"/>
      </w:r>
      <w:r w:rsidR="006B6CD4" w:rsidRPr="00901194">
        <w:rPr>
          <w:rFonts w:cs="Times New Roman"/>
          <w:kern w:val="2"/>
        </w:rPr>
        <w:instrText>ADDIN CSL_CITATION {"citationItems":[{"id":"ITEM-1","itemData":{"DOI":"DOI: 10.1039/c9fo01268k","abstract":"Whole barley (WB) consumption is the subject of renewed interest because of its health benefits. However, there are still controversies regarding the mechanisms of the anti-obesity effects of WB. The gut microbiota has recently become a focus of research into obesity-related disorders. Therefore, the aim of this study was to investigate the contribution of the gut microbiota to the anti-obesity effects of WB. Germ-free (GF) C57BL/6J mice underwent gastric inoculation with human feces to obtain human flora- associated (HFA) mice, and then both the GF and HFA mice were fed a high fat diet (HFD) containing 46% WB or refined barley for 9 weeks. Features of obesity and dyslipidemia were compared between the GF and HFA mice and the cecal microbiota was analyzed using next-generation sequencing of microbial 16S rRNA. WB prevents obesity and hypercholesterolemia in the GF and HFA mice. The mechanism may include the inhibition of cholesterol synthesis, because sterol regulatory element-binding protein-1c (SREBP-1c) and 3-hydroxy-3-methylglutaryl coenzyme A reductase (HMG-CoA) expression was downre- gulated, and a reduction in cholesterol accumulation, because cholesterol 7α-hydroxylase (CYP7A1) expression was upregulated, independent of the gut microbiota. Furthermore, WB intake enriched a variety of bacterial genera that are negatively associated with obesity, including Bacteroides, Parabacteroides, and Clostridium cluster XIVa, suggesting that WB counteracted gut dysbiosis in obese mice. Thus, WB helps prevent obesity and dyslipidemia via both gut microbiota-dependent and indepen- dent mechanisms. 1","author":[{"dropping-particle":"","family":"Gong","given":"Lingxiao","non-dropping-particle":"","parse-names":false,"suffix":""},{"dropping-particle":"","family":"Wang","given":"Tianxi","non-dropping-particle":"","parse-names":false,"suffix":""},{"dropping-particle":"","family":"Sun","given":"Cong","non-dropping-particle":"","parse-names":false,"suffix":""},{"dropping-particle":"","family":"Wang","given":"Jing","non-dropping-particle":"","parse-names":false,"suffix":""},{"dropping-particle":"","family":"Sun","given":"Baoguo","non-dropping-particle":"","parse-names":false,"suffix":""}],"container-title":"Food &amp; Function","id":"ITEM-1","issue":"11","issued":{"date-parts":[["2019"]]},"page":"7498-7508","publisher":"Royal Society of Chemistry","title":"Whole barley prevents obesity and dyslipidemia without the involvement of the gut microbiota in germ free C57BL/6J obese mice","type":"article-journal","volume":"10"},"uris":["http://www.mendeley.com/documents/?uuid=b367b20e-3023-412b-ac9b-566922c0efbe"]}],"mendeley":{"formattedCitation":"&lt;sup&gt;163&lt;/sup&gt;","plainTextFormattedCitation":"163","previouslyFormattedCitation":"&lt;sup&gt;163&lt;/sup&gt;"},"properties":{"noteIndex":0},"schema":"https://github.com/citation-style-language/schema/raw/master/csl-citation.json"}</w:instrText>
      </w:r>
      <w:r w:rsidR="008C1D2C" w:rsidRPr="00901194">
        <w:rPr>
          <w:rFonts w:cs="Times New Roman"/>
          <w:kern w:val="2"/>
        </w:rPr>
        <w:fldChar w:fldCharType="separate"/>
      </w:r>
      <w:r w:rsidR="009D364B" w:rsidRPr="00901194">
        <w:rPr>
          <w:rFonts w:cs="Times New Roman"/>
          <w:noProof/>
          <w:kern w:val="2"/>
          <w:vertAlign w:val="superscript"/>
        </w:rPr>
        <w:t>163</w:t>
      </w:r>
      <w:r w:rsidR="008C1D2C" w:rsidRPr="00901194">
        <w:rPr>
          <w:rFonts w:cs="Times New Roman"/>
          <w:kern w:val="2"/>
        </w:rPr>
        <w:fldChar w:fldCharType="end"/>
      </w:r>
      <w:r w:rsidRPr="00901194">
        <w:rPr>
          <w:rFonts w:cs="Times New Roman"/>
          <w:kern w:val="2"/>
        </w:rPr>
        <w:t>.</w:t>
      </w:r>
      <w:r w:rsidRPr="00901194">
        <w:rPr>
          <w:rFonts w:cs="Times New Roman"/>
        </w:rPr>
        <w:t xml:space="preserve"> However, there was high variation in the benefits </w:t>
      </w:r>
      <w:r w:rsidR="008C1D2C" w:rsidRPr="00901194">
        <w:rPr>
          <w:rFonts w:cs="Times New Roman"/>
        </w:rPr>
        <w:t>associated with</w:t>
      </w:r>
      <w:r w:rsidRPr="00901194">
        <w:rPr>
          <w:rFonts w:cs="Times New Roman"/>
        </w:rPr>
        <w:t xml:space="preserve"> whole grain and legume consumption among individuals </w:t>
      </w:r>
      <w:r w:rsidR="008C1D2C" w:rsidRPr="00901194">
        <w:rPr>
          <w:rFonts w:cs="Times New Roman"/>
        </w:rPr>
        <w:fldChar w:fldCharType="begin" w:fldLock="1"/>
      </w:r>
      <w:r w:rsidR="006B6CD4" w:rsidRPr="00901194">
        <w:rPr>
          <w:rFonts w:cs="Times New Roman"/>
        </w:rPr>
        <w:instrText>ADDIN CSL_CITATION {"citationItems":[{"id":"ITEM-1","itemData":{"DOI":"10.3945/ajcn.113.076901.INTRODUCTION","abstract":"Background: Relations between the consumption of nuts and le- gumes and risk of ischemic heart disease (IHD), stroke, and diabetes have not been well established. Objective: We systematically investigated and quantified associa- tions of nut and legume consumption with incident IHD, stroke, and diabetes. Design: We systematically searched multiple databases to identify randomized controlled trials or observational studies that examined the relations. Studies were excluded if they reported only inter- mediate physiologic measures, soft cardiovascular outcomes, or crude risk estimates. Data were extracted independently and in duplicate. We assessed pooled dose-response relations by using a generalized least-squares trend estimation, and prespecified sources of heterogeneity were assessed by using metaregression. The potential for publication bias was explored by using funnel plots, Begg’s and Egger’s tests, and Duval and Tweedie trim-and-fill methods. Results: Of 3851 abstracts, 25 observational studies (23 prospective and 2 retrospective studies) and 2 trial reports met inclusion criteria and comprised 501,791 unique individuals and 11,869 IHD, 8244 stroke, and 14,449 diabetes events. The consumption of nuts was inversely associated with fatal IHD (6 studies; 6749 events; RR per 4 weekly 28.4-g servings: 0.76; 95% CI: 0.69, 0.84; I2 = 28%), nonfatal IHD (4 studies; 2101 events; RR: 0.78; 0.67, 0.92; I2 = 0%), and diabetes (6 studies; 13,308 events; RR: 0.87; 0.81,0.94; I2 = 22%) but not stroke (4 studies; 5544 events). Legume consump- tion was inversely associated with total IHD (5 studies; 6514 events; RR per 4 weekly 100-g servings: 0.86; 0.78, 0.94; I2 = 0%) but not significantly associated with stroke (6 studies; 6690 events) or di- abetes (2 studies; 2746 events). A meta-regression did not identify the effect modification by age, duration of follow-up, study location, or study quality. Mixed evidence was seen for publication bias, but analyses by using the Duval and Tweedie trim-and-fill method did not appreciably alter results. Conclusion: This systematic review supports inverse associations between eating nuts and incident IHD and diabetes and eating legumes and incident IHD.","author":[{"dropping-particle":"","family":"Afshin","given":"Ashkan","non-dropping-particle":"","parse-names":false,"suffix":""},{"dropping-particle":"","family":"Micha","given":"Renata","non-dropping-particle":"","parse-names":false,"suffix":""},{"dropping-particle":"","family":"Khatibzadeh","given":"Shahab","non-dropping-particle":"","parse-names":false,"suffix":""},{"dropping-particle":"","family":"Mozaffarian","given":"Dariush","non-dropping-particle":"","parse-names":false,"suffix":""}],"container-title":"The American Journal of Clinical Nutrition","id":"ITEM-1","issue":"1","issued":{"date-parts":[["2014"]]},"page":"278-288","title":"Consumption of nuts and legumes and risk of incident ischemic heart disease, stroke, and diabetes: a systematic review and meta-analysis","type":"article-journal","volume":"100"},"uris":["http://www.mendeley.com/documents/?uuid=0b863e9a-c75c-48bf-a74a-7a6682e58dd6"]},{"id":"ITEM-2","itemData":{"abstract":"High intakes of whole grain foods are inversely related to the incidence of coronary heart diseases and type 2 diabetes, but the mechanisms remain unclear. Our study aimed to evaluate the effects of a diet rich in whole grains compared with a diet containing the same amount of refined grains on insulin sensitivity and markers of lipid peroxidation and inflammation. In a randomized crossover study, 22 women and 8 men (BMI 28 6 2) were given either whole-grain or refined-grain products (3 bread slices, 2 crisp bread slices, 1 portion muesli, and 1 portion pasta) to include in their habitual daily diet for two 6-wk periods. Peripheral insulin sensitivity was determined by euglycemic hyperinsulinemic clamp tests. 8-Iso-prostaglandin F2a (8-iso PGF2a), an F2-isoprostane, was measured in the urine as a marker of lipid peroxidation, and highly sensitive C-reactive protein and IL-6 were analyzed in plasma as markers of inflammation. Peripheral insulin sensitivity [mg glucose ? kg body wt21 ? min21 per unit plasma insulin (mU/L)3100] did not improvewhen subjects consumedwhole-grain products (6.863.0 at baseline and 6.562.7 after 6 wk) or refined products (6.462.9 and 6.963.2, respectively) and there wereno differences between the 2 periods. Whole-grain consumption also did not affect 8-iso-PGF2a in urine, IL-6 and C-reactive protein in plasma, blood pressure, or serum lipid concentrations. In conclusion, substitution of whole grains (mainly based on milled wheat) for refined-grain products in the habitual daily diet of healthy moderately overweight adults for 6-wk did not affect insulin sensitivity or markers of lipid peroxidation and inflammation","author":[{"dropping-particle":"","family":"Andersson","given":"Agneta","non-dropping-particle":"","parse-names":false,"suffix":""},{"dropping-particle":"","family":"Tengblad","given":"Siv","non-dropping-particle":"","parse-names":false,"suffix":""},{"dropping-particle":"","family":"Karlstro","given":"Brita","non-dropping-particle":"","parse-names":false,"suffix":""},{"dropping-particle":"","family":"Kamal-eldin","given":"Afaf","non-dropping-particle":"","parse-names":false,"suffix":""},{"dropping-particle":"","family":"Landberg","given":"Rikard","non-dropping-particle":"","parse-names":false,"suffix":""},{"dropping-particle":"","family":"Basu","given":"Samar","non-dropping-particle":"","parse-names":false,"suffix":""},{"dropping-particle":"","family":"Per","given":"Åman","non-dropping-particle":"","parse-names":false,"suffix":""},{"dropping-particle":"","family":"Vessby","given":"Bengt","non-dropping-particle":"","parse-names":false,"suffix":""}],"container-title":"The Journal of Nutrition","id":"ITEM-2","issue":"6","issued":{"date-parts":[["2007"]]},"page":"1401-1407","title":"Whole-Grain Foods Do Not Affect Insulin Sensitivity or Markers of Lipid Peroxidation and Inflammation in Healthy, Moderately Overweight Subjects","type":"article-journal","volume":"137"},"uris":["http://www.mendeley.com/documents/?uuid=0b1f926c-0f14-424d-933e-83d89da57d4f"]},{"id":"ITEM-3","itemData":{"DOI":"10.1017/S0007114510000644","author":[{"dropping-particle":"","family":"Brownlee","given":"Iain A","non-dropping-particle":"","parse-names":false,"suffix":""},{"dropping-particle":"","family":"Moore","given":"Carmel","non-dropping-particle":"","parse-names":false,"suffix":""},{"dropping-particle":"","family":"Chatfield","given":"Mark","non-dropping-particle":"","parse-names":false,"suffix":""},{"dropping-particle":"","family":"Richardson","given":"David P","non-dropping-particle":"","parse-names":false,"suffix":""},{"dropping-particle":"","family":"Ashby","given":"Peter","non-dropping-particle":"","parse-names":false,"suffix":""},{"dropping-particle":"","family":"Kuznesof","given":"Sharron A","non-dropping-particle":"","parse-names":false,"suffix":""},{"dropping-particle":"","family":"Jebb","given":"Susan A","non-dropping-particle":"","parse-names":false,"suffix":""},{"dropping-particle":"","family":"Seal","given":"Chris J","non-dropping-particle":"","parse-names":false,"suffix":""}],"container-title":"British Journal of Nutrition","id":"ITEM-3","issue":"1","issued":{"date-parts":[["2010"]]},"page":"125-134","title":"Markers of cardiovascular risk are not changed by increased whole-grain intake: the WHOLEheart study, a randomised, controlled dietary intervention","type":"article-journal","volume":"104"},"uris":["http://www.mendeley.com/documents/?uuid=90c2106d-e262-4fc4-8c1f-61e7198e88b5"]},{"id":"ITEM-4","itemData":{"DOI":"10.1038/ismej.2012.104","author":[{"dropping-particle":"","family":"Martıínez","given":"Inés","non-dropping-particle":"","parse-names":false,"suffix":""},{"dropping-particle":"","family":"Lattimer","given":"James M","non-dropping-particle":"","parse-names":false,"suffix":""},{"dropping-particle":"","family":"Hubach","given":"Kelcie L","non-dropping-particle":"","parse-names":false,"suffix":""},{"dropping-particle":"","family":"Case","given":"Jennifer A","non-dropping-particle":"","parse-names":false,"suffix":""},{"dropping-particle":"","family":"Yang","given":"Junyi","non-dropping-particle":"","parse-names":false,"suffix":""},{"dropping-particle":"","family":"Weber","given":"Casey G","non-dropping-particle":"","parse-names":false,"suffix":""},{"dropping-particle":"","family":"Louk","given":"Julie A","non-dropping-particle":"","parse-names":false,"suffix":""},{"dropping-particle":"","family":"Rose","given":"Devin J","non-dropping-particle":"","parse-names":false,"suffix":""},{"dropping-particle":"","family":"Kyureghian","given":"Gayaneh","non-dropping-particle":"","parse-names":false,"suffix":""},{"dropping-particle":"","family":"Peterson","given":"Daniel A","non-dropping-particle":"","parse-names":false,"suffix":""},{"dropping-particle":"","family":"Haub","given":"Mark D","non-dropping-particle":"","parse-names":false,"suffix":""},{"dropping-particle":"","family":"Walter","given":"Jens","non-dropping-particle":"","parse-names":false,"suffix":""}],"container-title":"The ISME Journal","id":"ITEM-4","issue":"2","issued":{"date-parts":[["2013"]]},"page":"269-280","title":"Gut microbiome composition is linked to whole grain-induced immunological improvements","type":"article-journal","volume":"7"},"uris":["http://www.mendeley.com/documents/?uuid=f8e700d3-f28e-47b0-a01d-236737d86a1d"]}],"mendeley":{"formattedCitation":"&lt;sup&gt;164–167&lt;/sup&gt;","plainTextFormattedCitation":"164–167","previouslyFormattedCitation":"&lt;sup&gt;164–167&lt;/sup&gt;"},"properties":{"noteIndex":0},"schema":"https://github.com/citation-style-language/schema/raw/master/csl-citation.json"}</w:instrText>
      </w:r>
      <w:r w:rsidR="008C1D2C" w:rsidRPr="00901194">
        <w:rPr>
          <w:rFonts w:cs="Times New Roman"/>
        </w:rPr>
        <w:fldChar w:fldCharType="separate"/>
      </w:r>
      <w:r w:rsidR="009D364B" w:rsidRPr="00901194">
        <w:rPr>
          <w:rFonts w:cs="Times New Roman"/>
          <w:noProof/>
          <w:vertAlign w:val="superscript"/>
        </w:rPr>
        <w:t>164–167</w:t>
      </w:r>
      <w:r w:rsidR="008C1D2C" w:rsidRPr="00901194">
        <w:rPr>
          <w:rFonts w:cs="Times New Roman"/>
        </w:rPr>
        <w:fldChar w:fldCharType="end"/>
      </w:r>
      <w:r w:rsidRPr="00901194">
        <w:rPr>
          <w:rFonts w:cs="Times New Roman"/>
        </w:rPr>
        <w:t>.</w:t>
      </w:r>
      <w:r w:rsidRPr="00901194" w:rsidDel="00765D0A">
        <w:rPr>
          <w:rFonts w:cs="Times New Roman"/>
        </w:rPr>
        <w:t xml:space="preserve"> </w:t>
      </w:r>
      <w:r w:rsidRPr="00901194">
        <w:rPr>
          <w:rFonts w:cs="Times New Roman"/>
        </w:rPr>
        <w:t>Dietary fiber effects are distinct due to a number of factors, including individual genetic differences and their gut microbiome composition</w:t>
      </w:r>
      <w:r w:rsidR="008C1D2C" w:rsidRPr="00901194">
        <w:rPr>
          <w:rFonts w:cs="Times New Roman"/>
        </w:rPr>
        <w:fldChar w:fldCharType="begin" w:fldLock="1"/>
      </w:r>
      <w:r w:rsidR="006B6CD4" w:rsidRPr="00901194">
        <w:rPr>
          <w:rFonts w:cs="Times New Roman"/>
        </w:rPr>
        <w:instrText>ADDIN CSL_CITATION {"citationItems":[{"id":"ITEM-1","itemData":{"DOI":"https://doi.org/ 10.3390/nu13103478","author":[{"dropping-particle":"","family":"Fujihara","given":"Kazuya","non-dropping-particle":"","parse-names":false,"suffix":""},{"dropping-particle":"","family":"Nogawa","given":"Shun","non-dropping-particle":"","parse-names":false,"suffix":""},{"dropping-particle":"","family":"Saito","given":"Kenji","non-dropping-particle":"","parse-names":false,"suffix":""},{"dropping-particle":"","family":"Horikawa","given":"Chika","non-dropping-particle":"","parse-names":false,"suffix":""},{"dropping-particle":"","family":"Takeda","given":"Yasunaga","non-dropping-particle":"","parse-names":false,"suffix":""},{"dropping-particle":"","family":"Cho","given":"Kaori","non-dropping-particle":"","parse-names":false,"suffix":""},{"dropping-particle":"","family":"Ishiguro","given":"Hajime","non-dropping-particle":"","parse-names":false,"suffix":""},{"dropping-particle":"","family":"Kodama","given":"Satoru","non-dropping-particle":"","parse-names":false,"suffix":""},{"dropping-particle":"","family":"Nakagawa","given":"Yoshimi","non-dropping-particle":"","parse-names":false,"suffix":""},{"dropping-particle":"","family":"Matsuzaka","given":"Takashi","non-dropping-particle":"","parse-names":false,"suffix":""},{"dropping-particle":"","family":"Shimano","given":"Hitoshi","non-dropping-particle":"","parse-names":false,"suffix":""},{"dropping-particle":"","family":"Sone","given":"Hirohito","non-dropping-particle":"","parse-names":false,"suffix":""}],"container-title":"Nutrients","id":"ITEM-1","issue":"3478","issued":{"date-parts":[["2021"]]},"page":"1-11","title":"Carrot Consumption Frequency Associated with Reduced BMI and Obesity through the SNP Intermediary rs4445711","type":"article-journal","volume":"13"},"uris":["http://www.mendeley.com/documents/?uuid=3b5cb7a5-d943-4fc7-9c37-36ed85761bbf"]},{"id":"ITEM-2","itemData":{"DOI":"10.1016/j.nutres.2020.02.009","ISSN":"0271-5317","author":[{"dropping-particle":"","family":"Bendiks","given":"Zachary A","non-dropping-particle":"","parse-names":false,"suffix":""},{"dropping-particle":"","family":"Knudsen","given":"Knud E B","non-dropping-particle":"","parse-names":false,"suffix":""},{"dropping-particle":"","family":"Keenan","given":"Michael J","non-dropping-particle":"","parse-names":false,"suffix":""},{"dropping-particle":"","family":"Marco","given":"Maria L","non-dropping-particle":"","parse-names":false,"suffix":""}],"container-title":"Nutrition Research","id":"ITEM-2","issued":{"date-parts":[["2020"]]},"page":"12-28","publisher":"Elsevier Inc.","title":"Conserved and variable responses of the gut microbiome to resistant starch type 2","type":"article-journal","volume":"77"},"uris":["http://www.mendeley.com/documents/?uuid=f0936f52-5626-4249-919b-38ba52f86b01"]}],"mendeley":{"formattedCitation":"&lt;sup&gt;168,169&lt;/sup&gt;","plainTextFormattedCitation":"168,169","previouslyFormattedCitation":"&lt;sup&gt;168,169&lt;/sup&gt;"},"properties":{"noteIndex":0},"schema":"https://github.com/citation-style-language/schema/raw/master/csl-citation.json"}</w:instrText>
      </w:r>
      <w:r w:rsidR="008C1D2C" w:rsidRPr="00901194">
        <w:rPr>
          <w:rFonts w:cs="Times New Roman"/>
        </w:rPr>
        <w:fldChar w:fldCharType="separate"/>
      </w:r>
      <w:r w:rsidR="009D364B" w:rsidRPr="00901194">
        <w:rPr>
          <w:rFonts w:cs="Times New Roman"/>
          <w:noProof/>
          <w:vertAlign w:val="superscript"/>
        </w:rPr>
        <w:t>168,169</w:t>
      </w:r>
      <w:r w:rsidR="008C1D2C" w:rsidRPr="00901194">
        <w:rPr>
          <w:rFonts w:cs="Times New Roman"/>
        </w:rPr>
        <w:fldChar w:fldCharType="end"/>
      </w:r>
      <w:r w:rsidRPr="00901194">
        <w:rPr>
          <w:rFonts w:cs="Times New Roman"/>
        </w:rPr>
        <w:t xml:space="preserve">. For instance, intake of whole grains lowers </w:t>
      </w:r>
      <w:r w:rsidR="00565D1F" w:rsidRPr="00901194">
        <w:rPr>
          <w:rFonts w:cs="Times New Roman"/>
        </w:rPr>
        <w:t xml:space="preserve">interleukin-6 </w:t>
      </w:r>
      <w:r w:rsidRPr="00901194">
        <w:rPr>
          <w:rFonts w:cs="Times New Roman"/>
        </w:rPr>
        <w:t xml:space="preserve">plasma levels to a greater extent in subjects who had higher levels of </w:t>
      </w:r>
      <w:r w:rsidRPr="00901194">
        <w:rPr>
          <w:rFonts w:cs="Times New Roman"/>
          <w:i/>
          <w:iCs/>
        </w:rPr>
        <w:t>Dialister</w:t>
      </w:r>
      <w:r w:rsidRPr="00901194">
        <w:rPr>
          <w:rFonts w:cs="Times New Roman"/>
        </w:rPr>
        <w:t xml:space="preserve"> and lower levels of </w:t>
      </w:r>
      <w:r w:rsidRPr="00901194">
        <w:rPr>
          <w:rFonts w:cs="Times New Roman"/>
          <w:i/>
          <w:iCs/>
        </w:rPr>
        <w:t>Coriobacteriaceae</w:t>
      </w:r>
      <w:r w:rsidRPr="00901194">
        <w:rPr>
          <w:rFonts w:cs="Times New Roman"/>
        </w:rPr>
        <w:t xml:space="preserve"> species</w:t>
      </w:r>
      <w:r w:rsidR="008C1D2C" w:rsidRPr="00901194">
        <w:rPr>
          <w:rFonts w:cs="Times New Roman"/>
        </w:rPr>
        <w:fldChar w:fldCharType="begin" w:fldLock="1"/>
      </w:r>
      <w:r w:rsidR="006B6CD4" w:rsidRPr="00901194">
        <w:rPr>
          <w:rFonts w:cs="Times New Roman"/>
        </w:rPr>
        <w:instrText>ADDIN CSL_CITATION {"citationItems":[{"id":"ITEM-1","itemData":{"DOI":"10.1038/ismej.2012.104","author":[{"dropping-particle":"","family":"Martıínez","given":"Inés","non-dropping-particle":"","parse-names":false,"suffix":""},{"dropping-particle":"","family":"Lattimer","given":"James M","non-dropping-particle":"","parse-names":false,"suffix":""},{"dropping-particle":"","family":"Hubach","given":"Kelcie L","non-dropping-particle":"","parse-names":false,"suffix":""},{"dropping-particle":"","family":"Case","given":"Jennifer A","non-dropping-particle":"","parse-names":false,"suffix":""},{"dropping-particle":"","family":"Yang","given":"Junyi","non-dropping-particle":"","parse-names":false,"suffix":""},{"dropping-particle":"","family":"Weber","given":"Casey G","non-dropping-particle":"","parse-names":false,"suffix":""},{"dropping-particle":"","family":"Louk","given":"Julie A","non-dropping-particle":"","parse-names":false,"suffix":""},{"dropping-particle":"","family":"Rose","given":"Devin J","non-dropping-particle":"","parse-names":false,"suffix":""},{"dropping-particle":"","family":"Kyureghian","given":"Gayaneh","non-dropping-particle":"","parse-names":false,"suffix":""},{"dropping-particle":"","family":"Peterson","given":"Daniel A","non-dropping-particle":"","parse-names":false,"suffix":""},{"dropping-particle":"","family":"Haub","given":"Mark D","non-dropping-particle":"","parse-names":false,"suffix":""},{"dropping-particle":"","family":"Walter","given":"Jens","non-dropping-particle":"","parse-names":false,"suffix":""}],"container-title":"The ISME Journal","id":"ITEM-1","issue":"2","issued":{"date-parts":[["2013"]]},"page":"269-280","title":"Gut microbiome composition is linked to whole grain-induced immunological improvements","type":"article-journal","volume":"7"},"uris":["http://www.mendeley.com/documents/?uuid=f8e700d3-f28e-47b0-a01d-236737d86a1d"]}],"mendeley":{"formattedCitation":"&lt;sup&gt;167&lt;/sup&gt;","plainTextFormattedCitation":"167","previouslyFormattedCitation":"&lt;sup&gt;167&lt;/sup&gt;"},"properties":{"noteIndex":0},"schema":"https://github.com/citation-style-language/schema/raw/master/csl-citation.json"}</w:instrText>
      </w:r>
      <w:r w:rsidR="008C1D2C" w:rsidRPr="00901194">
        <w:rPr>
          <w:rFonts w:cs="Times New Roman"/>
        </w:rPr>
        <w:fldChar w:fldCharType="separate"/>
      </w:r>
      <w:r w:rsidR="009D364B" w:rsidRPr="00901194">
        <w:rPr>
          <w:rFonts w:cs="Times New Roman"/>
          <w:noProof/>
          <w:vertAlign w:val="superscript"/>
        </w:rPr>
        <w:t>167</w:t>
      </w:r>
      <w:r w:rsidR="008C1D2C" w:rsidRPr="00901194">
        <w:rPr>
          <w:rFonts w:cs="Times New Roman"/>
        </w:rPr>
        <w:fldChar w:fldCharType="end"/>
      </w:r>
      <w:r w:rsidRPr="00901194">
        <w:rPr>
          <w:rFonts w:cs="Times New Roman"/>
        </w:rPr>
        <w:t xml:space="preserve">. A recent study linked interpersonal variability in the glycemic response to whole-wheat bread consumption with the gut microbiome differences, suggesting that the relative abundance of </w:t>
      </w:r>
      <w:r w:rsidRPr="00901194">
        <w:rPr>
          <w:rFonts w:cs="Times New Roman"/>
          <w:i/>
          <w:iCs/>
        </w:rPr>
        <w:t>Coprobacter</w:t>
      </w:r>
      <w:r w:rsidRPr="00901194">
        <w:rPr>
          <w:rFonts w:cs="Times New Roman"/>
        </w:rPr>
        <w:t xml:space="preserve"> </w:t>
      </w:r>
      <w:r w:rsidRPr="00901194">
        <w:rPr>
          <w:rFonts w:cs="Times New Roman"/>
          <w:i/>
          <w:iCs/>
        </w:rPr>
        <w:t>fastidiosus</w:t>
      </w:r>
      <w:r w:rsidRPr="00901194">
        <w:rPr>
          <w:rFonts w:cs="Times New Roman"/>
        </w:rPr>
        <w:t xml:space="preserve"> and </w:t>
      </w:r>
      <w:r w:rsidRPr="00901194">
        <w:rPr>
          <w:rFonts w:cs="Times New Roman"/>
          <w:i/>
          <w:iCs/>
        </w:rPr>
        <w:lastRenderedPageBreak/>
        <w:t>Lachnospiraceae</w:t>
      </w:r>
      <w:r w:rsidRPr="00901194">
        <w:rPr>
          <w:rFonts w:cs="Times New Roman"/>
        </w:rPr>
        <w:t xml:space="preserve"> </w:t>
      </w:r>
      <w:r w:rsidRPr="00901194">
        <w:rPr>
          <w:rFonts w:cs="Times New Roman"/>
          <w:i/>
          <w:iCs/>
        </w:rPr>
        <w:t>bacterium</w:t>
      </w:r>
      <w:r w:rsidRPr="00901194">
        <w:rPr>
          <w:rFonts w:cs="Times New Roman"/>
        </w:rPr>
        <w:t xml:space="preserve"> 3_1_46FAA were predictive features of a lower glycemic response to different bread types</w:t>
      </w:r>
      <w:r w:rsidR="008C1D2C" w:rsidRPr="00901194">
        <w:rPr>
          <w:rFonts w:cs="Times New Roman"/>
        </w:rPr>
        <w:fldChar w:fldCharType="begin" w:fldLock="1"/>
      </w:r>
      <w:r w:rsidR="006B6CD4" w:rsidRPr="00901194">
        <w:rPr>
          <w:rFonts w:cs="Times New Roman"/>
        </w:rPr>
        <w:instrText>ADDIN CSL_CITATION {"citationItems":[{"id":"ITEM-1","itemData":{"DOI":"10.1016/j.cmet.2017.05.002","ISSN":"1550-4131","author":[{"dropping-particle":"","family":"Korem","given":"Tal","non-dropping-particle":"","parse-names":false,"suffix":""},{"dropping-particle":"","family":"Zeevi","given":"David","non-dropping-particle":"","parse-names":false,"suffix":""},{"dropping-particle":"","family":"Zmora","given":"Niv","non-dropping-particle":"","parse-names":false,"suffix":""},{"dropping-particle":"","family":"Weissbrod","given":"Omer","non-dropping-particle":"","parse-names":false,"suffix":""},{"dropping-particle":"","family":"Bar","given":"Noam","non-dropping-particle":"","parse-names":false,"suffix":""},{"dropping-particle":"","family":"Lotan-Pompan","given":"Maya","non-dropping-particle":"","parse-names":false,"suffix":""},{"dropping-particle":"","family":"Avnit-Sagi","given":"Tali","non-dropping-particle":"","parse-names":false,"suffix":""},{"dropping-particle":"","family":"Kosower","given":"Noa","non-dropping-particle":"","parse-names":false,"suffix":""},{"dropping-particle":"","family":"Malka","given":"Gal","non-dropping-particle":"","parse-names":false,"suffix":""},{"dropping-particle":"","family":"Rein","given":"Michael","non-dropping-particle":"","parse-names":false,"suffix":""},{"dropping-particle":"","family":"Suez","given":"Jotham","non-dropping-particle":"","parse-names":false,"suffix":""},{"dropping-particle":"","family":"Goldberg","given":"Ben Z","non-dropping-particle":"","parse-names":false,"suffix":""},{"dropping-particle":"","family":"Weinberger","given":"Adina","non-dropping-particle":"","parse-names":false,"suffix":""},{"dropping-particle":"","family":"Levy","given":"Avraham A","non-dropping-particle":"","parse-names":false,"suffix":""},{"dropping-particle":"","family":"Elinav","given":"Eran","non-dropping-particle":"","parse-names":false,"suffix":""},{"dropping-particle":"","family":"Segal","given":"Eran","non-dropping-particle":"","parse-names":false,"suffix":""}],"container-title":"Cell Metabolism","id":"ITEM-1","issue":"6","issued":{"date-parts":[["2017"]]},"page":"1243-1253.e5","publisher":"Elsevier Inc.","title":"Bread affects clinical parameters and induces gut microbiome-associated personal glycemic responses","type":"article-journal","volume":"25"},"uris":["http://www.mendeley.com/documents/?uuid=b95902ff-ee6c-4a29-b3e0-e70a15cfb58a"]}],"mendeley":{"formattedCitation":"&lt;sup&gt;170&lt;/sup&gt;","plainTextFormattedCitation":"170","previouslyFormattedCitation":"&lt;sup&gt;170&lt;/sup&gt;"},"properties":{"noteIndex":0},"schema":"https://github.com/citation-style-language/schema/raw/master/csl-citation.json"}</w:instrText>
      </w:r>
      <w:r w:rsidR="008C1D2C" w:rsidRPr="00901194">
        <w:rPr>
          <w:rFonts w:cs="Times New Roman"/>
        </w:rPr>
        <w:fldChar w:fldCharType="separate"/>
      </w:r>
      <w:r w:rsidR="009D364B" w:rsidRPr="00901194">
        <w:rPr>
          <w:rFonts w:cs="Times New Roman"/>
          <w:noProof/>
          <w:vertAlign w:val="superscript"/>
        </w:rPr>
        <w:t>170</w:t>
      </w:r>
      <w:r w:rsidR="008C1D2C" w:rsidRPr="00901194">
        <w:rPr>
          <w:rFonts w:cs="Times New Roman"/>
        </w:rPr>
        <w:fldChar w:fldCharType="end"/>
      </w:r>
      <w:r w:rsidRPr="00901194">
        <w:rPr>
          <w:rFonts w:cs="Times New Roman"/>
        </w:rPr>
        <w:t>.</w:t>
      </w:r>
      <w:r w:rsidRPr="00901194" w:rsidDel="00E32DD4">
        <w:rPr>
          <w:rFonts w:cs="Times New Roman"/>
        </w:rPr>
        <w:t xml:space="preserve"> </w:t>
      </w:r>
    </w:p>
    <w:p w14:paraId="2D8F33A1" w14:textId="7B2523E7" w:rsidR="00674D9A" w:rsidRPr="00901194" w:rsidRDefault="00A00839" w:rsidP="00674D9A">
      <w:pPr>
        <w:ind w:firstLine="720"/>
        <w:rPr>
          <w:rFonts w:cs="Times New Roman"/>
          <w:kern w:val="2"/>
        </w:rPr>
      </w:pPr>
      <w:r w:rsidRPr="00901194">
        <w:rPr>
          <w:rFonts w:cs="Times New Roman"/>
        </w:rPr>
        <w:t>Furthermore, food type, quality, and origin shape gut microbiome composition and function, leading to variable host-microbe interactions</w:t>
      </w:r>
      <w:r w:rsidR="008C1D2C" w:rsidRPr="00901194">
        <w:rPr>
          <w:rFonts w:cs="Times New Roman"/>
        </w:rPr>
        <w:fldChar w:fldCharType="begin" w:fldLock="1"/>
      </w:r>
      <w:r w:rsidR="006B6CD4" w:rsidRPr="00901194">
        <w:rPr>
          <w:rFonts w:cs="Times New Roman"/>
        </w:rPr>
        <w:instrText>ADDIN CSL_CITATION {"citationItems":[{"id":"ITEM-1","itemData":{"author":[{"dropping-particle":"","family":"Gowd","given":"Vemana","non-dropping-particle":"","parse-names":false,"suffix":""},{"dropping-particle":"","family":"Xie","given":"Lianghua","non-dropping-particle":"","parse-names":false,"suffix":""},{"dropping-particle":"","family":"Zheng","given":"Xiaodong","non-dropping-particle":"","parse-names":false,"suffix":""},{"dropping-particle":"","family":"Chen","given":"Wei","non-dropping-particle":"","parse-names":false,"suffix":""}],"container-title":"Critical Reviews in Biotechnology","id":"ITEM-1","issue":"4","issued":{"date-parts":[["2019"]]},"page":"524-540","title":"Dietary fibers as emerging nutritional factors against diabetes: focus on the involvement of gut microbiota","type":"article-journal","volume":"39"},"uris":["http://www.mendeley.com/documents/?uuid=018624f3-b7ff-4384-b4ba-83ad09564a29"]}],"mendeley":{"formattedCitation":"&lt;sup&gt;171&lt;/sup&gt;","plainTextFormattedCitation":"171","previouslyFormattedCitation":"&lt;sup&gt;171&lt;/sup&gt;"},"properties":{"noteIndex":0},"schema":"https://github.com/citation-style-language/schema/raw/master/csl-citation.json"}</w:instrText>
      </w:r>
      <w:r w:rsidR="008C1D2C" w:rsidRPr="00901194">
        <w:rPr>
          <w:rFonts w:cs="Times New Roman"/>
        </w:rPr>
        <w:fldChar w:fldCharType="separate"/>
      </w:r>
      <w:r w:rsidR="009D364B" w:rsidRPr="00901194">
        <w:rPr>
          <w:rFonts w:cs="Times New Roman"/>
          <w:noProof/>
          <w:vertAlign w:val="superscript"/>
        </w:rPr>
        <w:t>171</w:t>
      </w:r>
      <w:r w:rsidR="008C1D2C" w:rsidRPr="00901194">
        <w:rPr>
          <w:rFonts w:cs="Times New Roman"/>
        </w:rPr>
        <w:fldChar w:fldCharType="end"/>
      </w:r>
      <w:r w:rsidRPr="00901194">
        <w:rPr>
          <w:rFonts w:cs="Times New Roman"/>
        </w:rPr>
        <w:t>. Depending on food source, soluble and insoluble fibers are presented in varying amount</w:t>
      </w:r>
      <w:r w:rsidR="008C1D2C" w:rsidRPr="00901194">
        <w:rPr>
          <w:rFonts w:cs="Times New Roman"/>
        </w:rPr>
        <w:t>s</w:t>
      </w:r>
      <w:r w:rsidRPr="00901194">
        <w:rPr>
          <w:rFonts w:cs="Times New Roman"/>
        </w:rPr>
        <w:t>, and not all fiber contents are present in the same food categories</w:t>
      </w:r>
      <w:r w:rsidR="008C1D2C" w:rsidRPr="00901194">
        <w:rPr>
          <w:rFonts w:cs="Times New Roman"/>
        </w:rPr>
        <w:fldChar w:fldCharType="begin" w:fldLock="1"/>
      </w:r>
      <w:r w:rsidR="006B6CD4" w:rsidRPr="00901194">
        <w:rPr>
          <w:rFonts w:cs="Times New Roman"/>
        </w:rPr>
        <w:instrText>ADDIN CSL_CITATION {"citationItems":[{"id":"ITEM-1","itemData":{"DOI":"10.1016/j.chom.2018.05.012","abstract":"Food is a primordial need for our survival and well-being. However, diet is not only essential to maintain human growth, reproduction, and health, but it also modulates and supports the symbiotic microbial com- munities that colonize the digestive tract—the gut microbiota. Type, quality, and origin of our food shape our gut microbes and affect their composition and function, impacting host-microbe interactions. In this review, we will focus on dietary fibers, which interact directly with gut microbes and lead to the production of key metabolites such as short-chain fatty acids, and discuss how dietary fiber impacts gut microbial ecol- ogy, host physiology, and health. Hippocrates’ notion ‘‘Let food be thy medicine and medicine be thy food’’ remains highly relevant millennia later, but requires consideration of how diet can be used for modulation of gut microbial ecology to promote health.","author":[{"dropping-particle":"","family":"Makki","given":"Kassem","non-dropping-particle":"","parse-names":false,"suffix":""},{"dropping-particle":"","family":"Deehan","given":"Edward C.","non-dropping-particle":"","parse-names":false,"suffix":""},{"dropping-particle":"","family":"Walter","given":"Jens","non-dropping-particle":"","parse-names":false,"suffix":""},{"dropping-particle":"","family":"Bäckhed","given":"Fredrik","non-dropping-particle":"","parse-names":false,"suffix":""}],"container-title":"Cell Host &amp; Microbe","id":"ITEM-1","issue":"6","issued":{"date-parts":[["2018"]]},"page":"705-715","title":"The Impact of Dietary Fiber on Gut Microbiota in Host Health and Disease","type":"article-journal","volume":"23"},"uris":["http://www.mendeley.com/documents/?uuid=c79c691a-b657-424b-88d5-a52646c9f06a"]}],"mendeley":{"formattedCitation":"&lt;sup&gt;157&lt;/sup&gt;","plainTextFormattedCitation":"157","previouslyFormattedCitation":"&lt;sup&gt;157&lt;/sup&gt;"},"properties":{"noteIndex":0},"schema":"https://github.com/citation-style-language/schema/raw/master/csl-citation.json"}</w:instrText>
      </w:r>
      <w:r w:rsidR="008C1D2C" w:rsidRPr="00901194">
        <w:rPr>
          <w:rFonts w:cs="Times New Roman"/>
        </w:rPr>
        <w:fldChar w:fldCharType="separate"/>
      </w:r>
      <w:r w:rsidR="009D364B" w:rsidRPr="00901194">
        <w:rPr>
          <w:rFonts w:cs="Times New Roman"/>
          <w:noProof/>
          <w:vertAlign w:val="superscript"/>
        </w:rPr>
        <w:t>157</w:t>
      </w:r>
      <w:r w:rsidR="008C1D2C" w:rsidRPr="00901194">
        <w:rPr>
          <w:rFonts w:cs="Times New Roman"/>
        </w:rPr>
        <w:fldChar w:fldCharType="end"/>
      </w:r>
      <w:r w:rsidRPr="00901194">
        <w:rPr>
          <w:rFonts w:cs="Times New Roman"/>
        </w:rPr>
        <w:t>. For instance, resistant starch, β-glucans</w:t>
      </w:r>
      <w:r w:rsidR="00565D1F" w:rsidRPr="00901194">
        <w:rPr>
          <w:rFonts w:cs="Times New Roman"/>
        </w:rPr>
        <w:t>,</w:t>
      </w:r>
      <w:r w:rsidRPr="00901194">
        <w:rPr>
          <w:rFonts w:cs="Times New Roman"/>
        </w:rPr>
        <w:t xml:space="preserve"> and arabinoxylans are mostly presented in starchy foods such as oats, cereals and beans,</w:t>
      </w:r>
      <w:r w:rsidRPr="00901194" w:rsidDel="00EA124F">
        <w:rPr>
          <w:rFonts w:cs="Times New Roman"/>
        </w:rPr>
        <w:t xml:space="preserve"> </w:t>
      </w:r>
      <w:r w:rsidRPr="00901194">
        <w:rPr>
          <w:rFonts w:cs="Times New Roman"/>
        </w:rPr>
        <w:t xml:space="preserve">whereas pectin </w:t>
      </w:r>
      <w:r w:rsidR="00633D12" w:rsidRPr="00901194">
        <w:rPr>
          <w:rFonts w:cs="Times New Roman"/>
        </w:rPr>
        <w:t xml:space="preserve">is </w:t>
      </w:r>
      <w:r w:rsidRPr="00901194">
        <w:rPr>
          <w:rFonts w:cs="Times New Roman"/>
        </w:rPr>
        <w:t>more abundant in fruits and some vegetables, like carrots and broccoli</w:t>
      </w:r>
      <w:r w:rsidR="00633D12" w:rsidRPr="00901194">
        <w:rPr>
          <w:rFonts w:cs="Times New Roman"/>
        </w:rPr>
        <w:fldChar w:fldCharType="begin" w:fldLock="1"/>
      </w:r>
      <w:r w:rsidR="006B6CD4" w:rsidRPr="00901194">
        <w:rPr>
          <w:rFonts w:cs="Times New Roman"/>
        </w:rPr>
        <w:instrText>ADDIN CSL_CITATION {"citationItems":[{"id":"ITEM-1","itemData":{"DOI":"10.1080/10408398.2014.939263","author":[{"dropping-particle":"","family":"Lovegrove","given":"A","non-dropping-particle":"","parse-names":false,"suffix":""},{"dropping-particle":"","family":"Edwards","given":"C H","non-dropping-particle":"","parse-names":false,"suffix":""},{"dropping-particle":"De","family":"Noni","given":"I","non-dropping-particle":"","parse-names":false,"suffix":""},{"dropping-particle":"","family":"Patel","given":"H","non-dropping-particle":"","parse-names":false,"suffix":""},{"dropping-particle":"","family":"El","given":"S N","non-dropping-particle":"","parse-names":false,"suffix":""},{"dropping-particle":"","family":"Grassby","given":"T","non-dropping-particle":"","parse-names":false,"suffix":""},{"dropping-particle":"","family":"Zielke","given":"C","non-dropping-particle":"","parse-names":false,"suffix":""},{"dropping-particle":"","family":"Ulmius","given":"M","non-dropping-particle":"","parse-names":false,"suffix":""},{"dropping-particle":"","family":"Nilsson","given":"L","non-dropping-particle":"","parse-names":false,"suffix":""},{"dropping-particle":"","family":"Butterworth","given":"P J","non-dropping-particle":"","parse-names":false,"suffix":""},{"dropping-particle":"","family":"Ellis","given":"P R","non-dropping-particle":"","parse-names":false,"suffix":""},{"dropping-particle":"","family":"Shewry","given":"P R","non-dropping-particle":"","parse-names":false,"suffix":""}],"container-title":"Critical Reviews in Food Science and Nutrition","id":"ITEM-1","issue":"2","issued":{"date-parts":[["2017"]]},"page":"237-253","title":"Role of polysaccharides in food, digestion, and health","type":"article-journal","volume":"57"},"uris":["http://www.mendeley.com/documents/?uuid=85906b67-d342-4e8f-a5a1-140fb0a13f15"]}],"mendeley":{"formattedCitation":"&lt;sup&gt;172&lt;/sup&gt;","plainTextFormattedCitation":"172","previouslyFormattedCitation":"&lt;sup&gt;172&lt;/sup&gt;"},"properties":{"noteIndex":0},"schema":"https://github.com/citation-style-language/schema/raw/master/csl-citation.json"}</w:instrText>
      </w:r>
      <w:r w:rsidR="00633D12" w:rsidRPr="00901194">
        <w:rPr>
          <w:rFonts w:cs="Times New Roman"/>
        </w:rPr>
        <w:fldChar w:fldCharType="separate"/>
      </w:r>
      <w:r w:rsidR="009D364B" w:rsidRPr="00901194">
        <w:rPr>
          <w:rFonts w:cs="Times New Roman"/>
          <w:noProof/>
          <w:vertAlign w:val="superscript"/>
        </w:rPr>
        <w:t>172</w:t>
      </w:r>
      <w:r w:rsidR="00633D12" w:rsidRPr="00901194">
        <w:rPr>
          <w:rFonts w:cs="Times New Roman"/>
        </w:rPr>
        <w:fldChar w:fldCharType="end"/>
      </w:r>
      <w:r w:rsidRPr="00901194">
        <w:rPr>
          <w:rFonts w:cs="Times New Roman"/>
        </w:rPr>
        <w:t>. Physicochemical characteristics of different dietary fibers</w:t>
      </w:r>
      <w:r w:rsidR="00633D12" w:rsidRPr="00901194">
        <w:rPr>
          <w:rFonts w:cs="Times New Roman"/>
        </w:rPr>
        <w:t>,</w:t>
      </w:r>
      <w:r w:rsidRPr="00901194">
        <w:rPr>
          <w:rFonts w:cs="Times New Roman"/>
        </w:rPr>
        <w:t xml:space="preserve"> including solubility, viscosity and fermentability</w:t>
      </w:r>
      <w:r w:rsidR="00633D12" w:rsidRPr="00901194">
        <w:rPr>
          <w:rFonts w:cs="Times New Roman"/>
        </w:rPr>
        <w:t>,</w:t>
      </w:r>
      <w:r w:rsidRPr="00901194">
        <w:rPr>
          <w:rFonts w:cs="Times New Roman"/>
        </w:rPr>
        <w:t xml:space="preserve"> vary widely and influence efficiency in gastrointestinal tracts</w:t>
      </w:r>
      <w:r w:rsidR="00633D12" w:rsidRPr="00901194">
        <w:rPr>
          <w:rFonts w:cs="Times New Roman"/>
        </w:rPr>
        <w:fldChar w:fldCharType="begin" w:fldLock="1"/>
      </w:r>
      <w:r w:rsidR="006B6CD4" w:rsidRPr="00901194">
        <w:rPr>
          <w:rFonts w:cs="Times New Roman"/>
        </w:rPr>
        <w:instrText>ADDIN CSL_CITATION {"citationItems":[{"id":"ITEM-1","itemData":{"DOI":"10.1038/s41575-020-00375-4","ISBN":"4157502000","ISSN":"1759-5053","author":[{"dropping-particle":"","family":"Gill","given":"Samantha K","non-dropping-particle":"","parse-names":false,"suffix":""},{"dropping-particle":"","family":"Rossi","given":"Megan","non-dropping-particle":"","parse-names":false,"suffix":""},{"dropping-particle":"","family":"Bajka","given":"Balazs","non-dropping-particle":"","parse-names":false,"suffix":""},{"dropping-particle":"","family":"Whelan","given":"Kevin","non-dropping-particle":"","parse-names":false,"suffix":""}],"container-title":"Nature Reviews Gastroenterology &amp; Hepatology","id":"ITEM-1","issue":"2","issued":{"date-parts":[["2021"]]},"page":"101-116","publisher":"Springer US","title":"Dietary fibre in gastrointestinal health and disease","type":"article-journal","volume":"18"},"uris":["http://www.mendeley.com/documents/?uuid=4ef3562f-c6dd-4aa0-88e8-af65c31bda2c"]}],"mendeley":{"formattedCitation":"&lt;sup&gt;173&lt;/sup&gt;","plainTextFormattedCitation":"173","previouslyFormattedCitation":"&lt;sup&gt;173&lt;/sup&gt;"},"properties":{"noteIndex":0},"schema":"https://github.com/citation-style-language/schema/raw/master/csl-citation.json"}</w:instrText>
      </w:r>
      <w:r w:rsidR="00633D12" w:rsidRPr="00901194">
        <w:rPr>
          <w:rFonts w:cs="Times New Roman"/>
        </w:rPr>
        <w:fldChar w:fldCharType="separate"/>
      </w:r>
      <w:r w:rsidR="009D364B" w:rsidRPr="00901194">
        <w:rPr>
          <w:rFonts w:cs="Times New Roman"/>
          <w:noProof/>
          <w:vertAlign w:val="superscript"/>
        </w:rPr>
        <w:t>173</w:t>
      </w:r>
      <w:r w:rsidR="00633D12" w:rsidRPr="00901194">
        <w:rPr>
          <w:rFonts w:cs="Times New Roman"/>
        </w:rPr>
        <w:fldChar w:fldCharType="end"/>
      </w:r>
      <w:r w:rsidRPr="00901194">
        <w:rPr>
          <w:rFonts w:cs="Times New Roman"/>
        </w:rPr>
        <w:t>. Besides fiber, whole grains and vegetables are also rich in polyphenols and vitamins, which modulate the risk of metabolic sydrome</w:t>
      </w:r>
      <w:r w:rsidR="00633D12" w:rsidRPr="00901194">
        <w:rPr>
          <w:rFonts w:cs="Times New Roman"/>
        </w:rPr>
        <w:fldChar w:fldCharType="begin" w:fldLock="1"/>
      </w:r>
      <w:r w:rsidR="006B6CD4" w:rsidRPr="00901194">
        <w:rPr>
          <w:rFonts w:cs="Times New Roman"/>
        </w:rPr>
        <w:instrText>ADDIN CSL_CITATION {"citationItems":[{"id":"ITEM-1","itemData":{"DOI":"10.1038/sj.ejcn.1602080","author":[{"dropping-particle":"","family":"Esmaillzadeh","given":"A","non-dropping-particle":"","parse-names":false,"suffix":""},{"dropping-particle":"","family":"Mirmiran","given":"P","non-dropping-particle":"","parse-names":false,"suffix":""},{"dropping-particle":"","family":"Azizi","given":"F","non-dropping-particle":"","parse-names":false,"suffix":""}],"container-title":"European Journal of Clinical Nutrition","id":"ITEM-1","issue":"3","issued":{"date-parts":[["2005"]]},"page":"353-362","title":"Whole-grain consumption and the metabolic syndrome: a favorable association in Tehranian adults","type":"article-journal","volume":"59"},"uris":["http://www.mendeley.com/documents/?uuid=684c66cb-b64f-4058-a64d-5f519f0a95ce"]},{"id":"ITEM-2","itemData":{"DOI":"https://doi.org/10.1155/2017/5812401","abstract":"Metabolic syndrome (MetS) is a cluster of cardiovascular risk factors which severely increases the risk of type II diabetes and cardiovascular disease. Several epidemiological studies have observed a negative association between polyphenol intake and MetS rates. Nevertheless, there are relatively small numbers of interventional studies evidencing this association. This review is focused on human interventional trials with polyphenols as polyphenol-rich foods and dietary patterns rich in polyphenols in patients with MetS. Current evidence suggests that polyphenol intake has the potential to alleviate MetS components by decreasing body weight, blood pressure, and blood glucose and by improving lipid metabolism. Therefore, high intake of polyphenol-rich foods such as nuts, fruits, vegetables, seasoning with aromatic plants, spices, and virgin olive oil may be the cornerstone of a healthy diet preventing the development and progression of MetS, although there is no polyphenol or polyphenol-rich food able to influence all MetS features. However, inconsistent results have been found in different trials, and more long-term randomized trials are warranted to develop public health strategies to decrease MetS rates.","author":[{"dropping-particle":"","family":"Chiva-blanch","given":"Gemma","non-dropping-particle":"","parse-names":false,"suffix":""},{"dropping-particle":"","family":"Badimon","given":"Lina","non-dropping-particle":"","parse-names":false,"suffix":""}],"container-title":"Oxidative Medicine and Cellular Longevity","id":"ITEM-2","issued":{"date-parts":[["2017"]]},"page":"1-17","title":"Effects of Polyphenol Intake on Metabolic Syndrome: Current Evidences from Human Trials","type":"article-journal","volume":"2017"},"uris":["http://www.mendeley.com/documents/?uuid=93f0ed25-b114-48de-b4fe-b77d794bacc1"]}],"mendeley":{"formattedCitation":"&lt;sup&gt;174,175&lt;/sup&gt;","plainTextFormattedCitation":"174,175","previouslyFormattedCitation":"&lt;sup&gt;174,175&lt;/sup&gt;"},"properties":{"noteIndex":0},"schema":"https://github.com/citation-style-language/schema/raw/master/csl-citation.json"}</w:instrText>
      </w:r>
      <w:r w:rsidR="00633D12" w:rsidRPr="00901194">
        <w:rPr>
          <w:rFonts w:cs="Times New Roman"/>
        </w:rPr>
        <w:fldChar w:fldCharType="separate"/>
      </w:r>
      <w:r w:rsidR="009D364B" w:rsidRPr="00901194">
        <w:rPr>
          <w:rFonts w:cs="Times New Roman"/>
          <w:noProof/>
          <w:vertAlign w:val="superscript"/>
        </w:rPr>
        <w:t>174,175</w:t>
      </w:r>
      <w:r w:rsidR="00633D12" w:rsidRPr="00901194">
        <w:rPr>
          <w:rFonts w:cs="Times New Roman"/>
        </w:rPr>
        <w:fldChar w:fldCharType="end"/>
      </w:r>
      <w:r w:rsidRPr="00901194">
        <w:rPr>
          <w:rFonts w:cs="Times New Roman"/>
        </w:rPr>
        <w:t>. Some legume protein fractions, such as Bowman-Birk protease inhibitors, lectins, and seed albumin fractions, prevent intestinal inflammation by modulating gut microbiota</w:t>
      </w:r>
      <w:r w:rsidR="00633D12" w:rsidRPr="00901194">
        <w:rPr>
          <w:rFonts w:cs="Times New Roman"/>
        </w:rPr>
        <w:fldChar w:fldCharType="begin" w:fldLock="1"/>
      </w:r>
      <w:r w:rsidR="006B6CD4" w:rsidRPr="00901194">
        <w:rPr>
          <w:rFonts w:cs="Times New Roman"/>
        </w:rPr>
        <w:instrText>ADDIN CSL_CITATION {"citationItems":[{"id":"ITEM-1","itemData":{"DOI":"10.1002/mnfr.201400630","abstract":"Scope: This study investigates the preventive effects of two pea (Pisum sativum) seed albumin extracts, either in the presence (pea seed extract [PSE]) or absence (albumin fraction from PSE [AF-PSE]) of soluble polysaccharides, in the dextran sodium sulfate (DSS) induced colitis in mice. Methods and results: Male C57BL/6J mice were assigned to five groups: one noncolitic and four colitic. Colitis was induced by incorporating DSS (3.5%) in the drinking water for 4 days, after which DSS was removed. Treated groups received orally PSE (15 g/kg?day), or AF-PSE (1.5 g/kg?day), or pure soy Bowman–Birk inhibitor (BBI; 50 mg/kg?day), starting 2 wk before colitis induction, and maintained for 9 days after. All treated groups showed intestinal anti- inflammatory effect, evidenced by reduced microscopic histological damage in comparison with untreated colitic mice. The treatments ameliorated the colonic mRNA expression of dif- ferent proinflammatory markers: cytokines, inducible enzymes, metalloproteinases, adhesion molecules, and toll-like receptors, as well as proteins involved in maintaining the epithelial bar- rier function. Furthermore, the administration of PSE, AF-PSE, or soy BBI restored bacterial counts, partially or totally, to values in healthy mice. Conclusion: PSE and AF-PSE ameliorated DSS-induced damage to mice, their effects being due, at least partially, to the presence ofactive BBI.","author":[{"dropping-particle":"","family":"Utrilla","given":"Mᵃ Pilar","non-dropping-particle":"","parse-names":false,"suffix":""},{"dropping-particle":"","family":"Peinado","given":"Mᵃ Jesus","non-dropping-particle":"","parse-names":false,"suffix":""},{"dropping-particle":"","family":"Ruiz","given":"Raquel","non-dropping-particle":"","parse-names":false,"suffix":""},{"dropping-particle":"","family":"Rodriguez-Nogales","given":"Alba","non-dropping-particle":"","parse-names":false,"suffix":""},{"dropping-particle":"","family":"Algieri","given":"Francesca","non-dropping-particle":"","parse-names":false,"suffix":""},{"dropping-particle":"","family":"Rodriguez-cabezas","given":"Mᵃ Elena","non-dropping-particle":"","parse-names":false,"suffix":""},{"dropping-particle":"","family":"Clemente","given":"Alfonso","non-dropping-particle":"","parse-names":false,"suffix":""},{"dropping-particle":"","family":"Galvez","given":"Julio","non-dropping-particle":"","parse-names":false,"suffix":""},{"dropping-particle":"","family":"Rubio","given":"Luis A","non-dropping-particle":"","parse-names":false,"suffix":""}],"container-title":"Molecular Nutrition &amp; Food Research","id":"ITEM-1","issue":"4","issued":{"date-parts":[["2015"]]},"page":"807-819","title":"Pea (Pisum sativum L.) seed albumin extracts show anti-inflammatory effect in the DSS model of mouse","type":"article-journal","volume":"59"},"uris":["http://www.mendeley.com/documents/?uuid=a1256f3e-9582-43ad-8b87-e387c2c11fa6"]},{"id":"ITEM-2","itemData":{"DOI":"https://doi.org/10.1016/j.jff.2017.05.038","abstract":"This study investigates the effects of a pea (Pisum sativum) seed albumin extract (PSE) on the colonic microbiota in a model of experimental dextran sodium sulfate (DSS)-induced colitis in mice. Male C57BL/6J mice were assigned to three groups: one non-colitic and two colitic. Colitis was induced by incorporating DSS (3.5%) in the drinking water for four days, after which DSS was removed. The pre-treated group received orally PSE (15 g/kg·day) starting two weeks before colitis induction, and was maintained for nine days after. Mice pre-treated with PSE showed a recovery in colon length compared with non-treated DSS group. Both RT-qPCR and pyrosequencing analysis showed that DSS induced significant modifications in the microbiota composition of colonic contents and tissue. In conclusion, PSE modulated colonic microbiota in a model of experimental dextran sodium sulfate (DSS)-induced colitis in mice, and prevented colonic DSS induced dysbiosis in mice.","author":[{"dropping-particle":"","family":"Aranda-Olmedo","given":"Isabel","non-dropping-particle":"","parse-names":false,"suffix":""},{"dropping-particle":"","family":"Ruiz","given":"Raquel","non-dropping-particle":"","parse-names":false,"suffix":""},{"dropping-particle":"","family":"Peinado","given":"M Jesús","non-dropping-particle":"","parse-names":false,"suffix":""},{"dropping-particle":"","family":"Rubio","given":"Luis A","non-dropping-particle":"","parse-names":false,"suffix":""}],"container-title":"Journal of Functional Foods","id":"ITEM-2","issued":{"date-parts":[["2017"]]},"page":"279-294","title":"A pea (Pisum sativum L.) seed albumin extract prevents colonic DSS induced dysbiosis in mice","type":"article-journal","volume":"35"},"uris":["http://www.mendeley.com/documents/?uuid=6f513258-715c-4d54-9597-0f25bf5ff3b1"]}],"mendeley":{"formattedCitation":"&lt;sup&gt;176,177&lt;/sup&gt;","plainTextFormattedCitation":"176,177","previouslyFormattedCitation":"&lt;sup&gt;176,177&lt;/sup&gt;"},"properties":{"noteIndex":0},"schema":"https://github.com/citation-style-language/schema/raw/master/csl-citation.json"}</w:instrText>
      </w:r>
      <w:r w:rsidR="00633D12" w:rsidRPr="00901194">
        <w:rPr>
          <w:rFonts w:cs="Times New Roman"/>
        </w:rPr>
        <w:fldChar w:fldCharType="separate"/>
      </w:r>
      <w:r w:rsidR="009D364B" w:rsidRPr="00901194">
        <w:rPr>
          <w:rFonts w:cs="Times New Roman"/>
          <w:noProof/>
          <w:vertAlign w:val="superscript"/>
        </w:rPr>
        <w:t>176,177</w:t>
      </w:r>
      <w:r w:rsidR="00633D12" w:rsidRPr="00901194">
        <w:rPr>
          <w:rFonts w:cs="Times New Roman"/>
        </w:rPr>
        <w:fldChar w:fldCharType="end"/>
      </w:r>
      <w:r w:rsidRPr="00901194">
        <w:rPr>
          <w:rFonts w:cs="Times New Roman"/>
        </w:rPr>
        <w:t xml:space="preserve">. </w:t>
      </w:r>
      <w:r w:rsidRPr="00901194">
        <w:rPr>
          <w:rFonts w:cs="Times New Roman"/>
          <w:kern w:val="2"/>
        </w:rPr>
        <w:t>Dietary fibers present in whole foods might synergize with these components to exert therapeutic potential in inflammatory and metabolic disorders</w:t>
      </w:r>
      <w:r w:rsidR="000B05FF" w:rsidRPr="00901194">
        <w:rPr>
          <w:rFonts w:cs="Times New Roman"/>
          <w:kern w:val="2"/>
        </w:rPr>
        <w:fldChar w:fldCharType="begin" w:fldLock="1"/>
      </w:r>
      <w:r w:rsidR="006B6CD4" w:rsidRPr="00901194">
        <w:rPr>
          <w:rFonts w:cs="Times New Roman"/>
          <w:kern w:val="2"/>
        </w:rPr>
        <w:instrText>ADDIN CSL_CITATION {"citationItems":[{"id":"ITEM-1","itemData":{"DOI":"10.1016/j.chom.2018.05.012","abstract":"Food is a primordial need for our survival and well-being. However, diet is not only essential to maintain human growth, reproduction, and health, but it also modulates and supports the symbiotic microbial com- munities that colonize the digestive tract—the gut microbiota. Type, quality, and origin of our food shape our gut microbes and affect their composition and function, impacting host-microbe interactions. In this review, we will focus on dietary fibers, which interact directly with gut microbes and lead to the production of key metabolites such as short-chain fatty acids, and discuss how dietary fiber impacts gut microbial ecol- ogy, host physiology, and health. Hippocrates’ notion ‘‘Let food be thy medicine and medicine be thy food’’ remains highly relevant millennia later, but requires consideration of how diet can be used for modulation of gut microbial ecology to promote health.","author":[{"dropping-particle":"","family":"Makki","given":"Kassem","non-dropping-particle":"","parse-names":false,"suffix":""},{"dropping-particle":"","family":"Deehan","given":"Edward C.","non-dropping-particle":"","parse-names":false,"suffix":""},{"dropping-particle":"","family":"Walter","given":"Jens","non-dropping-particle":"","parse-names":false,"suffix":""},{"dropping-particle":"","family":"Bäckhed","given":"Fredrik","non-dropping-particle":"","parse-names":false,"suffix":""}],"container-title":"Cell Host &amp; Microbe","id":"ITEM-1","issue":"6","issued":{"date-parts":[["2018"]]},"page":"705-715","title":"The Impact of Dietary Fiber on Gut Microbiota in Host Health and Disease","type":"article-journal","volume":"23"},"uris":["http://www.mendeley.com/documents/?uuid=c79c691a-b657-424b-88d5-a52646c9f06a"]}],"mendeley":{"formattedCitation":"&lt;sup&gt;157&lt;/sup&gt;","plainTextFormattedCitation":"157","previouslyFormattedCitation":"&lt;sup&gt;157&lt;/sup&gt;"},"properties":{"noteIndex":0},"schema":"https://github.com/citation-style-language/schema/raw/master/csl-citation.json"}</w:instrText>
      </w:r>
      <w:r w:rsidR="000B05FF" w:rsidRPr="00901194">
        <w:rPr>
          <w:rFonts w:cs="Times New Roman"/>
          <w:kern w:val="2"/>
        </w:rPr>
        <w:fldChar w:fldCharType="separate"/>
      </w:r>
      <w:r w:rsidR="009D364B" w:rsidRPr="00901194">
        <w:rPr>
          <w:rFonts w:cs="Times New Roman"/>
          <w:noProof/>
          <w:kern w:val="2"/>
          <w:vertAlign w:val="superscript"/>
        </w:rPr>
        <w:t>157</w:t>
      </w:r>
      <w:r w:rsidR="000B05FF" w:rsidRPr="00901194">
        <w:rPr>
          <w:rFonts w:cs="Times New Roman"/>
          <w:kern w:val="2"/>
        </w:rPr>
        <w:fldChar w:fldCharType="end"/>
      </w:r>
      <w:r w:rsidRPr="00901194">
        <w:rPr>
          <w:rFonts w:cs="Times New Roman"/>
          <w:kern w:val="2"/>
        </w:rPr>
        <w:t xml:space="preserve">. </w:t>
      </w:r>
    </w:p>
    <w:p w14:paraId="4D5278F1" w14:textId="4DA371FF" w:rsidR="00A00839" w:rsidRPr="00901194" w:rsidRDefault="000D0072" w:rsidP="00A00839">
      <w:pPr>
        <w:ind w:firstLine="720"/>
        <w:rPr>
          <w:rFonts w:cs="Times New Roman"/>
        </w:rPr>
      </w:pPr>
      <w:r w:rsidRPr="00901194">
        <w:rPr>
          <w:rFonts w:cs="Times New Roman"/>
        </w:rPr>
        <w:t>Human microbiome research has garnered special interest in anthropology over recent years, particularly with regards to microbial responses to diets</w:t>
      </w:r>
      <w:r w:rsidRPr="00901194">
        <w:rPr>
          <w:rFonts w:cs="Times New Roman"/>
        </w:rPr>
        <w:fldChar w:fldCharType="begin" w:fldLock="1"/>
      </w:r>
      <w:r w:rsidR="006B6CD4" w:rsidRPr="00901194">
        <w:rPr>
          <w:rFonts w:cs="Times New Roman"/>
        </w:rPr>
        <w:instrText>ADDIN CSL_CITATION {"citationItems":[{"id":"ITEM-1","itemData":{"DOI":"10.1073/pnas.1200515109","ISBN":"1091-6490 (Electronic)\\n0027-8424 (Linking)","ISSN":"0027-8424","PMID":"22460792","abstract":"We describe the need to further integrate the fields of human microbial ecology and anthropology and outline some of the potential goals and benefits of this collaborative work.","author":[{"dropping-particle":"","family":"Benezra","given":"A.","non-dropping-particle":"","parse-names":false,"suffix":""},{"dropping-particle":"","family":"DeStefano","given":"J.","non-dropping-particle":"","parse-names":false,"suffix":""},{"dropping-particle":"","family":"Gordon","given":"J. I.","non-dropping-particle":"","parse-names":false,"suffix":""}],"container-title":"Proceedings of the National Academy of Sciences","id":"ITEM-1","issue":"17","issued":{"date-parts":[["2012"]]},"page":"6378-6381","title":"Anthropology of microbes","type":"article-journal","volume":"109"},"uris":["http://www.mendeley.com/documents/?uuid=3faf65cb-101c-43fa-9a26-15a6a8c60206"]}],"mendeley":{"formattedCitation":"&lt;sup&gt;178&lt;/sup&gt;","plainTextFormattedCitation":"178","previouslyFormattedCitation":"&lt;sup&gt;178&lt;/sup&gt;"},"properties":{"noteIndex":0},"schema":"https://github.com/citation-style-language/schema/raw/master/csl-citation.json"}</w:instrText>
      </w:r>
      <w:r w:rsidRPr="00901194">
        <w:rPr>
          <w:rFonts w:cs="Times New Roman"/>
        </w:rPr>
        <w:fldChar w:fldCharType="separate"/>
      </w:r>
      <w:r w:rsidR="009D364B" w:rsidRPr="00901194">
        <w:rPr>
          <w:rFonts w:cs="Times New Roman"/>
          <w:noProof/>
          <w:vertAlign w:val="superscript"/>
        </w:rPr>
        <w:t>178</w:t>
      </w:r>
      <w:r w:rsidRPr="00901194">
        <w:rPr>
          <w:rFonts w:cs="Times New Roman"/>
        </w:rPr>
        <w:fldChar w:fldCharType="end"/>
      </w:r>
      <w:r w:rsidRPr="00901194">
        <w:rPr>
          <w:rFonts w:cs="Times New Roman"/>
        </w:rPr>
        <w:t xml:space="preserve">. However, studying </w:t>
      </w:r>
      <w:r w:rsidR="00B92DF9" w:rsidRPr="00901194">
        <w:rPr>
          <w:rFonts w:cs="Times New Roman"/>
        </w:rPr>
        <w:t xml:space="preserve">non-human microbial and metabolomic responses offers unique chances to do deep investigations of personalized health responses </w:t>
      </w:r>
      <w:r w:rsidR="00716E48" w:rsidRPr="00901194">
        <w:rPr>
          <w:rFonts w:cs="Times New Roman"/>
        </w:rPr>
        <w:t>under controlled, systematic settings</w:t>
      </w:r>
      <w:r w:rsidR="00B92DF9" w:rsidRPr="00901194">
        <w:rPr>
          <w:rFonts w:cs="Times New Roman"/>
        </w:rPr>
        <w:t>. In this spirit, w</w:t>
      </w:r>
      <w:r w:rsidR="00A00839" w:rsidRPr="00901194">
        <w:rPr>
          <w:rFonts w:cs="Times New Roman"/>
        </w:rPr>
        <w:t>e sought to investigate how gut microbiome variation contributes to the effect of high-fiber foods on metabolic health</w:t>
      </w:r>
      <w:r w:rsidR="009D0A1D" w:rsidRPr="00901194">
        <w:rPr>
          <w:rFonts w:cs="Times New Roman"/>
        </w:rPr>
        <w:t xml:space="preserve"> in mice</w:t>
      </w:r>
      <w:r w:rsidR="00A00839" w:rsidRPr="00901194">
        <w:rPr>
          <w:rFonts w:cs="Times New Roman"/>
        </w:rPr>
        <w:t xml:space="preserve">. Considering the influence of fiber sources and the interaction with other components, germ-free (GF) mice harboring distinct microbiomes were exposed to three high-fat/fiber/cholesterol diets (45% fat, 7% fiber, 1% cholesterol) that contained fiber from </w:t>
      </w:r>
      <w:r w:rsidR="00A00839" w:rsidRPr="00901194">
        <w:rPr>
          <w:rFonts w:cs="Times New Roman"/>
        </w:rPr>
        <w:lastRenderedPageBreak/>
        <w:t xml:space="preserve">different whole foods (whole grain, vegetable, and legume). We tested the effects of these high-fiber diets on </w:t>
      </w:r>
      <w:r w:rsidR="00190278" w:rsidRPr="00901194">
        <w:rPr>
          <w:rFonts w:cs="Times New Roman"/>
        </w:rPr>
        <w:t xml:space="preserve">mice </w:t>
      </w:r>
      <w:r w:rsidR="00A00839" w:rsidRPr="00901194">
        <w:rPr>
          <w:rFonts w:cs="Times New Roman"/>
        </w:rPr>
        <w:t xml:space="preserve">and determined the cecal and plasma metabolites accumulated in the different treatment groups. </w:t>
      </w:r>
      <w:bookmarkStart w:id="63" w:name="_Hlk130722273"/>
      <w:r w:rsidR="00A00839" w:rsidRPr="00901194">
        <w:rPr>
          <w:rFonts w:cs="Times New Roman"/>
        </w:rPr>
        <w:t xml:space="preserve">We found the gut microbiome modulates the effects of high-fiber foods on metabolic health in a highly individual manner, </w:t>
      </w:r>
      <w:r w:rsidR="00940C23">
        <w:rPr>
          <w:rFonts w:cs="Times New Roman"/>
        </w:rPr>
        <w:t>which is reflected in metabolomic data</w:t>
      </w:r>
      <w:r w:rsidR="00A00839" w:rsidRPr="00901194">
        <w:rPr>
          <w:rFonts w:cs="Times New Roman"/>
        </w:rPr>
        <w:t xml:space="preserve">. </w:t>
      </w:r>
      <w:r w:rsidR="00135C35" w:rsidRPr="00901194">
        <w:rPr>
          <w:rFonts w:cs="Times New Roman"/>
        </w:rPr>
        <w:t xml:space="preserve">Additionally, strong </w:t>
      </w:r>
      <w:r w:rsidR="00A00839" w:rsidRPr="00901194">
        <w:rPr>
          <w:rFonts w:cs="Times New Roman"/>
        </w:rPr>
        <w:t xml:space="preserve">individual differences </w:t>
      </w:r>
      <w:r w:rsidR="00135C35" w:rsidRPr="00901194">
        <w:rPr>
          <w:rFonts w:cs="Times New Roman"/>
        </w:rPr>
        <w:t xml:space="preserve">were noted between </w:t>
      </w:r>
      <w:r w:rsidR="00A00839" w:rsidRPr="00901194">
        <w:rPr>
          <w:rFonts w:cs="Times New Roman"/>
        </w:rPr>
        <w:t>high-fiber foods, gut microbiota,</w:t>
      </w:r>
      <w:r w:rsidR="00135C35" w:rsidRPr="00901194">
        <w:rPr>
          <w:rFonts w:cs="Times New Roman"/>
        </w:rPr>
        <w:t xml:space="preserve"> and</w:t>
      </w:r>
      <w:r w:rsidR="00A00839" w:rsidRPr="00901194">
        <w:rPr>
          <w:rFonts w:cs="Times New Roman"/>
        </w:rPr>
        <w:t xml:space="preserve"> cecum metabolites.</w:t>
      </w:r>
      <w:bookmarkEnd w:id="63"/>
    </w:p>
    <w:p w14:paraId="3F07B16E" w14:textId="5B110CBE" w:rsidR="004A25BA" w:rsidRPr="00901194" w:rsidRDefault="004A25BA" w:rsidP="004A25BA">
      <w:pPr>
        <w:pStyle w:val="Sub-ChapterHading"/>
        <w:ind w:left="0" w:firstLine="0"/>
      </w:pPr>
      <w:bookmarkStart w:id="64" w:name="_Toc134185965"/>
      <w:r w:rsidRPr="00901194">
        <w:t>3.3 MATERIALS AND METHODS</w:t>
      </w:r>
      <w:bookmarkEnd w:id="64"/>
    </w:p>
    <w:p w14:paraId="1D0C7A64" w14:textId="458A4F5A" w:rsidR="00FC3A95" w:rsidRPr="00901194" w:rsidRDefault="00565D1F" w:rsidP="000471C6">
      <w:pPr>
        <w:pStyle w:val="Subsub-chapterHeading"/>
      </w:pPr>
      <w:bookmarkStart w:id="65" w:name="_Toc134185966"/>
      <w:r w:rsidRPr="00901194">
        <w:rPr>
          <w:noProof/>
        </w:rPr>
        <w:drawing>
          <wp:anchor distT="0" distB="0" distL="114300" distR="114300" simplePos="0" relativeHeight="251725824" behindDoc="0" locked="0" layoutInCell="1" allowOverlap="1" wp14:anchorId="18DB4E45" wp14:editId="27F217F9">
            <wp:simplePos x="0" y="0"/>
            <wp:positionH relativeFrom="column">
              <wp:posOffset>869245</wp:posOffset>
            </wp:positionH>
            <wp:positionV relativeFrom="paragraph">
              <wp:posOffset>291536</wp:posOffset>
            </wp:positionV>
            <wp:extent cx="4333875" cy="2828925"/>
            <wp:effectExtent l="0" t="0" r="9525" b="9525"/>
            <wp:wrapTopAndBottom/>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4333875" cy="2828925"/>
                    </a:xfrm>
                    <a:prstGeom prst="rect">
                      <a:avLst/>
                    </a:prstGeom>
                  </pic:spPr>
                </pic:pic>
              </a:graphicData>
            </a:graphic>
          </wp:anchor>
        </w:drawing>
      </w:r>
      <w:r w:rsidR="00FC3A95" w:rsidRPr="00901194">
        <w:t>Experiment Design</w:t>
      </w:r>
      <w:bookmarkEnd w:id="65"/>
    </w:p>
    <w:p w14:paraId="648BE519" w14:textId="772D955D" w:rsidR="00473112" w:rsidRPr="00901194" w:rsidRDefault="00473112" w:rsidP="00716E48">
      <w:pPr>
        <w:pStyle w:val="CaptionJH"/>
      </w:pPr>
    </w:p>
    <w:p w14:paraId="670B0BF2" w14:textId="77777777" w:rsidR="00072B6D" w:rsidRPr="00901194" w:rsidRDefault="00473112" w:rsidP="00716E48">
      <w:pPr>
        <w:pStyle w:val="CaptionJH"/>
        <w:rPr>
          <w:b/>
        </w:rPr>
      </w:pPr>
      <w:bookmarkStart w:id="66" w:name="_Toc131186552"/>
      <w:r w:rsidRPr="00901194">
        <w:rPr>
          <w:b/>
        </w:rPr>
        <w:t xml:space="preserve">Figure </w:t>
      </w:r>
      <w:r w:rsidR="0021319B" w:rsidRPr="00901194">
        <w:rPr>
          <w:b/>
        </w:rPr>
        <w:t>3.1</w:t>
      </w:r>
      <w:r w:rsidR="00072B6D" w:rsidRPr="00901194">
        <w:rPr>
          <w:b/>
        </w:rPr>
        <w:t>: Experiment design.</w:t>
      </w:r>
      <w:bookmarkEnd w:id="66"/>
    </w:p>
    <w:p w14:paraId="28C99059" w14:textId="183B47E7" w:rsidR="0003050C" w:rsidRPr="00901194" w:rsidRDefault="0003050C" w:rsidP="00072B6D">
      <w:pPr>
        <w:pStyle w:val="CaptionJH"/>
      </w:pPr>
    </w:p>
    <w:p w14:paraId="54A66052" w14:textId="140B95A0" w:rsidR="009042BD" w:rsidRPr="00901194" w:rsidRDefault="00FC3A95" w:rsidP="00FC3A95">
      <w:pPr>
        <w:ind w:firstLine="720"/>
        <w:rPr>
          <w:rFonts w:cs="Times New Roman"/>
        </w:rPr>
      </w:pPr>
      <w:r w:rsidRPr="00901194">
        <w:rPr>
          <w:rFonts w:cs="Times New Roman"/>
        </w:rPr>
        <w:t xml:space="preserve">Groups of </w:t>
      </w:r>
      <w:r w:rsidR="00A04A1A" w:rsidRPr="00901194">
        <w:rPr>
          <w:rFonts w:cs="Times New Roman"/>
        </w:rPr>
        <w:t>five- to six-week-old</w:t>
      </w:r>
      <w:r w:rsidRPr="00901194">
        <w:rPr>
          <w:rFonts w:cs="Times New Roman"/>
        </w:rPr>
        <w:t xml:space="preserve"> male GF C57BL/6 mice were colonized via oral gavage with one of three human fecal communities: SubA, SubB or SubC (</w:t>
      </w:r>
      <w:r w:rsidRPr="00901194">
        <w:rPr>
          <w:rFonts w:cs="Times New Roman"/>
          <w:i/>
          <w:iCs/>
        </w:rPr>
        <w:t>n</w:t>
      </w:r>
      <w:r w:rsidRPr="00901194">
        <w:rPr>
          <w:rFonts w:cs="Times New Roman"/>
        </w:rPr>
        <w:t xml:space="preserve"> = 28-30 mice/community, n = 86). Human fecal specimens were collected from overweight individuals (BMI = 28-30) aged in their mid-seventies with no history of type II diabetes, cancer, or heart disease and who self-</w:t>
      </w:r>
      <w:r w:rsidRPr="00901194">
        <w:rPr>
          <w:rFonts w:cs="Times New Roman"/>
        </w:rPr>
        <w:lastRenderedPageBreak/>
        <w:t>reported consumption of a standard western-type diet</w:t>
      </w:r>
      <w:r w:rsidRPr="00901194">
        <w:rPr>
          <w:rFonts w:cs="Times New Roman"/>
        </w:rPr>
        <w:fldChar w:fldCharType="begin" w:fldLock="1"/>
      </w:r>
      <w:r w:rsidR="009D364B" w:rsidRPr="00901194">
        <w:rPr>
          <w:rFonts w:cs="Times New Roman"/>
        </w:rPr>
        <w:instrText>ADDIN CSL_CITATION {"citationItems":[{"id":"ITEM-1","itemData":{"DOI":"10.1093/ije/dys194","ISSN":"03005771","PMID":"24585852","abstract":"The Wisconsin Longitudinal Study (WLS) is a longitudinal study of men and women who graduated from Wisconsin high schools in 1957 and one of their randomly selected siblings. Wisconsin is located in the upper midwest of the United States and had a population of approximately 14 000 000 in 1957, making it the 14th most populous state at that time. Data spanning almost 60 years allow researchers to link family background, adolescent characteristics, educational experiences, employment experiences, income, wealth, family formation and social and religious engagement to midlife and late-life physical health, mental health, psychological well-being, cognition, end of life planning and mortality. The WLS is one of the few longitudinal data sets that include an administrative measure of cognition from childhood. Further, recently collected saliva samples allow researchers to explore the inter-relationships among genes, behaviours and environment, including genetic determinants of behaviours (e.g. educational attainment); the interactions between genes and environment; and how these interactions predict behaviours. Most panel members were born in 1939, and the sample is broadly representative of White, non-Hispanic American men and women who have completed at least a high school education. Siblings cover several adjoining cohorts: they were born primarily between 1930 and 1948. At each interview, about two-thirds of the sample lived in Wisconsin, and about one-third lived elsewhere in the United States or abroad. The data, along with documentation, are publicly accessible and can be accessed at . http://www.ssc.wisc.edu/wlsresearch/. Requests for protected data or assistance should be sent to . wls@ssc.wisc.edu. Published by Oxford University Press on behalf of the International Epidemiological Association. © The Author 2014; all rights reserved.","author":[{"dropping-particle":"","family":"Herd","given":"Pamela","non-dropping-particle":"","parse-names":false,"suffix":""},{"dropping-particle":"","family":"Carr","given":"Deborah","non-dropping-particle":"","parse-names":false,"suffix":""},{"dropping-particle":"","family":"Roan","given":"Carol","non-dropping-particle":"","parse-names":false,"suffix":""}],"container-title":"International Journal of Epidemiology","id":"ITEM-1","issue":"1","issued":{"date-parts":[["2014"]]},"page":"34-41","title":"Cohort profile: Wisconsin longitudinal study (WLS)","type":"article-journal","volume":"43"},"uris":["http://www.mendeley.com/documents/?uuid=d8fb5900-fdfd-4b16-94d2-adc7bdc477c1"]}],"mendeley":{"formattedCitation":"&lt;sup&gt;179&lt;/sup&gt;","plainTextFormattedCitation":"179","previouslyFormattedCitation":"&lt;sup&gt;179&lt;/sup&gt;"},"properties":{"noteIndex":0},"schema":"https://github.com/citation-style-language/schema/raw/master/csl-citation.json"}</w:instrText>
      </w:r>
      <w:r w:rsidRPr="00901194">
        <w:rPr>
          <w:rFonts w:cs="Times New Roman"/>
        </w:rPr>
        <w:fldChar w:fldCharType="separate"/>
      </w:r>
      <w:r w:rsidR="000D0072" w:rsidRPr="00901194">
        <w:rPr>
          <w:rFonts w:cs="Times New Roman"/>
          <w:noProof/>
          <w:vertAlign w:val="superscript"/>
        </w:rPr>
        <w:t>179</w:t>
      </w:r>
      <w:r w:rsidRPr="00901194">
        <w:rPr>
          <w:rFonts w:cs="Times New Roman"/>
        </w:rPr>
        <w:fldChar w:fldCharType="end"/>
      </w:r>
      <w:r w:rsidRPr="00901194">
        <w:rPr>
          <w:rFonts w:cs="Times New Roman"/>
        </w:rPr>
        <w:t>.</w:t>
      </w:r>
      <w:r w:rsidRPr="00901194" w:rsidDel="001060D1">
        <w:rPr>
          <w:rStyle w:val="CommentReference"/>
          <w:rFonts w:eastAsia="SimSun" w:cs="Times New Roman"/>
        </w:rPr>
        <w:t xml:space="preserve"> </w:t>
      </w:r>
      <w:r w:rsidRPr="00901194">
        <w:rPr>
          <w:rFonts w:cs="Times New Roman"/>
        </w:rPr>
        <w:t>Selected human communities showed distinct gut microbiome composition and predicted metabolic capacities when engrafted in mice</w:t>
      </w:r>
      <w:r w:rsidR="007A5AA1" w:rsidRPr="00901194">
        <w:rPr>
          <w:rFonts w:cs="Times New Roman"/>
        </w:rPr>
        <w:fldChar w:fldCharType="begin" w:fldLock="1"/>
      </w:r>
      <w:r w:rsidR="009D364B" w:rsidRPr="00901194">
        <w:rPr>
          <w:rFonts w:cs="Times New Roman"/>
        </w:rPr>
        <w:instrText>ADDIN CSL_CITATION {"citationItems":[{"id":"ITEM-1","itemData":{"DOI":"https://doi.org/10.1186/s40168-021-01061-6","abstract":"Background: There is general consensus that consumption of dietary fermentable fiber improves cardiometabolic health, in part by promoting mutualistic microbes and by increasing production of beneficial metabolites in the distal gut. However, human studies have reported variations in the observed benefits among individuals consuming the same fiber. Several factors likely contribute to this variation, including host genetic and gut microbial differences. We hypothesized that gut microbial metabolism of dietary fiber represents an important and differential factor that modulates how dietary fiber impacts the host. Results: We examined genetically identical gnotobiotic mice harboring two distinct complex gut microbial communities and exposed to four isocaloric diets, each containing different fibers: (i) cellulose, (ii) inulin, (iii) pectin, (iv) a mix of 5 fermentable fibers (assorted fiber). Gut microbiome analysis showed that each transplanted community preserved a core of common taxa across diets that differentiated it from the other community, but there were variations in richness and bacterial taxa abundance within each community among the different diet treatments. Host epigenetic, transcriptional, and metabolomic analyses revealed diet-directed differences between animals colonized with the two communities, including variation in amino acids and lipid pathways that were associated with divergent health outcomes. Conclusion: This study demonstrates that interindividual variation in the gut microbiome is causally linked to differential effects of dietary fiber on host metabolic phenotypes and suggests that a one-fits-all fiber supplementation approach to promote health is unlikely to elicit consistent effects across individuals. Overall, the presented results underscore the importance ofmicrobe-diet interactions on host metabolism and suggest that gut microbes modulate dietary fiber efficacy.","author":[{"dropping-particle":"","family":"Murga-Garrido","given":"Sofia M","non-dropping-particle":"","parse-names":false,"suffix":""},{"dropping-particle":"","family":"Hong","given":"Qilin","non-dropping-particle":"","parse-names":false,"suffix":""},{"dropping-particle":"","family":"Cross","given":"Tzu-wen L","non-dropping-particle":"","parse-names":false,"suffix":""},{"dropping-particle":"","family":"Hutchison","given":"Evan R","non-dropping-particle":"","parse-names":false,"suffix":""},{"dropping-particle":"","family":"Han","given":"Jessica","non-dropping-particle":"","parse-names":false,"suffix":""},{"dropping-particle":"","family":"Thomas","given":"Sydney P","non-dropping-particle":"","parse-names":false,"suffix":""},{"dropping-particle":"","family":"Vivas","given":"Eugenio I","non-dropping-particle":"","parse-names":false,"suffix":""},{"dropping-particle":"","family":"Denu","given":"John","non-dropping-particle":"","parse-names":false,"suffix":""},{"dropping-particle":"","family":"Ceschin","given":"Danilo G","non-dropping-particle":"","parse-names":false,"suffix":""},{"dropping-particle":"","family":"Tang","given":"Zheng-zheng","non-dropping-particle":"","parse-names":false,"suffix":""},{"dropping-particle":"","family":"Rey","given":"Federico E","non-dropping-particle":"","parse-names":false,"suffix":""}],"container-title":"Microbiome","id":"ITEM-1","issue":"117","issued":{"date-parts":[["2021"]]},"page":"1-26","publisher":"Microbiome","title":"Gut microbiome variation modulates the effects of dietary fiber on host metabolism","type":"article-journal","volume":"9"},"uris":["http://www.mendeley.com/documents/?uuid=43345bf4-6b29-4662-8f4f-7dac5fc23ab0"]}],"mendeley":{"formattedCitation":"&lt;sup&gt;180&lt;/sup&gt;","plainTextFormattedCitation":"180","previouslyFormattedCitation":"&lt;sup&gt;180&lt;/sup&gt;"},"properties":{"noteIndex":0},"schema":"https://github.com/citation-style-language/schema/raw/master/csl-citation.json"}</w:instrText>
      </w:r>
      <w:r w:rsidR="007A5AA1" w:rsidRPr="00901194">
        <w:rPr>
          <w:rFonts w:cs="Times New Roman"/>
        </w:rPr>
        <w:fldChar w:fldCharType="separate"/>
      </w:r>
      <w:r w:rsidR="000D0072" w:rsidRPr="00901194">
        <w:rPr>
          <w:rFonts w:cs="Times New Roman"/>
          <w:noProof/>
          <w:vertAlign w:val="superscript"/>
        </w:rPr>
        <w:t>180</w:t>
      </w:r>
      <w:r w:rsidR="007A5AA1" w:rsidRPr="00901194">
        <w:rPr>
          <w:rFonts w:cs="Times New Roman"/>
        </w:rPr>
        <w:fldChar w:fldCharType="end"/>
      </w:r>
      <w:r w:rsidR="00B963D4" w:rsidRPr="00901194">
        <w:rPr>
          <w:rFonts w:cs="Times New Roman"/>
        </w:rPr>
        <w:t xml:space="preserve"> (these human samples were approved for use according to the University of Wisconsin-Madison Institutional Review board, see original publication</w:t>
      </w:r>
      <w:r w:rsidR="00222F4C" w:rsidRPr="00901194">
        <w:rPr>
          <w:rFonts w:cs="Times New Roman"/>
        </w:rPr>
        <w:fldChar w:fldCharType="begin" w:fldLock="1"/>
      </w:r>
      <w:r w:rsidR="008B4CC2" w:rsidRPr="00901194">
        <w:rPr>
          <w:rFonts w:cs="Times New Roman"/>
        </w:rPr>
        <w:instrText>ADDIN CSL_CITATION {"citationItems":[{"id":"ITEM-1","itemData":{"DOI":"https://doi.org/10.1186/s40168-021-01061-6","abstract":"Background: There is general consensus that consumption of dietary fermentable fiber improves cardiometabolic health, in part by promoting mutualistic microbes and by increasing production of beneficial metabolites in the distal gut. However, human studies have reported variations in the observed benefits among individuals consuming the same fiber. Several factors likely contribute to this variation, including host genetic and gut microbial differences. We hypothesized that gut microbial metabolism of dietary fiber represents an important and differential factor that modulates how dietary fiber impacts the host. Results: We examined genetically identical gnotobiotic mice harboring two distinct complex gut microbial communities and exposed to four isocaloric diets, each containing different fibers: (i) cellulose, (ii) inulin, (iii) pectin, (iv) a mix of 5 fermentable fibers (assorted fiber). Gut microbiome analysis showed that each transplanted community preserved a core of common taxa across diets that differentiated it from the other community, but there were variations in richness and bacterial taxa abundance within each community among the different diet treatments. Host epigenetic, transcriptional, and metabolomic analyses revealed diet-directed differences between animals colonized with the two communities, including variation in amino acids and lipid pathways that were associated with divergent health outcomes. Conclusion: This study demonstrates that interindividual variation in the gut microbiome is causally linked to differential effects of dietary fiber on host metabolic phenotypes and suggests that a one-fits-all fiber supplementation approach to promote health is unlikely to elicit consistent effects across individuals. Overall, the presented results underscore the importance ofmicrobe-diet interactions on host metabolism and suggest that gut microbes modulate dietary fiber efficacy.","author":[{"dropping-particle":"","family":"Murga-Garrido","given":"Sofia M","non-dropping-particle":"","parse-names":false,"suffix":""},{"dropping-particle":"","family":"Hong","given":"Qilin","non-dropping-particle":"","parse-names":false,"suffix":""},{"dropping-particle":"","family":"Cross","given":"Tzu-wen L","non-dropping-particle":"","parse-names":false,"suffix":""},{"dropping-particle":"","family":"Hutchison","given":"Evan R","non-dropping-particle":"","parse-names":false,"suffix":""},{"dropping-particle":"","family":"Han","given":"Jessica","non-dropping-particle":"","parse-names":false,"suffix":""},{"dropping-particle":"","family":"Thomas","given":"Sydney P","non-dropping-particle":"","parse-names":false,"suffix":""},{"dropping-particle":"","family":"Vivas","given":"Eugenio I","non-dropping-particle":"","parse-names":false,"suffix":""},{"dropping-particle":"","family":"Denu","given":"John","non-dropping-particle":"","parse-names":false,"suffix":""},{"dropping-particle":"","family":"Ceschin","given":"Danilo G","non-dropping-particle":"","parse-names":false,"suffix":""},{"dropping-particle":"","family":"Tang","given":"Zheng-zheng","non-dropping-particle":"","parse-names":false,"suffix":""},{"dropping-particle":"","family":"Rey","given":"Federico E","non-dropping-particle":"","parse-names":false,"suffix":""}],"container-title":"Microbiome","id":"ITEM-1","issue":"117","issued":{"date-parts":[["2021"]]},"page":"1-26","publisher":"Microbiome","title":"Gut microbiome variation modulates the effects of dietary fiber on host metabolism","type":"article-journal","volume":"9"},"uris":["http://www.mendeley.com/documents/?uuid=43345bf4-6b29-4662-8f4f-7dac5fc23ab0"]}],"mendeley":{"formattedCitation":"&lt;sup&gt;180&lt;/sup&gt;","plainTextFormattedCitation":"180","previouslyFormattedCitation":"&lt;sup&gt;180&lt;/sup&gt;"},"properties":{"noteIndex":0},"schema":"https://github.com/citation-style-language/schema/raw/master/csl-citation.json"}</w:instrText>
      </w:r>
      <w:r w:rsidR="00222F4C" w:rsidRPr="00901194">
        <w:rPr>
          <w:rFonts w:cs="Times New Roman"/>
        </w:rPr>
        <w:fldChar w:fldCharType="separate"/>
      </w:r>
      <w:r w:rsidR="00222F4C" w:rsidRPr="00901194">
        <w:rPr>
          <w:rFonts w:cs="Times New Roman"/>
          <w:noProof/>
          <w:vertAlign w:val="superscript"/>
        </w:rPr>
        <w:t>180</w:t>
      </w:r>
      <w:r w:rsidR="00222F4C" w:rsidRPr="00901194">
        <w:rPr>
          <w:rFonts w:cs="Times New Roman"/>
        </w:rPr>
        <w:fldChar w:fldCharType="end"/>
      </w:r>
      <w:r w:rsidR="00B963D4" w:rsidRPr="00901194">
        <w:rPr>
          <w:rFonts w:cs="Times New Roman"/>
        </w:rPr>
        <w:t xml:space="preserve"> for full details)</w:t>
      </w:r>
      <w:r w:rsidRPr="00901194">
        <w:rPr>
          <w:rFonts w:cs="Times New Roman"/>
        </w:rPr>
        <w:t>. For each community, 2-3 batches of animals were colonized at different times. Mice were fed with Teklad global 18% protein rodent diet (chow) a week prior to colonization and for two weeks following exposure to microbes to allow for stabilization. Following this period, mice colonized with each community were divided into three groups (Fig</w:t>
      </w:r>
      <w:r w:rsidR="009042BD" w:rsidRPr="00901194">
        <w:rPr>
          <w:rFonts w:cs="Times New Roman"/>
        </w:rPr>
        <w:t>ure</w:t>
      </w:r>
      <w:r w:rsidRPr="00901194">
        <w:rPr>
          <w:rFonts w:cs="Times New Roman"/>
        </w:rPr>
        <w:t xml:space="preserve"> </w:t>
      </w:r>
      <w:r w:rsidR="009042BD" w:rsidRPr="00901194">
        <w:rPr>
          <w:rFonts w:cs="Times New Roman"/>
        </w:rPr>
        <w:t>3.</w:t>
      </w:r>
      <w:r w:rsidRPr="00901194">
        <w:rPr>
          <w:rFonts w:cs="Times New Roman"/>
        </w:rPr>
        <w:t>1) and fed one of three isocaloric diets that differed on the type of fiber-rich whole food they contained: (i) whole grains, oats and quinoa trim; (ii) vegetables, carrots and broccoli; or (iii) legumes, black beans and pinto beans (</w:t>
      </w:r>
      <w:r w:rsidRPr="00901194">
        <w:rPr>
          <w:rFonts w:cs="Times New Roman"/>
          <w:i/>
          <w:iCs/>
        </w:rPr>
        <w:t>n</w:t>
      </w:r>
      <w:r w:rsidRPr="00901194">
        <w:rPr>
          <w:rFonts w:cs="Times New Roman"/>
        </w:rPr>
        <w:t xml:space="preserve"> = 9-</w:t>
      </w:r>
      <w:r w:rsidRPr="00901194">
        <w:rPr>
          <w:rFonts w:cs="Times New Roman"/>
        </w:rPr>
        <w:softHyphen/>
        <w:t>10 mice/community/diet). These foods were selected as they represent common sources of dietary fiber in the US</w:t>
      </w:r>
      <w:r w:rsidRPr="00901194">
        <w:rPr>
          <w:rFonts w:cs="Times New Roman"/>
        </w:rPr>
        <w:fldChar w:fldCharType="begin" w:fldLock="1"/>
      </w:r>
      <w:r w:rsidR="009D364B" w:rsidRPr="00901194">
        <w:rPr>
          <w:rFonts w:cs="Times New Roman"/>
        </w:rPr>
        <w:instrText>ADDIN CSL_CITATION {"citationItems":[{"id":"ITEM-1","itemData":{"DOI":"10.1006/jfca.2002.1096","abstract":"As part ofthe continuous efforts ofthe Nutrient Data Laboratory, Agricultural Research Service (ARS), USDA in updating and expanding the carbohydrate data in its database, foods were selected based on dietary fiber content and frequency of consumption. They were analyzed by a commercial testing laboratory under a USDA contract. Individual sugars, soluble and insoluble dietary fiber values of70 foods in six food groups were reported. Foods included 14 baked products, 10 cereal grains and pastas, 19 fruits, seven legumes, 10 cooked vegetables, and 10 raw vegetables. Except for cereal grains/pasta and legumes, most other foods contained fructose and glucose; sucrose was found in almost all except baked products, which were the most predominant source ofmaltose. Fruits contained the most total sugar and cereal, grains/pasta the least. Legumes contained the highest amount oftotal dietary fiber. All these commonly consumed foods, with the exception of cooked white rice, contained both soluble and insoluble dietary fiber. The percent ofsoluble and insoluble fiber varied across food groups, even within each group. Comparison ofdata from the commercial laboratory with those ofthe same food analyzed in the Food Composition Laboratory using different methods indicated there was good agreement between high-performance liquid chromatographic and gas chromato- graphic methods for the determination of individual sugars. Total dietary fiber as calculated from the sum of soluble and insoluble fiber according to AOAC Method 991.43 and total dietary fiber from direct analysis using a single enzyme-gravimetric method showed high variability (r2o0.8) for three of the six food groups, but good agreement for others.","author":[{"dropping-particle":"","family":"Li","given":"Betty W","non-dropping-particle":"","parse-names":false,"suffix":""},{"dropping-particle":"","family":"Andrews","given":"Karen W","non-dropping-particle":"","parse-names":false,"suffix":""},{"dropping-particle":"","family":"Pehrsson","given":"Pamela R","non-dropping-particle":"","parse-names":false,"suffix":""}],"container-title":"Journal of Food Composition and Analysis","id":"ITEM-1","issue":"6","issued":{"date-parts":[["2002"]]},"page":"715-723","title":"Individual Sugars, Soluble, and Insoluble Dietary Fiber Contents of 70 High Consumption Foods","type":"article-journal","volume":"15"},"uris":["http://www.mendeley.com/documents/?uuid=89a3c1fc-ec91-4db3-b809-f91183877506"]},{"id":"ITEM-2","itemData":{"author":[{"dropping-particle":"","family":"Lucier","given":"G","non-dropping-particle":"","parse-names":false,"suffix":""},{"dropping-particle":"","family":"Lin","given":"B H","non-dropping-particle":"","parse-names":false,"suffix":""},{"dropping-particle":"","family":"Allshouse","given":"J","non-dropping-particle":"","parse-names":false,"suffix":""},{"dropping-particle":"","family":"Kantor","given":"L S","non-dropping-particle":"","parse-names":false,"suffix":""}],"container-title":"Small","id":"ITEM-2","issued":{"date-parts":[["2000"]]},"page":"2-5","title":"Factors affecting dry bean consumption in the United States","type":"article-journal","volume":"19"},"uris":["http://www.mendeley.com/documents/?uuid=49715114-11cd-4e30-b712-ce9a7a0b5cf9"]},{"id":"ITEM-3","itemData":{"abstract":"Four varieties of an Andean indigenous crop, quinoa (Chenopodium quinoa Willd.), were evaluated as a source of dietary fiber, phenolic compounds and antioxidant activity. The crops were processed by extrusion-cooking and the final products were analyzed to determine the dietary fiber, total polyphenols, radical scavenging activity, and in vitro digestibility of starch and protein. There were no significant differences in the contents of total dietary fiber between varieties of quinoa. In all cases, the contents of total and insoluble dietary fiber decreased during the extrusion process. At the same time, the content of soluble dietary fiber increased. The content of total phenolic compounds and the radical scavenging activity increased during the extrusion process in the case of all 4 varieties. There were significant differences between the varieties and the content of total polyphenols. The in vitro protein digestibility of quinoa varieties was between 76.3 and 80.5% and the in vitro starch digestibility was between 65.1 and 68.7%. our study demonstrates that quinoa can be considered a good source of dietary fiber, polyphenols and other antioxidant compounds and that extrusion improves the nutritional value.","author":[{"dropping-particle":"","family":"Repo-Carrasco-Valencia","given":"Ritva Ann-Mari","non-dropping-particle":"","parse-names":false,"suffix":""},{"dropping-particle":"","family":"Serna","given":"Lesli Astuhuaman","non-dropping-particle":"","parse-names":false,"suffix":""}],"container-title":"Food Science and Technology","id":"ITEM-3","issue":"1","issued":{"date-parts":[["2011"]]},"page":"225-230","title":"Quinoa (Chenopodium quinoa, Willd.) as a source of dietary fiber and other functional components","type":"article-journal","volume":"31"},"uris":["http://www.mendeley.com/documents/?uuid=8707eda7-b36a-475d-8a57-925b4e5cf65c"]}],"mendeley":{"formattedCitation":"&lt;sup&gt;181–183&lt;/sup&gt;","plainTextFormattedCitation":"181–183","previouslyFormattedCitation":"&lt;sup&gt;181–183&lt;/sup&gt;"},"properties":{"noteIndex":0},"schema":"https://github.com/citation-style-language/schema/raw/master/csl-citation.json"}</w:instrText>
      </w:r>
      <w:r w:rsidRPr="00901194">
        <w:rPr>
          <w:rFonts w:cs="Times New Roman"/>
        </w:rPr>
        <w:fldChar w:fldCharType="separate"/>
      </w:r>
      <w:r w:rsidR="000D0072" w:rsidRPr="00901194">
        <w:rPr>
          <w:rFonts w:cs="Times New Roman"/>
          <w:noProof/>
          <w:vertAlign w:val="superscript"/>
        </w:rPr>
        <w:t>181–183</w:t>
      </w:r>
      <w:r w:rsidRPr="00901194">
        <w:rPr>
          <w:rFonts w:cs="Times New Roman"/>
        </w:rPr>
        <w:fldChar w:fldCharType="end"/>
      </w:r>
      <w:r w:rsidRPr="00901194">
        <w:rPr>
          <w:rFonts w:cs="Times New Roman"/>
        </w:rPr>
        <w:t xml:space="preserve"> and were included in the mouse diet as dried powde</w:t>
      </w:r>
      <w:r w:rsidR="002D17D7" w:rsidRPr="00901194">
        <w:rPr>
          <w:rFonts w:cs="Times New Roman"/>
        </w:rPr>
        <w:t>r</w:t>
      </w:r>
      <w:r w:rsidRPr="00901194">
        <w:rPr>
          <w:rFonts w:cs="Times New Roman"/>
        </w:rPr>
        <w:t>.  Diets provided to the mice also contained a relatively high fat content (45% kcal from diet) and 1% cholesterol to promote metabolic disease</w:t>
      </w:r>
      <w:r w:rsidRPr="00901194">
        <w:rPr>
          <w:rFonts w:cs="Times New Roman"/>
        </w:rPr>
        <w:fldChar w:fldCharType="begin" w:fldLock="1"/>
      </w:r>
      <w:r w:rsidR="009D364B" w:rsidRPr="00901194">
        <w:rPr>
          <w:rFonts w:cs="Times New Roman"/>
        </w:rPr>
        <w:instrText>ADDIN CSL_CITATION {"citationItems":[{"id":"ITEM-1","itemData":{"DOI":"10.1111/hepr.12358","abstract":"Aim: The development of fibrosis is considered an important phase in the progress of non-alcoholic steatohepatitis (NASH) towards the end stage of liver disease, including cirrhosis. However, few small animal models can display NASH- associated fibrosis. We aimed to establish a dietary model of NASH with rapid progression to fibrosis using genetically normal rats. Methods: Nine-week-old male Sprague–Dawley rats were fed with normal, high-fat (HF), or two types of high-fat and high-cholesterol (HFC) diets for 9 weeks (n = 5 each). All HFC diets contained 1.25% or 2.5% cholesterol. Results: The rats fed with the HF diet developed mild steato- sis and inflammation without fibrosis at 18 weeks of age, whereas all rats given the HFC diet developed obvious steato- sis and inflammation with hepatocyte ballooning and fibrosis. Two of five (40%) rats given the HFC diet containing 2.5% cho- lesterol progressed to liver cirrhosis. Hepatic total cholesterol levels were significantly higher in rats given the HFC, than the normal or HF diets. The HFC diet significantly and dose- dependently decreased microsomal triglyceride transfer protein expression. Cholesterol tended to suppress carnitine palmitoyltransferase activity and adenosine triphosphate- binding cassette transporter G5 expression. Adding choles- terol to the HF diet modified hepatic lipid metabolism at the molecular level. Conclusion: The HFC diet induced hepatic features of NASH and eventually progressed cirrhosis in Sprague–Dawley rats within 9 weeks. Key","author":[{"dropping-particle":"","family":"Ichimura","given":"Mayuko","non-dropping-particle":"","parse-names":false,"suffix":""},{"dropping-particle":"","family":"Kawase","given":"Miku","non-dropping-particle":"","parse-names":false,"suffix":""},{"dropping-particle":"","family":"Masuzumi","given":"Miki","non-dropping-particle":"","parse-names":false,"suffix":""},{"dropping-particle":"","family":"Sakaki","given":"Mika","non-dropping-particle":"","parse-names":false,"suffix":""},{"dropping-particle":"","family":"Nagata","given":"Yasuo","non-dropping-particle":"","parse-names":false,"suffix":""},{"dropping-particle":"","family":"Tanaka","given":"Kazunari","non-dropping-particle":"","parse-names":false,"suffix":""},{"dropping-particle":"","family":"Suruga","given":"Kazuhito","non-dropping-particle":"","parse-names":false,"suffix":""},{"dropping-particle":"","family":"Tamaru","given":"Shizuka","non-dropping-particle":"","parse-names":false,"suffix":""},{"dropping-particle":"","family":"Kato","given":"Shigeko","non-dropping-particle":"","parse-names":false,"suffix":""},{"dropping-particle":"","family":"Tsuneyama","given":"Koichi","non-dropping-particle":"","parse-names":false,"suffix":""},{"dropping-particle":"","family":"Omagari","given":"Katsuhisa","non-dropping-particle":"","parse-names":false,"suffix":""}],"container-title":"Hepatology Research","id":"ITEM-1","issued":{"date-parts":[["2015"]]},"page":"458-469","title":"High‐fat and high‐cholesterol diet rapidly induces non‐alcoholic steatohepatitis with advanced fibrosis in S prague–D awley rats","type":"article-journal","volume":"45"},"uris":["http://www.mendeley.com/documents/?uuid=9ea05f5b-d43e-4c4c-8a68-2a3e5ed50dda"]},{"id":"ITEM-2","itemData":{"DOI":"10.1007/s00394-012-0418-1","author":[{"dropping-particle":"","family":"Kratz","given":"Mario","non-dropping-particle":"","parse-names":false,"suffix":""},{"dropping-particle":"","family":"Baars","given":"Ton","non-dropping-particle":"","parse-names":false,"suffix":""},{"dropping-particle":"","family":"Guyenet","given":"Stephan","non-dropping-particle":"","parse-names":false,"suffix":""}],"container-title":"European Journal of Nutrition","id":"ITEM-2","issued":{"date-parts":[["2013"]]},"page":"1-24","title":"The relationship between high-fat dairy consumption and obesity, cardiovascular, and metabolic disease","type":"article-journal","volume":"52"},"uris":["http://www.mendeley.com/documents/?uuid=afdf5185-4ae8-4581-beca-83e7bced2b1f"]}],"mendeley":{"formattedCitation":"&lt;sup&gt;184,185&lt;/sup&gt;","plainTextFormattedCitation":"184,185","previouslyFormattedCitation":"&lt;sup&gt;184,185&lt;/sup&gt;"},"properties":{"noteIndex":0},"schema":"https://github.com/citation-style-language/schema/raw/master/csl-citation.json"}</w:instrText>
      </w:r>
      <w:r w:rsidRPr="00901194">
        <w:rPr>
          <w:rFonts w:cs="Times New Roman"/>
        </w:rPr>
        <w:fldChar w:fldCharType="separate"/>
      </w:r>
      <w:r w:rsidR="000D0072" w:rsidRPr="00901194">
        <w:rPr>
          <w:rFonts w:cs="Times New Roman"/>
          <w:noProof/>
          <w:vertAlign w:val="superscript"/>
        </w:rPr>
        <w:t>184,185</w:t>
      </w:r>
      <w:r w:rsidRPr="00901194">
        <w:rPr>
          <w:rFonts w:cs="Times New Roman"/>
        </w:rPr>
        <w:fldChar w:fldCharType="end"/>
      </w:r>
      <w:r w:rsidRPr="00901194">
        <w:rPr>
          <w:rFonts w:cs="Times New Roman"/>
        </w:rPr>
        <w:t xml:space="preserve">. Mice were maintained in these experimental diets for 12 weeks. Table </w:t>
      </w:r>
      <w:r w:rsidR="009042BD" w:rsidRPr="00901194">
        <w:rPr>
          <w:rFonts w:cs="Times New Roman"/>
        </w:rPr>
        <w:t>3.</w:t>
      </w:r>
      <w:r w:rsidRPr="00901194">
        <w:rPr>
          <w:rFonts w:cs="Times New Roman"/>
        </w:rPr>
        <w:t xml:space="preserve">1 shows composition for all diets used in the study. </w:t>
      </w:r>
    </w:p>
    <w:tbl>
      <w:tblPr>
        <w:tblW w:w="5485" w:type="dxa"/>
        <w:tblLook w:val="04A0" w:firstRow="1" w:lastRow="0" w:firstColumn="1" w:lastColumn="0" w:noHBand="0" w:noVBand="1"/>
      </w:tblPr>
      <w:tblGrid>
        <w:gridCol w:w="4240"/>
        <w:gridCol w:w="1245"/>
      </w:tblGrid>
      <w:tr w:rsidR="009042BD" w:rsidRPr="00901194" w14:paraId="0CA4E18A" w14:textId="77777777" w:rsidTr="00975211">
        <w:trPr>
          <w:trHeight w:val="288"/>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A04D5" w14:textId="77777777" w:rsidR="009042BD" w:rsidRPr="00901194" w:rsidRDefault="009042BD" w:rsidP="009042BD">
            <w:pPr>
              <w:spacing w:after="0" w:line="240" w:lineRule="auto"/>
              <w:rPr>
                <w:rFonts w:eastAsia="Times New Roman" w:cs="Times New Roman"/>
                <w:b/>
                <w:bCs/>
                <w:color w:val="000000"/>
                <w:sz w:val="22"/>
              </w:rPr>
            </w:pPr>
            <w:r w:rsidRPr="00901194">
              <w:rPr>
                <w:rFonts w:eastAsia="Times New Roman" w:cs="Times New Roman"/>
                <w:b/>
                <w:bCs/>
                <w:color w:val="000000"/>
                <w:sz w:val="22"/>
              </w:rPr>
              <w:t>Macronutrients</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14:paraId="1A280718" w14:textId="77777777" w:rsidR="009042BD" w:rsidRPr="00901194" w:rsidRDefault="009042BD" w:rsidP="009042BD">
            <w:pPr>
              <w:spacing w:after="0" w:line="240" w:lineRule="auto"/>
              <w:rPr>
                <w:rFonts w:eastAsia="Times New Roman" w:cs="Times New Roman"/>
                <w:b/>
                <w:bCs/>
                <w:color w:val="000000"/>
                <w:sz w:val="22"/>
              </w:rPr>
            </w:pPr>
            <w:r w:rsidRPr="00901194">
              <w:rPr>
                <w:rFonts w:eastAsia="Times New Roman" w:cs="Times New Roman"/>
                <w:b/>
                <w:bCs/>
                <w:color w:val="000000"/>
                <w:sz w:val="22"/>
              </w:rPr>
              <w:t xml:space="preserve"> Contents</w:t>
            </w:r>
          </w:p>
        </w:tc>
      </w:tr>
      <w:tr w:rsidR="009042BD" w:rsidRPr="00901194" w14:paraId="5ADDBB8F" w14:textId="77777777" w:rsidTr="00975211">
        <w:trPr>
          <w:trHeight w:val="288"/>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2C6D18FE" w14:textId="77777777" w:rsidR="009042BD" w:rsidRPr="00901194" w:rsidRDefault="009042BD" w:rsidP="009042BD">
            <w:pPr>
              <w:spacing w:after="0" w:line="240" w:lineRule="auto"/>
              <w:rPr>
                <w:rFonts w:eastAsia="Times New Roman" w:cs="Times New Roman"/>
                <w:color w:val="000000"/>
                <w:sz w:val="22"/>
              </w:rPr>
            </w:pPr>
            <w:r w:rsidRPr="00901194">
              <w:rPr>
                <w:rFonts w:eastAsia="Times New Roman" w:cs="Times New Roman"/>
                <w:color w:val="000000"/>
                <w:sz w:val="22"/>
              </w:rPr>
              <w:t xml:space="preserve">Crude Protein </w:t>
            </w:r>
          </w:p>
        </w:tc>
        <w:tc>
          <w:tcPr>
            <w:tcW w:w="1245" w:type="dxa"/>
            <w:tcBorders>
              <w:top w:val="nil"/>
              <w:left w:val="nil"/>
              <w:bottom w:val="single" w:sz="4" w:space="0" w:color="auto"/>
              <w:right w:val="single" w:sz="4" w:space="0" w:color="auto"/>
            </w:tcBorders>
            <w:shd w:val="clear" w:color="auto" w:fill="auto"/>
            <w:noWrap/>
            <w:vAlign w:val="bottom"/>
            <w:hideMark/>
          </w:tcPr>
          <w:p w14:paraId="7064820A" w14:textId="77777777" w:rsidR="009042BD" w:rsidRPr="00901194" w:rsidRDefault="009042BD" w:rsidP="009042BD">
            <w:pPr>
              <w:spacing w:after="0" w:line="240" w:lineRule="auto"/>
              <w:jc w:val="right"/>
              <w:rPr>
                <w:rFonts w:eastAsia="Times New Roman" w:cs="Times New Roman"/>
                <w:color w:val="000000"/>
                <w:sz w:val="22"/>
              </w:rPr>
            </w:pPr>
            <w:r w:rsidRPr="00901194">
              <w:rPr>
                <w:rFonts w:eastAsia="Times New Roman" w:cs="Times New Roman"/>
                <w:color w:val="000000"/>
                <w:sz w:val="22"/>
              </w:rPr>
              <w:t>18.60%</w:t>
            </w:r>
          </w:p>
        </w:tc>
      </w:tr>
      <w:tr w:rsidR="009042BD" w:rsidRPr="00901194" w14:paraId="317B153A" w14:textId="77777777" w:rsidTr="00975211">
        <w:trPr>
          <w:trHeight w:val="288"/>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07713598" w14:textId="77777777" w:rsidR="009042BD" w:rsidRPr="00901194" w:rsidRDefault="009042BD" w:rsidP="009042BD">
            <w:pPr>
              <w:spacing w:after="0" w:line="240" w:lineRule="auto"/>
              <w:rPr>
                <w:rFonts w:eastAsia="Times New Roman" w:cs="Times New Roman"/>
                <w:color w:val="000000"/>
                <w:sz w:val="22"/>
              </w:rPr>
            </w:pPr>
            <w:r w:rsidRPr="00901194">
              <w:rPr>
                <w:rFonts w:eastAsia="Times New Roman" w:cs="Times New Roman"/>
                <w:color w:val="000000"/>
                <w:sz w:val="22"/>
              </w:rPr>
              <w:t xml:space="preserve">Fat </w:t>
            </w:r>
          </w:p>
        </w:tc>
        <w:tc>
          <w:tcPr>
            <w:tcW w:w="1245" w:type="dxa"/>
            <w:tcBorders>
              <w:top w:val="nil"/>
              <w:left w:val="nil"/>
              <w:bottom w:val="single" w:sz="4" w:space="0" w:color="auto"/>
              <w:right w:val="single" w:sz="4" w:space="0" w:color="auto"/>
            </w:tcBorders>
            <w:shd w:val="clear" w:color="auto" w:fill="auto"/>
            <w:noWrap/>
            <w:vAlign w:val="bottom"/>
            <w:hideMark/>
          </w:tcPr>
          <w:p w14:paraId="1D21B720" w14:textId="77777777" w:rsidR="009042BD" w:rsidRPr="00901194" w:rsidRDefault="009042BD" w:rsidP="009042BD">
            <w:pPr>
              <w:spacing w:after="0" w:line="240" w:lineRule="auto"/>
              <w:jc w:val="right"/>
              <w:rPr>
                <w:rFonts w:eastAsia="Times New Roman" w:cs="Times New Roman"/>
                <w:color w:val="000000"/>
                <w:sz w:val="22"/>
              </w:rPr>
            </w:pPr>
            <w:r w:rsidRPr="00901194">
              <w:rPr>
                <w:rFonts w:eastAsia="Times New Roman" w:cs="Times New Roman"/>
                <w:color w:val="000000"/>
                <w:sz w:val="22"/>
              </w:rPr>
              <w:t>6.20%</w:t>
            </w:r>
          </w:p>
        </w:tc>
      </w:tr>
      <w:tr w:rsidR="009042BD" w:rsidRPr="00901194" w14:paraId="664FD782" w14:textId="77777777" w:rsidTr="00975211">
        <w:trPr>
          <w:trHeight w:val="288"/>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59EA1A4D" w14:textId="77777777" w:rsidR="009042BD" w:rsidRPr="00901194" w:rsidRDefault="009042BD" w:rsidP="009042BD">
            <w:pPr>
              <w:spacing w:after="0" w:line="240" w:lineRule="auto"/>
              <w:rPr>
                <w:rFonts w:eastAsia="Times New Roman" w:cs="Times New Roman"/>
                <w:color w:val="000000"/>
                <w:sz w:val="22"/>
              </w:rPr>
            </w:pPr>
            <w:r w:rsidRPr="00901194">
              <w:rPr>
                <w:rFonts w:eastAsia="Times New Roman" w:cs="Times New Roman"/>
                <w:color w:val="000000"/>
                <w:sz w:val="22"/>
              </w:rPr>
              <w:t xml:space="preserve">Carbohydrate </w:t>
            </w:r>
          </w:p>
        </w:tc>
        <w:tc>
          <w:tcPr>
            <w:tcW w:w="1245" w:type="dxa"/>
            <w:tcBorders>
              <w:top w:val="nil"/>
              <w:left w:val="nil"/>
              <w:bottom w:val="single" w:sz="4" w:space="0" w:color="auto"/>
              <w:right w:val="single" w:sz="4" w:space="0" w:color="auto"/>
            </w:tcBorders>
            <w:shd w:val="clear" w:color="auto" w:fill="auto"/>
            <w:noWrap/>
            <w:vAlign w:val="bottom"/>
            <w:hideMark/>
          </w:tcPr>
          <w:p w14:paraId="04FFD9B6" w14:textId="77777777" w:rsidR="009042BD" w:rsidRPr="00901194" w:rsidRDefault="009042BD" w:rsidP="009042BD">
            <w:pPr>
              <w:spacing w:after="0" w:line="240" w:lineRule="auto"/>
              <w:jc w:val="right"/>
              <w:rPr>
                <w:rFonts w:eastAsia="Times New Roman" w:cs="Times New Roman"/>
                <w:color w:val="000000"/>
                <w:sz w:val="22"/>
              </w:rPr>
            </w:pPr>
            <w:r w:rsidRPr="00901194">
              <w:rPr>
                <w:rFonts w:eastAsia="Times New Roman" w:cs="Times New Roman"/>
                <w:color w:val="000000"/>
                <w:sz w:val="22"/>
              </w:rPr>
              <w:t>44.20%</w:t>
            </w:r>
          </w:p>
        </w:tc>
      </w:tr>
      <w:tr w:rsidR="009042BD" w:rsidRPr="00901194" w14:paraId="1EE44CB3" w14:textId="77777777" w:rsidTr="00975211">
        <w:trPr>
          <w:trHeight w:val="288"/>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200B7F81" w14:textId="77777777" w:rsidR="009042BD" w:rsidRPr="00901194" w:rsidRDefault="009042BD" w:rsidP="009042BD">
            <w:pPr>
              <w:spacing w:after="0" w:line="240" w:lineRule="auto"/>
              <w:rPr>
                <w:rFonts w:eastAsia="Times New Roman" w:cs="Times New Roman"/>
                <w:color w:val="000000"/>
                <w:sz w:val="22"/>
              </w:rPr>
            </w:pPr>
            <w:r w:rsidRPr="00901194">
              <w:rPr>
                <w:rFonts w:eastAsia="Times New Roman" w:cs="Times New Roman"/>
                <w:color w:val="000000"/>
                <w:sz w:val="22"/>
              </w:rPr>
              <w:t xml:space="preserve">Crude Fiber </w:t>
            </w:r>
          </w:p>
        </w:tc>
        <w:tc>
          <w:tcPr>
            <w:tcW w:w="1245" w:type="dxa"/>
            <w:tcBorders>
              <w:top w:val="nil"/>
              <w:left w:val="nil"/>
              <w:bottom w:val="single" w:sz="4" w:space="0" w:color="auto"/>
              <w:right w:val="single" w:sz="4" w:space="0" w:color="auto"/>
            </w:tcBorders>
            <w:shd w:val="clear" w:color="auto" w:fill="auto"/>
            <w:noWrap/>
            <w:vAlign w:val="bottom"/>
            <w:hideMark/>
          </w:tcPr>
          <w:p w14:paraId="74273334" w14:textId="77777777" w:rsidR="009042BD" w:rsidRPr="00901194" w:rsidRDefault="009042BD" w:rsidP="009042BD">
            <w:pPr>
              <w:spacing w:after="0" w:line="240" w:lineRule="auto"/>
              <w:jc w:val="right"/>
              <w:rPr>
                <w:rFonts w:eastAsia="Times New Roman" w:cs="Times New Roman"/>
                <w:color w:val="000000"/>
                <w:sz w:val="22"/>
              </w:rPr>
            </w:pPr>
            <w:r w:rsidRPr="00901194">
              <w:rPr>
                <w:rFonts w:eastAsia="Times New Roman" w:cs="Times New Roman"/>
                <w:color w:val="000000"/>
                <w:sz w:val="22"/>
              </w:rPr>
              <w:t>3.50%</w:t>
            </w:r>
          </w:p>
        </w:tc>
      </w:tr>
      <w:tr w:rsidR="009042BD" w:rsidRPr="00901194" w14:paraId="1B5D715D" w14:textId="77777777" w:rsidTr="00975211">
        <w:trPr>
          <w:trHeight w:val="288"/>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375F3DC7" w14:textId="77777777" w:rsidR="009042BD" w:rsidRPr="00901194" w:rsidRDefault="009042BD" w:rsidP="009042BD">
            <w:pPr>
              <w:spacing w:after="0" w:line="240" w:lineRule="auto"/>
              <w:rPr>
                <w:rFonts w:eastAsia="Times New Roman" w:cs="Times New Roman"/>
                <w:color w:val="000000"/>
                <w:sz w:val="22"/>
              </w:rPr>
            </w:pPr>
            <w:r w:rsidRPr="00901194">
              <w:rPr>
                <w:rFonts w:eastAsia="Times New Roman" w:cs="Times New Roman"/>
                <w:color w:val="000000"/>
                <w:sz w:val="22"/>
              </w:rPr>
              <w:t xml:space="preserve">Energy Density </w:t>
            </w:r>
          </w:p>
        </w:tc>
        <w:tc>
          <w:tcPr>
            <w:tcW w:w="1245" w:type="dxa"/>
            <w:tcBorders>
              <w:top w:val="nil"/>
              <w:left w:val="nil"/>
              <w:bottom w:val="single" w:sz="4" w:space="0" w:color="auto"/>
              <w:right w:val="single" w:sz="4" w:space="0" w:color="auto"/>
            </w:tcBorders>
            <w:shd w:val="clear" w:color="auto" w:fill="auto"/>
            <w:noWrap/>
            <w:vAlign w:val="bottom"/>
            <w:hideMark/>
          </w:tcPr>
          <w:p w14:paraId="5BD1D176" w14:textId="77777777" w:rsidR="009042BD" w:rsidRPr="00901194" w:rsidRDefault="009042BD" w:rsidP="00975211">
            <w:pPr>
              <w:spacing w:after="0" w:line="240" w:lineRule="auto"/>
              <w:jc w:val="right"/>
              <w:rPr>
                <w:rFonts w:eastAsia="Times New Roman" w:cs="Times New Roman"/>
                <w:color w:val="000000"/>
                <w:sz w:val="22"/>
              </w:rPr>
            </w:pPr>
            <w:r w:rsidRPr="00901194">
              <w:rPr>
                <w:rFonts w:eastAsia="Times New Roman" w:cs="Times New Roman"/>
                <w:color w:val="000000"/>
                <w:sz w:val="22"/>
              </w:rPr>
              <w:t>3.1 kcal/g</w:t>
            </w:r>
          </w:p>
        </w:tc>
      </w:tr>
      <w:tr w:rsidR="009042BD" w:rsidRPr="00901194" w14:paraId="23DAC474" w14:textId="77777777" w:rsidTr="00975211">
        <w:trPr>
          <w:trHeight w:val="288"/>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6AD2B9ED" w14:textId="77777777" w:rsidR="009042BD" w:rsidRPr="00901194" w:rsidRDefault="009042BD" w:rsidP="009042BD">
            <w:pPr>
              <w:spacing w:after="0" w:line="240" w:lineRule="auto"/>
              <w:rPr>
                <w:rFonts w:eastAsia="Times New Roman" w:cs="Times New Roman"/>
                <w:color w:val="000000"/>
                <w:sz w:val="22"/>
              </w:rPr>
            </w:pPr>
            <w:r w:rsidRPr="00901194">
              <w:rPr>
                <w:rFonts w:eastAsia="Times New Roman" w:cs="Times New Roman"/>
                <w:color w:val="000000"/>
                <w:sz w:val="22"/>
              </w:rPr>
              <w:t xml:space="preserve">Calories from Protein </w:t>
            </w:r>
          </w:p>
        </w:tc>
        <w:tc>
          <w:tcPr>
            <w:tcW w:w="1245" w:type="dxa"/>
            <w:tcBorders>
              <w:top w:val="nil"/>
              <w:left w:val="nil"/>
              <w:bottom w:val="single" w:sz="4" w:space="0" w:color="auto"/>
              <w:right w:val="single" w:sz="4" w:space="0" w:color="auto"/>
            </w:tcBorders>
            <w:shd w:val="clear" w:color="auto" w:fill="auto"/>
            <w:noWrap/>
            <w:vAlign w:val="bottom"/>
            <w:hideMark/>
          </w:tcPr>
          <w:p w14:paraId="31339B54" w14:textId="77777777" w:rsidR="009042BD" w:rsidRPr="00901194" w:rsidRDefault="009042BD" w:rsidP="009042BD">
            <w:pPr>
              <w:spacing w:after="0" w:line="240" w:lineRule="auto"/>
              <w:jc w:val="right"/>
              <w:rPr>
                <w:rFonts w:eastAsia="Times New Roman" w:cs="Times New Roman"/>
                <w:color w:val="000000"/>
                <w:sz w:val="22"/>
              </w:rPr>
            </w:pPr>
            <w:r w:rsidRPr="00901194">
              <w:rPr>
                <w:rFonts w:eastAsia="Times New Roman" w:cs="Times New Roman"/>
                <w:color w:val="000000"/>
                <w:sz w:val="22"/>
              </w:rPr>
              <w:t>24%</w:t>
            </w:r>
          </w:p>
        </w:tc>
      </w:tr>
      <w:tr w:rsidR="009042BD" w:rsidRPr="00901194" w14:paraId="4B385E2A" w14:textId="77777777" w:rsidTr="00975211">
        <w:trPr>
          <w:trHeight w:val="288"/>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1AAF4EF0" w14:textId="77777777" w:rsidR="009042BD" w:rsidRPr="00901194" w:rsidRDefault="009042BD" w:rsidP="009042BD">
            <w:pPr>
              <w:spacing w:after="0" w:line="240" w:lineRule="auto"/>
              <w:rPr>
                <w:rFonts w:eastAsia="Times New Roman" w:cs="Times New Roman"/>
                <w:color w:val="000000"/>
                <w:sz w:val="22"/>
              </w:rPr>
            </w:pPr>
            <w:r w:rsidRPr="00901194">
              <w:rPr>
                <w:rFonts w:eastAsia="Times New Roman" w:cs="Times New Roman"/>
                <w:color w:val="000000"/>
                <w:sz w:val="22"/>
              </w:rPr>
              <w:t>Calories from Fat 18%</w:t>
            </w:r>
          </w:p>
        </w:tc>
        <w:tc>
          <w:tcPr>
            <w:tcW w:w="1245" w:type="dxa"/>
            <w:tcBorders>
              <w:top w:val="nil"/>
              <w:left w:val="nil"/>
              <w:bottom w:val="single" w:sz="4" w:space="0" w:color="auto"/>
              <w:right w:val="single" w:sz="4" w:space="0" w:color="auto"/>
            </w:tcBorders>
            <w:shd w:val="clear" w:color="auto" w:fill="auto"/>
            <w:noWrap/>
            <w:vAlign w:val="bottom"/>
            <w:hideMark/>
          </w:tcPr>
          <w:p w14:paraId="52741AE3" w14:textId="77777777" w:rsidR="009042BD" w:rsidRPr="00901194" w:rsidRDefault="009042BD" w:rsidP="009042BD">
            <w:pPr>
              <w:spacing w:after="0" w:line="240" w:lineRule="auto"/>
              <w:jc w:val="right"/>
              <w:rPr>
                <w:rFonts w:eastAsia="Times New Roman" w:cs="Times New Roman"/>
                <w:color w:val="000000"/>
                <w:sz w:val="22"/>
              </w:rPr>
            </w:pPr>
            <w:r w:rsidRPr="00901194">
              <w:rPr>
                <w:rFonts w:eastAsia="Times New Roman" w:cs="Times New Roman"/>
                <w:color w:val="000000"/>
                <w:sz w:val="22"/>
              </w:rPr>
              <w:t>18%</w:t>
            </w:r>
          </w:p>
        </w:tc>
      </w:tr>
      <w:tr w:rsidR="009042BD" w:rsidRPr="00901194" w14:paraId="0773B2A4" w14:textId="77777777" w:rsidTr="00975211">
        <w:trPr>
          <w:trHeight w:val="288"/>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4C815A15" w14:textId="77777777" w:rsidR="009042BD" w:rsidRPr="00901194" w:rsidRDefault="009042BD" w:rsidP="009042BD">
            <w:pPr>
              <w:spacing w:after="0" w:line="240" w:lineRule="auto"/>
              <w:rPr>
                <w:rFonts w:eastAsia="Times New Roman" w:cs="Times New Roman"/>
                <w:color w:val="000000"/>
                <w:sz w:val="22"/>
              </w:rPr>
            </w:pPr>
            <w:r w:rsidRPr="00901194">
              <w:rPr>
                <w:rFonts w:eastAsia="Times New Roman" w:cs="Times New Roman"/>
                <w:color w:val="000000"/>
                <w:sz w:val="22"/>
              </w:rPr>
              <w:t xml:space="preserve">Calories from Carbohydrate </w:t>
            </w:r>
          </w:p>
        </w:tc>
        <w:tc>
          <w:tcPr>
            <w:tcW w:w="1245" w:type="dxa"/>
            <w:tcBorders>
              <w:top w:val="nil"/>
              <w:left w:val="nil"/>
              <w:bottom w:val="single" w:sz="4" w:space="0" w:color="auto"/>
              <w:right w:val="single" w:sz="4" w:space="0" w:color="auto"/>
            </w:tcBorders>
            <w:shd w:val="clear" w:color="auto" w:fill="auto"/>
            <w:noWrap/>
            <w:vAlign w:val="bottom"/>
            <w:hideMark/>
          </w:tcPr>
          <w:p w14:paraId="1969B5E4" w14:textId="77777777" w:rsidR="009042BD" w:rsidRPr="00901194" w:rsidRDefault="009042BD" w:rsidP="009042BD">
            <w:pPr>
              <w:spacing w:after="0" w:line="240" w:lineRule="auto"/>
              <w:jc w:val="right"/>
              <w:rPr>
                <w:rFonts w:eastAsia="Times New Roman" w:cs="Times New Roman"/>
                <w:color w:val="000000"/>
                <w:sz w:val="22"/>
              </w:rPr>
            </w:pPr>
            <w:r w:rsidRPr="00901194">
              <w:rPr>
                <w:rFonts w:eastAsia="Times New Roman" w:cs="Times New Roman"/>
                <w:color w:val="000000"/>
                <w:sz w:val="22"/>
              </w:rPr>
              <w:t>58%</w:t>
            </w:r>
          </w:p>
        </w:tc>
      </w:tr>
    </w:tbl>
    <w:p w14:paraId="119A1412" w14:textId="76FC472D" w:rsidR="00FC3A95" w:rsidRPr="00901194" w:rsidRDefault="009042BD" w:rsidP="009042BD">
      <w:pPr>
        <w:pStyle w:val="CaptionJH"/>
        <w:spacing w:line="240" w:lineRule="auto"/>
        <w:rPr>
          <w:b/>
          <w:bCs w:val="0"/>
        </w:rPr>
      </w:pPr>
      <w:bookmarkStart w:id="67" w:name="_Toc131186553"/>
      <w:r w:rsidRPr="00901194">
        <w:rPr>
          <w:b/>
          <w:bCs w:val="0"/>
        </w:rPr>
        <w:t>Table 3.1: Composition of Teklad global 18% protein rodent diet.</w:t>
      </w:r>
      <w:bookmarkEnd w:id="67"/>
    </w:p>
    <w:p w14:paraId="352EDE86" w14:textId="77777777" w:rsidR="009042BD" w:rsidRPr="00901194" w:rsidRDefault="009042BD" w:rsidP="00FC3A95">
      <w:pPr>
        <w:ind w:firstLine="720"/>
        <w:rPr>
          <w:rFonts w:cs="Times New Roman"/>
        </w:rPr>
      </w:pPr>
    </w:p>
    <w:p w14:paraId="13D7F2ED" w14:textId="5640DF8F" w:rsidR="00CE7AC1" w:rsidRPr="00901194" w:rsidRDefault="000471C6" w:rsidP="000471C6">
      <w:pPr>
        <w:pStyle w:val="Subsub-chapterHeading"/>
      </w:pPr>
      <w:bookmarkStart w:id="68" w:name="_Toc134185967"/>
      <w:r w:rsidRPr="00901194">
        <w:lastRenderedPageBreak/>
        <w:t>Dietary Formulation</w:t>
      </w:r>
      <w:bookmarkEnd w:id="68"/>
    </w:p>
    <w:p w14:paraId="2B1E43F4" w14:textId="3CF2B148" w:rsidR="000471C6" w:rsidRPr="00901194" w:rsidRDefault="000471C6" w:rsidP="000471C6">
      <w:pPr>
        <w:ind w:firstLine="720"/>
        <w:rPr>
          <w:rFonts w:cs="Times New Roman"/>
        </w:rPr>
      </w:pPr>
      <w:r w:rsidRPr="00901194">
        <w:rPr>
          <w:rFonts w:cs="Times New Roman"/>
        </w:rPr>
        <w:t xml:space="preserve">For dietary formulation, we set </w:t>
      </w:r>
      <w:r w:rsidR="007B61E6" w:rsidRPr="00901194">
        <w:rPr>
          <w:rFonts w:cs="Times New Roman"/>
        </w:rPr>
        <w:t>three</w:t>
      </w:r>
      <w:r w:rsidRPr="00901194">
        <w:rPr>
          <w:rFonts w:cs="Times New Roman"/>
        </w:rPr>
        <w:t xml:space="preserve"> high fiber/fat diet groups, including whole grains, vegetables</w:t>
      </w:r>
      <w:r w:rsidR="00750CAB" w:rsidRPr="00901194">
        <w:rPr>
          <w:rFonts w:cs="Times New Roman"/>
        </w:rPr>
        <w:t>,</w:t>
      </w:r>
      <w:r w:rsidRPr="00901194">
        <w:rPr>
          <w:rFonts w:cs="Times New Roman"/>
        </w:rPr>
        <w:t xml:space="preserve"> and legumes. We chose two high fiber foods in each category with the highest consumption in USA. Six food powders bought from Future ceuticals and Van drunen farms were drum-dried and ready to eat. </w:t>
      </w:r>
      <w:r w:rsidR="007B61E6" w:rsidRPr="00901194">
        <w:rPr>
          <w:rFonts w:cs="Times New Roman"/>
        </w:rPr>
        <w:t>F</w:t>
      </w:r>
      <w:r w:rsidRPr="00901194">
        <w:rPr>
          <w:rFonts w:cs="Times New Roman"/>
        </w:rPr>
        <w:t xml:space="preserve">ood powder was </w:t>
      </w:r>
      <w:r w:rsidR="007B61E6" w:rsidRPr="00901194">
        <w:rPr>
          <w:rFonts w:cs="Times New Roman"/>
        </w:rPr>
        <w:t xml:space="preserve">then </w:t>
      </w:r>
      <w:r w:rsidRPr="00901194">
        <w:rPr>
          <w:rFonts w:cs="Times New Roman"/>
        </w:rPr>
        <w:t xml:space="preserve">added into three groups of mice pellets as the only fiber source, including broccoli and carrot (vegetables), oats and quinoa (whole grains), black beans and pinto beans (legumes). The three isocaloric diets equally contain 45% Fat, 1% cholesterol, 7% dietary fiber (Table </w:t>
      </w:r>
      <w:r w:rsidR="00975211" w:rsidRPr="00901194">
        <w:rPr>
          <w:rFonts w:cs="Times New Roman"/>
        </w:rPr>
        <w:t>3.</w:t>
      </w:r>
      <w:r w:rsidRPr="00901194">
        <w:rPr>
          <w:rFonts w:cs="Times New Roman"/>
        </w:rPr>
        <w:t xml:space="preserve">1). Experimental diets were manufactured and sterilized </w:t>
      </w:r>
      <w:r w:rsidR="00A04A1A" w:rsidRPr="00901194">
        <w:rPr>
          <w:rFonts w:cs="Times New Roman"/>
        </w:rPr>
        <w:t>via</w:t>
      </w:r>
      <w:r w:rsidRPr="00901194">
        <w:rPr>
          <w:rFonts w:cs="Times New Roman"/>
        </w:rPr>
        <w:t xml:space="preserve"> irradiation by Envigo.</w:t>
      </w:r>
    </w:p>
    <w:p w14:paraId="10D438BF" w14:textId="23625166" w:rsidR="000471C6" w:rsidRPr="00901194" w:rsidRDefault="000471C6" w:rsidP="000471C6">
      <w:pPr>
        <w:pStyle w:val="Subsub-chapterHeading"/>
      </w:pPr>
      <w:bookmarkStart w:id="69" w:name="_Toc134185968"/>
      <w:r w:rsidRPr="00901194">
        <w:t>Gnotobiotic husbandry</w:t>
      </w:r>
      <w:bookmarkEnd w:id="69"/>
    </w:p>
    <w:p w14:paraId="3891C025" w14:textId="291944FA" w:rsidR="000471C6" w:rsidRPr="00901194" w:rsidRDefault="000471C6" w:rsidP="000471C6">
      <w:pPr>
        <w:ind w:firstLine="720"/>
        <w:rPr>
          <w:rFonts w:cs="Times New Roman"/>
        </w:rPr>
      </w:pPr>
      <w:r w:rsidRPr="00901194">
        <w:rPr>
          <w:rFonts w:cs="Times New Roman"/>
        </w:rPr>
        <w:t xml:space="preserve">All experiments involving gnotobiotic mice were performed using protocols approved by the University of Wisconsin-Madison Animal Care and Use Committee. </w:t>
      </w:r>
      <w:r w:rsidR="00B963D4" w:rsidRPr="00901194">
        <w:rPr>
          <w:rFonts w:cs="Times New Roman"/>
        </w:rPr>
        <w:t xml:space="preserve">All animal handling was done at the University of Wisconsin-Madison, who conducted mouse experimentation, sampling, and sent </w:t>
      </w:r>
      <w:r w:rsidR="008B785D">
        <w:rPr>
          <w:rFonts w:cs="Times New Roman"/>
        </w:rPr>
        <w:t>treated</w:t>
      </w:r>
      <w:r w:rsidR="00B963D4" w:rsidRPr="00901194">
        <w:rPr>
          <w:rFonts w:cs="Times New Roman"/>
        </w:rPr>
        <w:t xml:space="preserve"> samples to the McCall Lab at OU. </w:t>
      </w:r>
      <w:r w:rsidR="008B785D">
        <w:rPr>
          <w:rFonts w:cs="Times New Roman"/>
        </w:rPr>
        <w:t>At the University of Wisconsin-Madison, a</w:t>
      </w:r>
      <w:r w:rsidRPr="00901194">
        <w:rPr>
          <w:rFonts w:cs="Times New Roman"/>
        </w:rPr>
        <w:t xml:space="preserve">ll GF C57BL/6 mice were retained in plastic flexible film gnotobiotic isolators under a </w:t>
      </w:r>
      <w:r w:rsidR="00750CAB" w:rsidRPr="00901194">
        <w:rPr>
          <w:rFonts w:cs="Times New Roman"/>
        </w:rPr>
        <w:t>twelve</w:t>
      </w:r>
      <w:r w:rsidR="006466D2" w:rsidRPr="00901194">
        <w:rPr>
          <w:rFonts w:cs="Times New Roman"/>
        </w:rPr>
        <w:t>-</w:t>
      </w:r>
      <w:r w:rsidRPr="00901194">
        <w:rPr>
          <w:rFonts w:cs="Times New Roman"/>
        </w:rPr>
        <w:t>h</w:t>
      </w:r>
      <w:r w:rsidR="00750CAB" w:rsidRPr="00901194">
        <w:rPr>
          <w:rFonts w:cs="Times New Roman"/>
        </w:rPr>
        <w:t>our</w:t>
      </w:r>
      <w:r w:rsidRPr="00901194">
        <w:rPr>
          <w:rFonts w:cs="Times New Roman"/>
        </w:rPr>
        <w:t xml:space="preserve"> light-dark cycle (lights on at 6:00 am and off at 6:00pm) and consuming sterilized water and standard chow (LabDiet 5021; LabDiet) ad libitum until </w:t>
      </w:r>
      <w:r w:rsidR="00750CAB" w:rsidRPr="00901194">
        <w:rPr>
          <w:rFonts w:cs="Times New Roman"/>
        </w:rPr>
        <w:t>five to six</w:t>
      </w:r>
      <w:r w:rsidRPr="00901194">
        <w:rPr>
          <w:rFonts w:cs="Times New Roman"/>
        </w:rPr>
        <w:t xml:space="preserve"> weeks of age. The sterility of GF mice was confirmed by collecting fresh fecal samples and </w:t>
      </w:r>
      <w:r w:rsidR="00750CAB" w:rsidRPr="00901194">
        <w:rPr>
          <w:rFonts w:cs="Times New Roman"/>
        </w:rPr>
        <w:t>polymerase chain reaction (</w:t>
      </w:r>
      <w:r w:rsidRPr="00901194">
        <w:rPr>
          <w:rFonts w:cs="Times New Roman"/>
        </w:rPr>
        <w:t>PCR</w:t>
      </w:r>
      <w:r w:rsidR="00750CAB" w:rsidRPr="00901194">
        <w:rPr>
          <w:rFonts w:cs="Times New Roman"/>
        </w:rPr>
        <w:t>)</w:t>
      </w:r>
      <w:r w:rsidRPr="00901194">
        <w:rPr>
          <w:rFonts w:cs="Times New Roman"/>
        </w:rPr>
        <w:t xml:space="preserve"> gel electrophoresis pattern analysis.</w:t>
      </w:r>
    </w:p>
    <w:p w14:paraId="2599B350" w14:textId="3C99EA91" w:rsidR="000471C6" w:rsidRPr="00901194" w:rsidRDefault="000471C6" w:rsidP="000471C6">
      <w:pPr>
        <w:pStyle w:val="Subsub-chapterHeading"/>
      </w:pPr>
      <w:bookmarkStart w:id="70" w:name="_Toc134185969"/>
      <w:r w:rsidRPr="00901194">
        <w:t>Colonization of GF mice with human fecal samples and diet interventions</w:t>
      </w:r>
      <w:bookmarkEnd w:id="70"/>
    </w:p>
    <w:p w14:paraId="746B8A8D" w14:textId="35486973" w:rsidR="00D15CDD" w:rsidRPr="00901194" w:rsidRDefault="000471C6" w:rsidP="00975211">
      <w:pPr>
        <w:ind w:firstLine="720"/>
        <w:rPr>
          <w:rFonts w:cs="Times New Roman"/>
        </w:rPr>
      </w:pPr>
      <w:r w:rsidRPr="00901194">
        <w:rPr>
          <w:rFonts w:cs="Times New Roman"/>
        </w:rPr>
        <w:t>Three human communities SubA, SubB and SubC were chosen based on a previous study</w:t>
      </w:r>
      <w:r w:rsidR="00750CAB" w:rsidRPr="00901194">
        <w:rPr>
          <w:rFonts w:cs="Times New Roman"/>
        </w:rPr>
        <w:fldChar w:fldCharType="begin" w:fldLock="1"/>
      </w:r>
      <w:r w:rsidR="009D364B" w:rsidRPr="00901194">
        <w:rPr>
          <w:rFonts w:cs="Times New Roman"/>
        </w:rPr>
        <w:instrText>ADDIN CSL_CITATION {"citationItems":[{"id":"ITEM-1","itemData":{"DOI":"https://doi.org/10.1186/s40168-021-01061-6","abstract":"Background: There is general consensus that consumption of dietary fermentable fiber improves cardiometabolic health, in part by promoting mutualistic microbes and by increasing production of beneficial metabolites in the distal gut. However, human studies have reported variations in the observed benefits among individuals consuming the same fiber. Several factors likely contribute to this variation, including host genetic and gut microbial differences. We hypothesized that gut microbial metabolism of dietary fiber represents an important and differential factor that modulates how dietary fiber impacts the host. Results: We examined genetically identical gnotobiotic mice harboring two distinct complex gut microbial communities and exposed to four isocaloric diets, each containing different fibers: (i) cellulose, (ii) inulin, (iii) pectin, (iv) a mix of 5 fermentable fibers (assorted fiber). Gut microbiome analysis showed that each transplanted community preserved a core of common taxa across diets that differentiated it from the other community, but there were variations in richness and bacterial taxa abundance within each community among the different diet treatments. Host epigenetic, transcriptional, and metabolomic analyses revealed diet-directed differences between animals colonized with the two communities, including variation in amino acids and lipid pathways that were associated with divergent health outcomes. Conclusion: This study demonstrates that interindividual variation in the gut microbiome is causally linked to differential effects of dietary fiber on host metabolic phenotypes and suggests that a one-fits-all fiber supplementation approach to promote health is unlikely to elicit consistent effects across individuals. Overall, the presented results underscore the importance ofmicrobe-diet interactions on host metabolism and suggest that gut microbes modulate dietary fiber efficacy.","author":[{"dropping-particle":"","family":"Murga-Garrido","given":"Sofia M","non-dropping-particle":"","parse-names":false,"suffix":""},{"dropping-particle":"","family":"Hong","given":"Qilin","non-dropping-particle":"","parse-names":false,"suffix":""},{"dropping-particle":"","family":"Cross","given":"Tzu-wen L","non-dropping-particle":"","parse-names":false,"suffix":""},{"dropping-particle":"","family":"Hutchison","given":"Evan R","non-dropping-particle":"","parse-names":false,"suffix":""},{"dropping-particle":"","family":"Han","given":"Jessica","non-dropping-particle":"","parse-names":false,"suffix":""},{"dropping-particle":"","family":"Thomas","given":"Sydney P","non-dropping-particle":"","parse-names":false,"suffix":""},{"dropping-particle":"","family":"Vivas","given":"Eugenio I","non-dropping-particle":"","parse-names":false,"suffix":""},{"dropping-particle":"","family":"Denu","given":"John","non-dropping-particle":"","parse-names":false,"suffix":""},{"dropping-particle":"","family":"Ceschin","given":"Danilo G","non-dropping-particle":"","parse-names":false,"suffix":""},{"dropping-particle":"","family":"Tang","given":"Zheng-zheng","non-dropping-particle":"","parse-names":false,"suffix":""},{"dropping-particle":"","family":"Rey","given":"Federico E","non-dropping-particle":"","parse-names":false,"suffix":""}],"container-title":"Microbiome","id":"ITEM-1","issue":"117","issued":{"date-parts":[["2021"]]},"page":"1-26","publisher":"Microbiome","title":"Gut microbiome variation modulates the effects of dietary fiber on host metabolism","type":"article-journal","volume":"9"},"uris":["http://www.mendeley.com/documents/?uuid=43345bf4-6b29-4662-8f4f-7dac5fc23ab0"]}],"mendeley":{"formattedCitation":"&lt;sup&gt;180&lt;/sup&gt;","plainTextFormattedCitation":"180","previouslyFormattedCitation":"&lt;sup&gt;180&lt;/sup&gt;"},"properties":{"noteIndex":0},"schema":"https://github.com/citation-style-language/schema/raw/master/csl-citation.json"}</w:instrText>
      </w:r>
      <w:r w:rsidR="00750CAB" w:rsidRPr="00901194">
        <w:rPr>
          <w:rFonts w:cs="Times New Roman"/>
        </w:rPr>
        <w:fldChar w:fldCharType="separate"/>
      </w:r>
      <w:r w:rsidR="000D0072" w:rsidRPr="00901194">
        <w:rPr>
          <w:rFonts w:cs="Times New Roman"/>
          <w:noProof/>
          <w:vertAlign w:val="superscript"/>
        </w:rPr>
        <w:t>180</w:t>
      </w:r>
      <w:r w:rsidR="00750CAB" w:rsidRPr="00901194">
        <w:rPr>
          <w:rFonts w:cs="Times New Roman"/>
        </w:rPr>
        <w:fldChar w:fldCharType="end"/>
      </w:r>
      <w:r w:rsidRPr="00901194">
        <w:rPr>
          <w:rFonts w:cs="Times New Roman"/>
        </w:rPr>
        <w:t xml:space="preserve"> that showed differences in their gut microbiota diversity. Fecal suspensions of each community were prepared under anaerobic conditions in Hungate tubes. </w:t>
      </w:r>
      <w:r w:rsidR="006466D2" w:rsidRPr="00901194">
        <w:rPr>
          <w:rFonts w:cs="Times New Roman"/>
        </w:rPr>
        <w:t xml:space="preserve">Approximately </w:t>
      </w:r>
      <w:r w:rsidRPr="00901194">
        <w:rPr>
          <w:rFonts w:cs="Times New Roman"/>
        </w:rPr>
        <w:t xml:space="preserve">500 mg </w:t>
      </w:r>
      <w:r w:rsidRPr="00901194">
        <w:rPr>
          <w:rFonts w:cs="Times New Roman"/>
        </w:rPr>
        <w:lastRenderedPageBreak/>
        <w:t xml:space="preserve">of frozen feces was resuspended in 5 mL mega media. For each community colonization, ~36 mice at </w:t>
      </w:r>
      <w:r w:rsidR="006466D2" w:rsidRPr="00901194">
        <w:rPr>
          <w:rFonts w:cs="Times New Roman"/>
        </w:rPr>
        <w:t>five</w:t>
      </w:r>
      <w:r w:rsidR="00D744D5" w:rsidRPr="00901194">
        <w:rPr>
          <w:rFonts w:cs="Times New Roman"/>
        </w:rPr>
        <w:t>-</w:t>
      </w:r>
      <w:r w:rsidR="006466D2" w:rsidRPr="00901194">
        <w:rPr>
          <w:rFonts w:cs="Times New Roman"/>
        </w:rPr>
        <w:t xml:space="preserve"> to six</w:t>
      </w:r>
      <w:r w:rsidR="00D744D5" w:rsidRPr="00901194">
        <w:rPr>
          <w:rFonts w:cs="Times New Roman"/>
        </w:rPr>
        <w:t>-</w:t>
      </w:r>
      <w:r w:rsidRPr="00901194">
        <w:rPr>
          <w:rFonts w:cs="Times New Roman"/>
        </w:rPr>
        <w:t>weeks of age fed with teklad global 18% protein rodent diet (2918) for 3 days were then orally gavage</w:t>
      </w:r>
      <w:r w:rsidR="00F76893" w:rsidRPr="00901194">
        <w:rPr>
          <w:rFonts w:cs="Times New Roman"/>
        </w:rPr>
        <w:t>d</w:t>
      </w:r>
      <w:r w:rsidRPr="00901194">
        <w:rPr>
          <w:rFonts w:cs="Times New Roman"/>
        </w:rPr>
        <w:t xml:space="preserve"> with ~100 μL of fecal supernatant. </w:t>
      </w:r>
      <w:r w:rsidRPr="00901194">
        <w:rPr>
          <w:rFonts w:cs="Times New Roman"/>
          <w:color w:val="000000"/>
        </w:rPr>
        <w:t>To reduce cage effects,</w:t>
      </w:r>
      <w:r w:rsidRPr="00901194">
        <w:rPr>
          <w:rFonts w:cs="Times New Roman"/>
        </w:rPr>
        <w:t xml:space="preserve"> food-filled wires and bedding were switched</w:t>
      </w:r>
      <w:r w:rsidRPr="00901194">
        <w:rPr>
          <w:rFonts w:cs="Times New Roman"/>
          <w:color w:val="000000"/>
        </w:rPr>
        <w:t xml:space="preserve"> between cages of mice from the same colonizing community. </w:t>
      </w:r>
      <w:r w:rsidRPr="00901194">
        <w:rPr>
          <w:rFonts w:cs="Times New Roman"/>
        </w:rPr>
        <w:t xml:space="preserve">After </w:t>
      </w:r>
      <w:r w:rsidR="00F76893" w:rsidRPr="00901194">
        <w:rPr>
          <w:rFonts w:cs="Times New Roman"/>
        </w:rPr>
        <w:t>two</w:t>
      </w:r>
      <w:r w:rsidRPr="00901194">
        <w:rPr>
          <w:rFonts w:cs="Times New Roman"/>
        </w:rPr>
        <w:t xml:space="preserve"> weeks </w:t>
      </w:r>
      <w:r w:rsidR="00F76893" w:rsidRPr="00901194">
        <w:rPr>
          <w:rFonts w:cs="Times New Roman"/>
        </w:rPr>
        <w:t xml:space="preserve">on the </w:t>
      </w:r>
      <w:r w:rsidRPr="00901194">
        <w:rPr>
          <w:rFonts w:cs="Times New Roman"/>
        </w:rPr>
        <w:t xml:space="preserve">2918 diet, mice were divided into </w:t>
      </w:r>
      <w:r w:rsidR="00F76893" w:rsidRPr="00901194">
        <w:rPr>
          <w:rFonts w:cs="Times New Roman"/>
        </w:rPr>
        <w:t>three</w:t>
      </w:r>
      <w:r w:rsidRPr="00901194">
        <w:rPr>
          <w:rFonts w:cs="Times New Roman"/>
        </w:rPr>
        <w:t xml:space="preserve"> diet groups and ear tagged. Each group received the indicated diet along with free access to water. Body weights were recorded once a week throughout the experimental period. After 12 weeks, fecal samples were collected. </w:t>
      </w:r>
      <w:r w:rsidR="00105057" w:rsidRPr="00901194">
        <w:rPr>
          <w:rFonts w:cs="Times New Roman"/>
        </w:rPr>
        <w:t xml:space="preserve">Blood samples were taken through axillary bleeding using isoflurane to induce anesthesia. Serum was acquired by coagulation for 30 min and centrifugation at 1500xg for 10 min at 4 °C and stored at -80 °C until measurement. </w:t>
      </w:r>
      <w:r w:rsidRPr="00901194">
        <w:rPr>
          <w:rFonts w:cs="Times New Roman"/>
        </w:rPr>
        <w:t xml:space="preserve">Prior to sacrifice, mice were fasted for </w:t>
      </w:r>
      <w:r w:rsidR="00F76893" w:rsidRPr="00901194">
        <w:rPr>
          <w:rFonts w:cs="Times New Roman"/>
        </w:rPr>
        <w:t>four hours</w:t>
      </w:r>
      <w:r w:rsidRPr="00901194">
        <w:rPr>
          <w:rFonts w:cs="Times New Roman"/>
        </w:rPr>
        <w:t xml:space="preserve"> and tissues were collected and </w:t>
      </w:r>
      <w:r w:rsidR="00D15CDD" w:rsidRPr="00901194">
        <w:rPr>
          <w:rFonts w:cs="Times New Roman"/>
        </w:rPr>
        <w:t>snap frozen</w:t>
      </w:r>
      <w:r w:rsidRPr="00901194">
        <w:rPr>
          <w:rFonts w:cs="Times New Roman"/>
        </w:rPr>
        <w:t>.</w:t>
      </w:r>
      <w:r w:rsidR="00005B75" w:rsidRPr="00901194">
        <w:rPr>
          <w:rFonts w:cs="Times New Roman"/>
        </w:rPr>
        <w:t xml:space="preserve"> Any microbiome analyses and data collection </w:t>
      </w:r>
      <w:r w:rsidR="000620F9" w:rsidRPr="00901194">
        <w:rPr>
          <w:rFonts w:cs="Times New Roman"/>
        </w:rPr>
        <w:t>were</w:t>
      </w:r>
      <w:r w:rsidR="00005B75" w:rsidRPr="00901194">
        <w:rPr>
          <w:rFonts w:cs="Times New Roman"/>
        </w:rPr>
        <w:t xml:space="preserve"> done by University of Wisconsin-Madison collaborators and were not included as part of this dissertation.</w:t>
      </w:r>
    </w:p>
    <w:p w14:paraId="77013471" w14:textId="2567EF2E" w:rsidR="000471C6" w:rsidRPr="00901194" w:rsidRDefault="000471C6" w:rsidP="000471C6">
      <w:pPr>
        <w:pStyle w:val="Subsub-chapterHeading"/>
      </w:pPr>
      <w:bookmarkStart w:id="71" w:name="_Toc134185970"/>
      <w:r w:rsidRPr="00901194">
        <w:t>Metabolite extraction for untargeted metabolomics</w:t>
      </w:r>
      <w:bookmarkEnd w:id="71"/>
    </w:p>
    <w:p w14:paraId="0445BC07" w14:textId="201FB770" w:rsidR="000471C6" w:rsidRPr="00901194" w:rsidRDefault="000471C6" w:rsidP="000471C6">
      <w:pPr>
        <w:ind w:firstLine="720"/>
        <w:rPr>
          <w:rFonts w:cs="Times New Roman"/>
        </w:rPr>
      </w:pPr>
      <w:r w:rsidRPr="00901194">
        <w:rPr>
          <w:rFonts w:cs="Times New Roman"/>
        </w:rPr>
        <w:t>Metabolites were extracted using an optimized two-step extraction procedure</w:t>
      </w:r>
      <w:r w:rsidR="00105057" w:rsidRPr="00901194">
        <w:rPr>
          <w:rFonts w:cs="Times New Roman"/>
        </w:rPr>
        <w:fldChar w:fldCharType="begin" w:fldLock="1"/>
      </w:r>
      <w:r w:rsidR="009D364B" w:rsidRPr="00901194">
        <w:rPr>
          <w:rFonts w:cs="Times New Roman"/>
        </w:rPr>
        <w:instrText>ADDIN CSL_CITATION {"citationItems":[{"id":"ITEM-1","itemData":{"DOI":"10.1038/nprot.2012.135","ISSN":"17542189","abstract":"Obtaining comprehensive, untargeted metabolic profiles for complex solid samples, e.g., animal tissues, requires sample preparation and access to information-rich analytical methodologies such as mass spectrometry (MS). Here we describe a practical two-step process for tissue samples that is based on extraction into 'aqueous' and 'organic' phases for polar and nonpolar metabolites. Separation methods such as ultraperformance liquid chromatography (UPLC) in combination with MS are needed to obtain sufficient resolution to create diagnostic metabolic profiles and identify candidate biomarkers. We provide detailed protocols for sample preparation, chromatographic procedures, multivariate analysis and metabolite identification via tandem MS (MS/MS) techniques and high-resolution MS. By using these optimized approaches, analysis of a set of samples using a 96-well plate format would take ~48 h: 1 h for system setup, 8-10 h for sample preparation, 34 h for UPLC-MS analysis and 2-3 h for preliminary/exploratory data processing, representing a robust method for untargeted metabolic screening of tissue samples.","author":[{"dropping-particle":"","family":"Want","given":"Elizabeth J.","non-dropping-particle":"","parse-names":false,"suffix":""},{"dropping-particle":"","family":"Masson","given":"Perrine","non-dropping-particle":"","parse-names":false,"suffix":""},{"dropping-particle":"","family":"Michopoulos","given":"Filippos","non-dropping-particle":"","parse-names":false,"suffix":""},{"dropping-particle":"","family":"Wilson","given":"Ian D.","non-dropping-particle":"","parse-names":false,"suffix":""},{"dropping-particle":"","family":"Theodoridis","given":"Georgios","non-dropping-particle":"","parse-names":false,"suffix":""},{"dropping-particle":"","family":"Plumb","given":"Robert S.","non-dropping-particle":"","parse-names":false,"suffix":""},{"dropping-particle":"","family":"Shockcor","given":"John","non-dropping-particle":"","parse-names":false,"suffix":""},{"dropping-particle":"","family":"Loftus","given":"Neil","non-dropping-particle":"","parse-names":false,"suffix":""},{"dropping-particle":"","family":"Holmes","given":"Elaine","non-dropping-particle":"","parse-names":false,"suffix":""},{"dropping-particle":"","family":"Nicholson","given":"Jeremy K.","non-dropping-particle":"","parse-names":false,"suffix":""}],"container-title":"Nature Protocols","id":"ITEM-1","issue":"1","issued":{"date-parts":[["2013"]]},"note":"Summary: Describes a new protocol for global metabolite profiling of tissues using LC-MS, outlining the same protocol we use. Discusses the two-step process by extraction into aqueous and organic phases to detect both polar and nonpolar metaboloites. Also describes general best practices for MS experimentation (using QCs, how to make QCs, importance of random sample order, general MS run orders, etc.) \n\n\nMcCall lab's LC-MS/MS fecal sample prep is based on the method from this article. This paper uses tissue samples, but the method applies for feces\nGood for endogenous and exogenous metabolites","page":"17-32","title":"Global metabolic profiling of animal and human tissues via UPLC-MS","type":"article-journal","volume":"8"},"uris":["http://www.mendeley.com/documents/?uuid=9d217013-ac5c-40d2-ac62-ce3dafa74529"]},{"id":"ITEM-2","itemData":{"DOI":"10.1021/acs.analchem.7b02423","abstract":"Trypanosoma cruzi parasites are the causative agents of Chagas disease, a leading infectious form of heart failure whose pathogenesis is still not fully characterized. In this work, we applied untargeted liquid chromatography−tandem mass spectrometry to heart sections from T. cruzi-infected and uninfected mice. We combined molecular networking and three-dimensional modeling to generate chemical cartographical heart models. This approach revealed for the first time preferential parasite localization to the base of the heart and regiospecific distributions of nucleoside derivatives and eicosanoids, which we correlated to tissue-damaging immune responses. We further detected novel cardiac chemical signatures related to the severity and ultimate outcome of the infection. These signatures included differential representation of higher- vs lower-molecular-weight carnitine and phosphatidylcho- line family members in specific cardiac regions of mice infected with lethal or nonlethal T. cruzi strains and doses. Overall, this work provides new insights into Chagas disease pathogenesis and presents an analytical chemistry approach that can be broadly applied to the study of host-microbe interactions. C","author":[{"dropping-particle":"","family":"McCall","given":"Laura-Isobel","non-dropping-particle":"","parse-names":false,"suffix":""},{"dropping-particle":"","family":"Morton","given":"James T","non-dropping-particle":"","parse-names":false,"suffix":""},{"dropping-particle":"","family":"Bernatchez","given":"Jean A","non-dropping-particle":"","parse-names":false,"suffix":""},{"dropping-particle":"De","family":"Siqueira-neto","given":"Jair Lage","non-dropping-particle":"","parse-names":false,"suffix":""},{"dropping-particle":"","family":"Knight","given":"Rob","non-dropping-particle":"","parse-names":false,"suffix":""},{"dropping-particle":"","family":"Dorrestein","given":"Pieter C","non-dropping-particle":"","parse-names":false,"suffix":""},{"dropping-particle":"","family":"McKerrow","given":"James H","non-dropping-particle":"","parse-names":false,"suffix":""}],"container-title":"Analytical Chemistry","id":"ITEM-2","issue":"19","issued":{"date-parts":[["2017"]]},"page":"10414-10421","title":"Mass Spectrometry-Based Chemical Cartography of a Cardiac Parasitic Infection","type":"article-journal","volume":"89"},"uris":["http://www.mendeley.com/documents/?uuid=37dc066c-6ffd-4a5e-93de-85a0fdfd1d64"]},{"id":"ITEM-3","itemData":{"DOI":"DOI: 10.1126/sciadv.aaz2015","abstract":"Chagas disease (CD) is a parasitic disease caused by Trypanosoma cruzi protozoa, presenting with cardiomyopathy, megaesophagus, and/or megacolon. To determine the mechanisms of gastrointestinal (GI) CD tissue tropism, we systematically characterized the spatial localization of infection-induced metabolic and microbiome alterations, in a mouse model of CD. Notably, the impact of the transition between acute and persistent infection differed between tissue sites, with sustained large-scale effects of infection in the esophagus and large intestine, provid- ing a potential mechanism for the tropism of CD within the GI tract. Infection affected acylcarnitine metabolism; carnitine supplementation prevented acute-stage CD mortality without affecting parasite burden by mitigating infection-induced metabolic disturbances and reducing cardiac strain. Overall, results identified a previously- unknown mechanism of disease tolerance in CD, with potential for new therapeutic regimen development. More broadly, results highlight the potential of spatially resolved metabolomics to provide insight into disease patho- genesis and infectious disease drug development.","author":[{"dropping-particle":"","family":"Hossain","given":"E","non-dropping-particle":"","parse-names":false,"suffix":""},{"dropping-particle":"","family":"Khanam","given":"S","non-dropping-particle":"","parse-names":false,"suffix":""},{"dropping-particle":"","family":"Dean","given":"D A","non-dropping-particle":"","parse-names":false,"suffix":""},{"dropping-particle":"","family":"Wu","given":"C","non-dropping-particle":"","parse-names":false,"suffix":""},{"dropping-particle":"","family":"Lostracco-Johnson","given":"S","non-dropping-particle":"","parse-names":false,"suffix":""},{"dropping-particle":"","family":"Thomas","given":"D","non-dropping-particle":"","parse-names":false,"suffix":""},{"dropping-particle":"","family":"Kane","given":"S S","non-dropping-particle":"","parse-names":false,"suffix":""},{"dropping-particle":"","family":"Parab","given":"A R","non-dropping-particle":"","parse-names":false,"suffix":""},{"dropping-particle":"","family":"Flores","given":"K","non-dropping-particle":"","parse-names":false,"suffix":""},{"dropping-particle":"","family":"Katemauswa","given":"M","non-dropping-particle":"","parse-names":false,"suffix":""},{"dropping-particle":"","family":"Gosmanov","given":"C","non-dropping-particle":"","parse-names":false,"suffix":""},{"dropping-particle":"","family":"Hayes","given":"S E","non-dropping-particle":"","parse-names":false,"suffix":""},{"dropping-particle":"","family":"Zhang","given":"Y","non-dropping-particle":"","parse-names":false,"suffix":""},{"dropping-particle":"","family":"Li","given":"D","non-dropping-particle":"","parse-names":false,"suffix":""},{"dropping-particle":"","family":"Woelfel-Monsivais","given":"C","non-dropping-particle":"","parse-names":false,"suffix":""},{"dropping-particle":"","family":"Sankaranarayanan","given":"K","non-dropping-particle":"","parse-names":false,"suffix":""},{"dropping-particle":"","family":"McCall","given":"L.-I.","non-dropping-particle":"","parse-names":false,"suffix":""}],"container-title":"Science Advances","id":"ITEM-3","issue":"30","issued":{"date-parts":[["2020"]]},"page":"1-15","title":"Mapping of host-parasite-microbiome interactions reveals metabolic determinants of tropism and tolerance in Chagas disease","type":"article-journal","volume":"6"},"uris":["http://www.mendeley.com/documents/?uuid=47b89974-d692-4922-883d-10d95d3ebb02"]}],"mendeley":{"formattedCitation":"&lt;sup&gt;97,186,187&lt;/sup&gt;","plainTextFormattedCitation":"97,186,187","previouslyFormattedCitation":"&lt;sup&gt;97,186,187&lt;/sup&gt;"},"properties":{"noteIndex":0},"schema":"https://github.com/citation-style-language/schema/raw/master/csl-citation.json"}</w:instrText>
      </w:r>
      <w:r w:rsidR="00105057" w:rsidRPr="00901194">
        <w:rPr>
          <w:rFonts w:cs="Times New Roman"/>
        </w:rPr>
        <w:fldChar w:fldCharType="separate"/>
      </w:r>
      <w:r w:rsidR="000D0072" w:rsidRPr="00901194">
        <w:rPr>
          <w:rFonts w:cs="Times New Roman"/>
          <w:noProof/>
          <w:vertAlign w:val="superscript"/>
        </w:rPr>
        <w:t>97,186,187</w:t>
      </w:r>
      <w:r w:rsidR="00105057" w:rsidRPr="00901194">
        <w:rPr>
          <w:rFonts w:cs="Times New Roman"/>
        </w:rPr>
        <w:fldChar w:fldCharType="end"/>
      </w:r>
      <w:r w:rsidRPr="00901194">
        <w:rPr>
          <w:rFonts w:cs="Times New Roman"/>
        </w:rPr>
        <w:t>, homogenizing first in 50% methanol spiked with 2 μM sulfachloropyridazine (500 μL/50 mg cecal contents or food samples, or 200 μL/20 μL serum). Homogenate was centrifuged at 16,000xg for 10 min. The centrifugation supernatant was collected and dried overnight in a Speedvac (ThermoFisher). The centrifug</w:t>
      </w:r>
      <w:r w:rsidR="006E345F" w:rsidRPr="00901194">
        <w:rPr>
          <w:rFonts w:cs="Times New Roman"/>
        </w:rPr>
        <w:t>ed</w:t>
      </w:r>
      <w:r w:rsidRPr="00901194">
        <w:rPr>
          <w:rFonts w:cs="Times New Roman"/>
        </w:rPr>
        <w:t xml:space="preserve"> pellet was homogenized in 3:1 dichloromethane: methanol spiked with 3 μM sulfachloropyridazine (500 μL/50 mg cecal contents or food samples, or 200 μL/20 μL serum). Homogenate was centrifuged at 16,000xg for 10 min. The centrifugation supernatant was collected and air-dried. Both dried extracts were stored at -80</w:t>
      </w:r>
      <w:r w:rsidR="00105057" w:rsidRPr="00901194">
        <w:rPr>
          <w:rFonts w:cs="Times New Roman"/>
        </w:rPr>
        <w:t xml:space="preserve"> </w:t>
      </w:r>
      <w:r w:rsidRPr="00901194">
        <w:rPr>
          <w:rFonts w:cs="Times New Roman"/>
        </w:rPr>
        <w:t>°C until LC-MS analysis.</w:t>
      </w:r>
    </w:p>
    <w:p w14:paraId="6DF817B0" w14:textId="272F4C95" w:rsidR="000471C6" w:rsidRPr="00901194" w:rsidRDefault="000471C6" w:rsidP="000471C6">
      <w:pPr>
        <w:pStyle w:val="Subsub-chapterHeading"/>
      </w:pPr>
      <w:bookmarkStart w:id="72" w:name="_Toc134185971"/>
      <w:r w:rsidRPr="00901194">
        <w:lastRenderedPageBreak/>
        <w:t>Liquid Chromatography-Tandem Mass Spectrometry Data Acquisition</w:t>
      </w:r>
      <w:bookmarkEnd w:id="72"/>
    </w:p>
    <w:p w14:paraId="61B1A350" w14:textId="0120E466" w:rsidR="000471C6" w:rsidRPr="00901194" w:rsidRDefault="000471C6" w:rsidP="000471C6">
      <w:pPr>
        <w:ind w:firstLine="720"/>
        <w:rPr>
          <w:rFonts w:cs="Times New Roman"/>
        </w:rPr>
      </w:pPr>
      <w:r w:rsidRPr="00901194">
        <w:rPr>
          <w:rFonts w:cs="Times New Roman"/>
        </w:rPr>
        <w:t>LC-MS/MS analysis was performed as previously described</w:t>
      </w:r>
      <w:r w:rsidR="00CE54CF" w:rsidRPr="00901194">
        <w:rPr>
          <w:rFonts w:cs="Times New Roman"/>
        </w:rPr>
        <w:fldChar w:fldCharType="begin" w:fldLock="1"/>
      </w:r>
      <w:r w:rsidR="009D364B" w:rsidRPr="00901194">
        <w:rPr>
          <w:rFonts w:cs="Times New Roman"/>
        </w:rPr>
        <w:instrText>ADDIN CSL_CITATION {"citationItems":[{"id":"ITEM-1","itemData":{"DOI":"10.1021/acsinfecdis.0c00816","ISSN":"23738227","PMID":"33843195","abstract":"Chronic Chagasic cardiomyopathy (CCC) is a Neglected Tropical Disease caused by the parasite Trypanosoma cruzi. The pathognomonic findings in symptomatic CCC patients and animal models includes diffuse cardiac fibrosis and inflammation with persistent parasite presence in the heart. This study investigated chemical alterations in different regions of the heart in relation to cardiac pathology indicators to better understand the long-term pathogenesis of this neglected disease. We used data from echocardiography, fibrosis biomarkers, and histopathological analysis to fully evaluate cardiac pathology. Metabolites isolated from the pericardial and endocardial sides of the right ventricular myocardium were analyzed by liquid chromatography tandem mass spectrometry. The endocardial sections contained significantly less cardiac inflammation and fibrosis than the pericardial sections. Cardiac levels of acylcarnitines, phosphocholines, and other metabolites were significantly disrupted in accordance with cardiac fibrosis, inflammation, and serum fibrosis biomarker levels. These findings have potential implications in treatment and monitoring for CCC patients.","author":[{"dropping-particle":"","family":"Hoffman","given":"Kristyn","non-dropping-particle":"","parse-names":false,"suffix":""},{"dropping-particle":"","family":"Liu","given":"Zongyuan","non-dropping-particle":"","parse-names":false,"suffix":""},{"dropping-particle":"","family":"Hossain","given":"Ekram","non-dropping-particle":"","parse-names":false,"suffix":""},{"dropping-particle":"","family":"Bottazzi","given":"Maria Elena","non-dropping-particle":"","parse-names":false,"suffix":""},{"dropping-particle":"","family":"Hotez","given":"Peter J","non-dropping-particle":"","parse-names":false,"suffix":""},{"dropping-particle":"","family":"Jones","given":"Kathryn M","non-dropping-particle":"","parse-names":false,"suffix":""},{"dropping-particle":"","family":"McCall","given":"Laura -sobel","non-dropping-particle":"","parse-names":false,"suffix":""}],"container-title":"ACS Infectious Diseases","id":"ITEM-1","issue":"6","issued":{"date-parts":[["2021"]]},"page":"1638-1649","title":"Alterations to the Cardiac Metabolome Induced by Chronic T. cruzi Infection Relate to the Degree of Cardiac Pathology","type":"article-journal","volume":"7"},"uris":["http://www.mendeley.com/documents/?uuid=db728327-ea86-4f4f-88e8-689c7a9b9279"]},{"id":"ITEM-2","itemData":{"DOI":"DOI: 10.1126/sciadv.aaz2015","abstract":"Chagas disease (CD) is a parasitic disease caused by Trypanosoma cruzi protozoa, presenting with cardiomyopathy, megaesophagus, and/or megacolon. To determine the mechanisms of gastrointestinal (GI) CD tissue tropism, we systematically characterized the spatial localization of infection-induced metabolic and microbiome alterations, in a mouse model of CD. Notably, the impact of the transition between acute and persistent infection differed between tissue sites, with sustained large-scale effects of infection in the esophagus and large intestine, provid- ing a potential mechanism for the tropism of CD within the GI tract. Infection affected acylcarnitine metabolism; carnitine supplementation prevented acute-stage CD mortality without affecting parasite burden by mitigating infection-induced metabolic disturbances and reducing cardiac strain. Overall, results identified a previously- unknown mechanism of disease tolerance in CD, with potential for new therapeutic regimen development. More broadly, results highlight the potential of spatially resolved metabolomics to provide insight into disease patho- genesis and infectious disease drug development.","author":[{"dropping-particle":"","family":"Hossain","given":"E","non-dropping-particle":"","parse-names":false,"suffix":""},{"dropping-particle":"","family":"Khanam","given":"S","non-dropping-particle":"","parse-names":false,"suffix":""},{"dropping-particle":"","family":"Dean","given":"D A","non-dropping-particle":"","parse-names":false,"suffix":""},{"dropping-particle":"","family":"Wu","given":"C","non-dropping-particle":"","parse-names":false,"suffix":""},{"dropping-particle":"","family":"Lostracco-Johnson","given":"S","non-dropping-particle":"","parse-names":false,"suffix":""},{"dropping-particle":"","family":"Thomas","given":"D","non-dropping-particle":"","parse-names":false,"suffix":""},{"dropping-particle":"","family":"Kane","given":"S S","non-dropping-particle":"","parse-names":false,"suffix":""},{"dropping-particle":"","family":"Parab","given":"A R","non-dropping-particle":"","parse-names":false,"suffix":""},{"dropping-particle":"","family":"Flores","given":"K","non-dropping-particle":"","parse-names":false,"suffix":""},{"dropping-particle":"","family":"Katemauswa","given":"M","non-dropping-particle":"","parse-names":false,"suffix":""},{"dropping-particle":"","family":"Gosmanov","given":"C","non-dropping-particle":"","parse-names":false,"suffix":""},{"dropping-particle":"","family":"Hayes","given":"S E","non-dropping-particle":"","parse-names":false,"suffix":""},{"dropping-particle":"","family":"Zhang","given":"Y","non-dropping-particle":"","parse-names":false,"suffix":""},{"dropping-particle":"","family":"Li","given":"D","non-dropping-particle":"","parse-names":false,"suffix":""},{"dropping-particle":"","family":"Woelfel-Monsivais","given":"C","non-dropping-particle":"","parse-names":false,"suffix":""},{"dropping-particle":"","family":"Sankaranarayanan","given":"K","non-dropping-particle":"","parse-names":false,"suffix":""},{"dropping-particle":"","family":"McCall","given":"L.-I.","non-dropping-particle":"","parse-names":false,"suffix":""}],"container-title":"Science Advances","id":"ITEM-2","issue":"30","issued":{"date-parts":[["2020"]]},"page":"1-15","title":"Mapping of host-parasite-microbiome interactions reveals metabolic determinants of tropism and tolerance in Chagas disease","type":"article-journal","volume":"6"},"uris":["http://www.mendeley.com/documents/?uuid=47b89974-d692-4922-883d-10d95d3ebb02"]},{"id":"ITEM-3","itemData":{"DOI":"10.1128/msystems.00353-22","ISSN":"23795077","abstract":"The influenza virus is a major health concern. Over 1 billion people become infected annually despite the wide distribution of vaccines, and antiviral agents are insufficient to address current clinical needs.The influenza virus (IAV) is a major cause of respiratory disease, with significant infection increases in pandemic years. Vaccines are a mainstay of IAV prevention but are complicated by IAV’s vast strain diversity and manufacturing and vaccine uptake limitations. While antivirals may be used for treatment of IAV, they are most effective in early stages of the infection, and several virus strains have become drug resistant. Therefore, there is a need for advances in IAV treatment, especially host-directed therapeutics. Given the spatial dynamics of IAV infection and the relationship between viral spatial distribution and disease severity, a spatial approach is necessary to expand our understanding of IAV pathogenesis. We used spatial metabolomics to address this issue. Spatial metabolomics combines liquid chromatography-tandem mass spectrometry of metabolites extracted from systematic organ sections, 3D models, and computational techniques to develop spatial models of metabolite location and their role in organ function and disease pathogenesis. In this project, we analyzed serum and systematically sectioned lung tissue samples from uninfected or infected mice. Spatial mapping of sites of metabolic perturbations revealed significantly lower metabolic perturbation in the trachea compared to other lung tissue sites. Using random forest machine learning, we identified metabolites that responded differently in each lung position based on infection, including specific amino acids, lipids and lipid-like molecules, and nucleosides. These results support the implementation of spatial metabolomics to understand metabolic changes upon respiratory virus infection. IMPORTANCE The influenza virus is a major health concern. Over 1 billion people become infected annually despite the wide distribution of vaccines, and antiviral agents are insufficient to address current clinical needs. In this study, we used spatial metabolomics to understand changes in the lung and serum metabolome of mice infected with influenza A virus compared to uninfected controls. We determined metabolites altered by infection in specific lung tissue sites and distinguished metabolites perturbed by infection between lung tissue and serum samples. Our findings highlight the utility of a spa…","author":[{"dropping-particle":"","family":"Dean","given":"Danya A.","non-dropping-particle":"","parse-names":false,"suffix":""},{"dropping-particle":"","family":"Klechka","given":"London","non-dropping-particle":"","parse-names":false,"suffix":""},{"dropping-particle":"","family":"Hossain","given":"Ekram","non-dropping-particle":"","parse-names":false,"suffix":""},{"dropping-particle":"","family":"Parab","given":"Adwaita R","non-dropping-particle":"","parse-names":false,"suffix":""},{"dropping-particle":"","family":"Eaton","given":"Krystin","non-dropping-particle":"","parse-names":false,"suffix":""},{"dropping-particle":"","family":"Hinsdale","given":"Myron","non-dropping-particle":"","parse-names":false,"suffix":""},{"dropping-particle":"","family":"McCall","given":"Laura-Isobel","non-dropping-particle":"","parse-names":false,"suffix":""}],"container-title":"mSystems","id":"ITEM-3","issue":"4","issued":{"date-parts":[["2022"]]},"publisher":"American Society for Microbiology","title":"Spatial Metabolomics Reveals Localized Impact of Influenza Virus Infection on the Lung Tissue Metabolome","type":"article-journal","volume":"7"},"uris":["http://www.mendeley.com/documents/?uuid=dc0594fc-2af1-44d7-8af5-cfd27621c7fe"]}],"mendeley":{"formattedCitation":"&lt;sup&gt;187–189&lt;/sup&gt;","plainTextFormattedCitation":"187–189","previouslyFormattedCitation":"&lt;sup&gt;187–189&lt;/sup&gt;"},"properties":{"noteIndex":0},"schema":"https://github.com/citation-style-language/schema/raw/master/csl-citation.json"}</w:instrText>
      </w:r>
      <w:r w:rsidR="00CE54CF" w:rsidRPr="00901194">
        <w:rPr>
          <w:rFonts w:cs="Times New Roman"/>
        </w:rPr>
        <w:fldChar w:fldCharType="separate"/>
      </w:r>
      <w:r w:rsidR="000D0072" w:rsidRPr="00901194">
        <w:rPr>
          <w:rFonts w:cs="Times New Roman"/>
          <w:noProof/>
          <w:vertAlign w:val="superscript"/>
        </w:rPr>
        <w:t>187–189</w:t>
      </w:r>
      <w:r w:rsidR="00CE54CF" w:rsidRPr="00901194">
        <w:rPr>
          <w:rFonts w:cs="Times New Roman"/>
        </w:rPr>
        <w:fldChar w:fldCharType="end"/>
      </w:r>
      <w:r w:rsidRPr="00901194">
        <w:rPr>
          <w:rFonts w:cs="Times New Roman"/>
        </w:rPr>
        <w:t>. All solvents used for LC-MS/MS analysis were LC-MS grade, unless otherwise indicated. LC was done using a Kinetex C8 core-shell column (50 x 2.1mm, 1.7 μm particle size, 100 Å pore size) maintained at 40</w:t>
      </w:r>
      <w:r w:rsidR="00CE54CF" w:rsidRPr="00901194">
        <w:rPr>
          <w:rFonts w:cs="Times New Roman"/>
        </w:rPr>
        <w:t xml:space="preserve"> </w:t>
      </w:r>
      <w:r w:rsidRPr="00901194">
        <w:rPr>
          <w:rFonts w:cs="Times New Roman"/>
        </w:rPr>
        <w:t>°C with a ThermoFisher Scientific Vanquish Flex Binary LC system. Samples were kept at 4</w:t>
      </w:r>
      <w:r w:rsidR="00CE54CF" w:rsidRPr="00901194">
        <w:rPr>
          <w:rFonts w:cs="Times New Roman"/>
        </w:rPr>
        <w:t xml:space="preserve"> </w:t>
      </w:r>
      <w:r w:rsidRPr="00901194">
        <w:rPr>
          <w:rFonts w:cs="Times New Roman"/>
        </w:rPr>
        <w:t xml:space="preserve">°C within the LC system autosampler. For LC, mobile phase solvent A was LC-MS grade water with 0.1% formic acid, and solvent B was LC-MS grade acetonitrile with 0.1% formic acid. A total of 5 μL from each sample was injected in random order. A 7.5-minute runtime elution gradient was used, starting with 2% solvent B for 60 s, gradually increased to 98% solvent B across 90 s, held 98% solvent B for 120 s, decreased to 2% solvent B for 60 s, and held at 2% solvent B for 120 s. </w:t>
      </w:r>
    </w:p>
    <w:p w14:paraId="76D30EF3" w14:textId="77777777" w:rsidR="000471C6" w:rsidRPr="00901194" w:rsidRDefault="000471C6" w:rsidP="000471C6">
      <w:pPr>
        <w:ind w:firstLine="720"/>
        <w:rPr>
          <w:rFonts w:cs="Times New Roman"/>
        </w:rPr>
      </w:pPr>
      <w:r w:rsidRPr="00901194">
        <w:rPr>
          <w:rFonts w:cs="Times New Roman"/>
        </w:rPr>
        <w:t xml:space="preserve">LC system was connected to a ThermoFisher Q Exactive Plus Hybrid Quadrupole-Orbitrap Mass Spectrometer for MS/MS analysis. MS1 and MS2 data were both collected in positive mode. Full MS resolution was set to 70,000, AGC target was 3e6, maximum IT was 246 ms, and scan range was 100-1500 </w:t>
      </w:r>
      <w:r w:rsidRPr="00901194">
        <w:rPr>
          <w:rFonts w:cs="Times New Roman"/>
          <w:i/>
          <w:iCs/>
        </w:rPr>
        <w:t>m/z</w:t>
      </w:r>
      <w:r w:rsidRPr="00901194">
        <w:rPr>
          <w:rFonts w:cs="Times New Roman"/>
        </w:rPr>
        <w:t xml:space="preserve">. Full MS2 resolution was 17,500, AGC target was 1e5, maximum IT was 54 ms, loop count was 5, and isolation window was 1 </w:t>
      </w:r>
      <w:r w:rsidRPr="00901194">
        <w:rPr>
          <w:rFonts w:cs="Times New Roman"/>
          <w:i/>
          <w:iCs/>
        </w:rPr>
        <w:t>m/z</w:t>
      </w:r>
      <w:r w:rsidRPr="00901194">
        <w:rPr>
          <w:rFonts w:cs="Times New Roman"/>
        </w:rPr>
        <w:t xml:space="preserve">. Additionally, MS2 data were collected using data-dependent acquisition. The most abundant ion of each MS/MS cycle was identified and 5 MS/MS scans of these ions were recorded. Data-dependent settings were: minimum AGC target of 8e3, intensity threshold of 1.5e5, and dynamic exclusion of 10 s. </w:t>
      </w:r>
    </w:p>
    <w:p w14:paraId="43B10408" w14:textId="01773D62" w:rsidR="000471C6" w:rsidRPr="00901194" w:rsidRDefault="000471C6" w:rsidP="000471C6">
      <w:pPr>
        <w:pStyle w:val="Subsub-chapterHeading"/>
      </w:pPr>
      <w:bookmarkStart w:id="73" w:name="_Toc134185972"/>
      <w:r w:rsidRPr="00901194">
        <w:t>Untargeted Metabolomics Data Analysis</w:t>
      </w:r>
      <w:bookmarkEnd w:id="73"/>
    </w:p>
    <w:p w14:paraId="78F4846A" w14:textId="7606B3A2" w:rsidR="000471C6" w:rsidRPr="00901194" w:rsidRDefault="000471C6" w:rsidP="000471C6">
      <w:pPr>
        <w:ind w:firstLine="720"/>
        <w:rPr>
          <w:rFonts w:cs="Times New Roman"/>
        </w:rPr>
      </w:pPr>
      <w:r w:rsidRPr="00901194">
        <w:rPr>
          <w:rFonts w:cs="Times New Roman"/>
        </w:rPr>
        <w:t>Following data acquisition, raw data files were converted to mzXML format using MSConvert</w:t>
      </w:r>
      <w:r w:rsidR="00CE54CF" w:rsidRPr="00901194">
        <w:rPr>
          <w:rFonts w:cs="Times New Roman"/>
        </w:rPr>
        <w:fldChar w:fldCharType="begin" w:fldLock="1"/>
      </w:r>
      <w:r w:rsidR="00CE54CF" w:rsidRPr="00901194">
        <w:rPr>
          <w:rFonts w:cs="Times New Roman"/>
        </w:rPr>
        <w:instrText>ADDIN CSL_CITATION {"citationItems":[{"id":"ITEM-1","itemData":{"DOI":"10.1038/nbt.2377","ISSN":"1087-0156","abstract":"Mass-spectrometry-based proteomics has become an important component of biological research. Numerous proteomics methods have been developed to identify and quantify the proteins in biological and clinical samples1, identify pathways affected by endogenous and exogenous perturbations2, and characterize protein complexes3. Despite successes, the interpretation of vast proteomics datasets remains a challenge. There have been several calls for improvements and standardization of proteomics data analysis frameworks, as well as for an application- programming interface for proteomics data access4,5. In response, we have developed the ProteoWizard Toolkit, a robust set of open-source, software libraries and applications designed to facilitate proteomics research. The libraries implement the first-ever, non-commercial, unified data access interface for proteomics, bridging field-standard open formats and all common vendor formats. In addition, diverse software classes enable rapid development of vendor-agnostic proteomics software. Additionally, ProteoWizard projects and applications, building upon the core libraries, are becoming standard tools for enabling significant proteomics inquiries.","author":[{"dropping-particle":"","family":"Chambers","given":"Matthew C","non-dropping-particle":"","parse-names":false,"suffix":""},{"dropping-particle":"","family":"Maclean","given":"Brendan","non-dropping-particle":"","parse-names":false,"suffix":""},{"dropping-particle":"","family":"Burke","given":"Robert","non-dropping-particle":"","parse-names":false,"suffix":""},{"dropping-particle":"","family":"Amodei","given":"Dario","non-dropping-particle":"","parse-names":false,"suffix":""},{"dropping-particle":"","family":"Ruderman","given":"Daniel L","non-dropping-particle":"","parse-names":false,"suffix":""},{"dropping-particle":"","family":"Neumann","given":"Steffen","non-dropping-particle":"","parse-names":false,"suffix":""},{"dropping-particle":"","family":"Gatto","given":"Laurent","non-dropping-particle":"","parse-names":false,"suffix":""},{"dropping-particle":"","family":"Fischer","given":"Bernd","non-dropping-particle":"","parse-names":false,"suffix":""},{"dropping-particle":"","family":"Pratt","given":"Brian","non-dropping-particle":"","parse-names":false,"suffix":""},{"dropping-particle":"","family":"Egertson","given":"Jarrett","non-dropping-particle":"","parse-names":false,"suffix":""},{"dropping-particle":"","family":"Hoff","given":"Katherine","non-dropping-particle":"","parse-names":false,"suffix":""},{"dropping-particle":"","family":"Kessner","given":"Darren","non-dropping-particle":"","parse-names":false,"suffix":""},{"dropping-particle":"","family":"Tasman","given":"Natalie","non-dropping-particle":"","parse-names":false,"suffix":""},{"dropping-particle":"","family":"Shulman","given":"Nicholas","non-dropping-particle":"","parse-names":false,"suffix":""},{"dropping-particle":"","family":"Frewen","given":"Barbara","non-dropping-particle":"","parse-names":false,"suffix":""},{"dropping-particle":"","family":"Baker","given":"Tahmina A","non-dropping-particle":"","parse-names":false,"suffix":""},{"dropping-particle":"","family":"Brusniak","given":"Mi-Youn","non-dropping-particle":"","parse-names":false,"suffix":""},{"dropping-particle":"","family":"Paulse","given":"Christopher","non-dropping-particle":"","parse-names":false,"suffix":""},{"dropping-particle":"","family":"Creasy","given":"David","non-dropping-particle":"","parse-names":false,"suffix":""},{"dropping-particle":"","family":"Flashner","given":"Lisa","non-dropping-particle":"","parse-names":false,"suffix":""},{"dropping-particle":"","family":"Kani","given":"Kian","non-dropping-particle":"","parse-names":false,"suffix":""},{"dropping-particle":"","family":"Moulding","given":"Chris","non-dropping-particle":"","parse-names":false,"suffix":""},{"dropping-particle":"","family":"Seymour","given":"Sean L","non-dropping-particle":"","parse-names":false,"suffix":""},{"dropping-particle":"","family":"Nuwaysir","given":"Lydia M","non-dropping-particle":"","parse-names":false,"suffix":""},{"dropping-particle":"","family":"Lefebvre","given":"Brent","non-dropping-particle":"","parse-names":false,"suffix":""},{"dropping-particle":"","family":"Kuhlmann","given":"Frank","non-dropping-particle":"","parse-names":false,"suffix":""},{"dropping-particle":"","family":"Roark","given":"Joe","non-dropping-particle":"","parse-names":false,"suffix":""},{"dropping-particle":"","family":"Rainer","given":"Paape","non-dropping-particle":"","parse-names":false,"suffix":""},{"dropping-particle":"","family":"Detlev","given":"Suckau","non-dropping-particle":"","parse-names":false,"suffix":""},{"dropping-particle":"","family":"Hemenway","given":"Tina","non-dropping-particle":"","parse-names":false,"suffix":""},{"dropping-particle":"","family":"Huhmer","given":"Andreas","non-dropping-particle":"","parse-names":false,"suffix":""},{"dropping-particle":"","family":"Langridge","given":"James","non-dropping-particle":"","parse-names":false,"suffix":""},{"dropping-particle":"","family":"Connolly","given":"Brian","non-dropping-particle":"","parse-names":false,"suffix":""},{"dropping-particle":"","family":"Chadick","given":"Trey","non-dropping-particle":"","parse-names":false,"suffix":""},{"dropping-particle":"","family":"Holly","given":"Krisztina","non-dropping-particle":"","parse-names":false,"suffix":""},{"dropping-particle":"","family":"Eckels","given":"Josh","non-dropping-particle":"","parse-names":false,"suffix":""},{"dropping-particle":"","family":"Deutsch","given":"Eric W","non-dropping-particle":"","parse-names":false,"suffix":""},{"dropping-particle":"","family":"Moritz","given":"Robert L","non-dropping-particle":"","parse-names":false,"suffix":""},{"dropping-particle":"","family":"Katz","given":"Jonathan E","non-dropping-particle":"","parse-names":false,"suffix":""},{"dropping-particle":"","family":"Agus","given":"David B","non-dropping-particle":"","parse-names":false,"suffix":""},{"dropping-particle":"","family":"MacCoss","given":"Michael","non-dropping-particle":"","parse-names":false,"suffix":""},{"dropping-particle":"","family":"Tabb","given":"David L","non-dropping-particle":"","parse-names":false,"suffix":""},{"dropping-particle":"","family":"Mallick","given":"Parag","non-dropping-particle":"","parse-names":false,"suffix":""}],"container-title":"Nature Biotechnology","id":"ITEM-1","issue":"10","issued":{"date-parts":[["2012"]]},"page":"918-920","title":"A cross-platform toolkit for mass spectrometry and proteomics","type":"article-journal","volume":"30"},"uris":["http://www.mendeley.com/documents/?uuid=ddae3bb1-e2d9-4551-8e01-279f63da7e17"]}],"mendeley":{"formattedCitation":"&lt;sup&gt;98&lt;/sup&gt;","plainTextFormattedCitation":"98","previouslyFormattedCitation":"&lt;sup&gt;98&lt;/sup&gt;"},"properties":{"noteIndex":0},"schema":"https://github.com/citation-style-language/schema/raw/master/csl-citation.json"}</w:instrText>
      </w:r>
      <w:r w:rsidR="00CE54CF" w:rsidRPr="00901194">
        <w:rPr>
          <w:rFonts w:cs="Times New Roman"/>
        </w:rPr>
        <w:fldChar w:fldCharType="separate"/>
      </w:r>
      <w:r w:rsidR="00CE54CF" w:rsidRPr="00901194">
        <w:rPr>
          <w:rFonts w:cs="Times New Roman"/>
          <w:noProof/>
          <w:vertAlign w:val="superscript"/>
        </w:rPr>
        <w:t>98</w:t>
      </w:r>
      <w:r w:rsidR="00CE54CF" w:rsidRPr="00901194">
        <w:rPr>
          <w:rFonts w:cs="Times New Roman"/>
        </w:rPr>
        <w:fldChar w:fldCharType="end"/>
      </w:r>
      <w:r w:rsidRPr="00901194">
        <w:rPr>
          <w:rFonts w:cs="Times New Roman"/>
        </w:rPr>
        <w:t xml:space="preserve"> v3.019014f9d568a3b. All mzXML files were imported into MZmine</w:t>
      </w:r>
      <w:r w:rsidR="00CE54CF" w:rsidRPr="00901194">
        <w:rPr>
          <w:rFonts w:cs="Times New Roman"/>
        </w:rPr>
        <w:fldChar w:fldCharType="begin" w:fldLock="1"/>
      </w:r>
      <w:r w:rsidR="00CE54CF" w:rsidRPr="00901194">
        <w:rPr>
          <w:rFonts w:cs="Times New Roman"/>
        </w:rPr>
        <w:instrText>ADDIN CSL_CITATION {"citationItems":[{"id":"ITEM-1","itemData":{"DOI":"10.1186/1471-2105-11-395","ISSN":"14712105","abstract":"BACKGROUND Mass spectrometry (MS) coupled with online separation methods is commonly applied for differential and quantitative profiling of biological samples in metabolomic as well as proteomic research. Such approaches are used for systems biology, functional genomics, and biomarker discovery, among others. An ongoing challenge of these molecular profiling approaches, however, is the development of better data processing methods. Here we introduce a new generation of a popular open-source data processing toolbox, MZmine 2. RESULTS A key concept of the MZmine 2 software design is the strict separation of core functionality and data processing modules, with emphasis on easy usability and support for high-resolution spectra processing. Data processing modules take advantage of embedded visualization tools, allowing for immediate previews of parameter settings. Newly introduced functionality includes the identification of peaks using online databases, MSn data support, improved isotope pattern support, scatter plot visualization, and a new method for peak list alignment based on the random sample consensus (RANSAC) algorithm. The performance of the RANSAC alignment was evaluated using synthetic datasets as well as actual experimental data, and the results were compared to those obtained using other alignment algorithms. CONCLUSIONS MZmine 2 is freely available under a GNU GPL license and can be obtained from the project website at: http://mzmine.sourceforge.net/. The current version of MZmine 2 is suitable for processing large batches of data and has been applied to both targeted and non-targeted metabolomic analyses.","author":[{"dropping-particle":"","family":"Pluskal","given":"Tomáš","non-dropping-particle":"","parse-names":false,"suffix":""},{"dropping-particle":"","family":"Castillo","given":"Sandra","non-dropping-particle":"","parse-names":false,"suffix":""},{"dropping-particle":"","family":"Villar-Briones","given":"Alejandro","non-dropping-particle":"","parse-names":false,"suffix":""},{"dropping-particle":"","family":"Orešič","given":"Matej","non-dropping-particle":"","parse-names":false,"suffix":""}],"container-title":"BMC Bioinformatics","id":"ITEM-1","issued":{"date-parts":[["2010"]]},"title":"MZmine 2: Modular framework for processing, visualizing, and analyzing mass spectrometry-based molecular profile data","type":"article-journal","volume":"11"},"uris":["http://www.mendeley.com/documents/?uuid=7072d1dd-ad8c-4e5f-9f8f-241da5becf52"]}],"mendeley":{"formattedCitation":"&lt;sup&gt;100&lt;/sup&gt;","plainTextFormattedCitation":"100","previouslyFormattedCitation":"&lt;sup&gt;100&lt;/sup&gt;"},"properties":{"noteIndex":0},"schema":"https://github.com/citation-style-language/schema/raw/master/csl-citation.json"}</w:instrText>
      </w:r>
      <w:r w:rsidR="00CE54CF" w:rsidRPr="00901194">
        <w:rPr>
          <w:rFonts w:cs="Times New Roman"/>
        </w:rPr>
        <w:fldChar w:fldCharType="separate"/>
      </w:r>
      <w:r w:rsidR="00CE54CF" w:rsidRPr="00901194">
        <w:rPr>
          <w:rFonts w:cs="Times New Roman"/>
          <w:noProof/>
          <w:vertAlign w:val="superscript"/>
        </w:rPr>
        <w:t>100</w:t>
      </w:r>
      <w:r w:rsidR="00CE54CF" w:rsidRPr="00901194">
        <w:rPr>
          <w:rFonts w:cs="Times New Roman"/>
        </w:rPr>
        <w:fldChar w:fldCharType="end"/>
      </w:r>
      <w:r w:rsidRPr="00901194">
        <w:rPr>
          <w:rFonts w:cs="Times New Roman"/>
        </w:rPr>
        <w:t xml:space="preserve"> v2.53 for detecting sample peaks, building chromatograms, isotope grouping, aligning MS features and </w:t>
      </w:r>
      <w:r w:rsidRPr="00901194">
        <w:rPr>
          <w:rFonts w:cs="Times New Roman"/>
        </w:rPr>
        <w:lastRenderedPageBreak/>
        <w:t>filtering</w:t>
      </w:r>
      <w:r w:rsidR="00CE54CF" w:rsidRPr="00901194">
        <w:rPr>
          <w:rFonts w:cs="Times New Roman"/>
        </w:rPr>
        <w:fldChar w:fldCharType="begin" w:fldLock="1"/>
      </w:r>
      <w:r w:rsidR="009D364B" w:rsidRPr="00901194">
        <w:rPr>
          <w:rFonts w:cs="Times New Roman"/>
        </w:rPr>
        <w:instrText>ADDIN CSL_CITATION {"citationItems":[{"id":"ITEM-1","itemData":{"DOI":"10.1038/s41592-020-0933-6","ISSN":"15487105","PMID":"32839597","abstract":"Molecular networking has become a key method to visualize and annotate the chemical space in non-targeted mass spectrometry data. We present feature-based molecular networking (FBMN) as an analysis method in the Global Natural Products Social Molecular Networking (GNPS) infrastructure that builds on chromatographic feature detection and alignment tools. FBMN enables quantitative analysis and resolution of isomers, including from ion mobility spectrometry.","author":[{"dropping-particle":"","family":"Nothias","given":"Louis Félix","non-dropping-particle":"","parse-names":false,"suffix":""},{"dropping-particle":"","family":"Petras","given":"Daniel","non-dropping-particle":"","parse-names":false,"suffix":""},{"dropping-particle":"","family":"Schmid","given":"Robin","non-dropping-particle":"","parse-names":false,"suffix":""},{"dropping-particle":"","family":"Dührkop","given":"Kai","non-dropping-particle":"","parse-names":false,"suffix":""},{"dropping-particle":"","family":"Rainer","given":"Johannes","non-dropping-particle":"","parse-names":false,"suffix":""},{"dropping-particle":"","family":"Sarvepalli","given":"Abinesh","non-dropping-particle":"","parse-names":false,"suffix":""},{"dropping-particle":"","family":"Protsyuk","given":"Ivan","non-dropping-particle":"","parse-names":false,"suffix":""},{"dropping-particle":"","family":"Ernst","given":"Madeleine","non-dropping-particle":"","parse-names":false,"suffix":""},{"dropping-particle":"","family":"Tsugawa","given":"Hiroshi","non-dropping-particle":"","parse-names":false,"suffix":""},{"dropping-particle":"","family":"Fleischauer","given":"Markus","non-dropping-particle":"","parse-names":false,"suffix":""},{"dropping-particle":"","family":"Aicheler","given":"Fabian","non-dropping-particle":"","parse-names":false,"suffix":""},{"dropping-particle":"","family":"Aksenov","given":"Alexander A.","non-dropping-particle":"","parse-names":false,"suffix":""},{"dropping-particle":"","family":"Alka","given":"Oliver","non-dropping-particle":"","parse-names":false,"suffix":""},{"dropping-particle":"","family":"Allard","given":"Pierre Marie","non-dropping-particle":"","parse-names":false,"suffix":""},{"dropping-particle":"","family":"Barsch","given":"Aiko","non-dropping-particle":"","parse-names":false,"suffix":""},{"dropping-particle":"","family":"Cachet","given":"Xavier","non-dropping-particle":"","parse-names":false,"suffix":""},{"dropping-particle":"","family":"Caraballo-Rodriguez","given":"Andres Mauricio","non-dropping-particle":"","parse-names":false,"suffix":""},{"dropping-particle":"","family":"Silva","given":"Ricardo R.","non-dropping-particle":"Da","parse-names":false,"suffix":""},{"dropping-particle":"","family":"Dang","given":"Tam","non-dropping-particle":"","parse-names":false,"suffix":""},{"dropping-particle":"","family":"Garg","given":"Neha","non-dropping-particle":"","parse-names":false,"suffix":""},{"dropping-particle":"","family":"Gauglitz","given":"Julia M.","non-dropping-particle":"","parse-names":false,"suffix":""},{"dropping-particle":"","family":"Gurevich","given":"Alexey","non-dropping-particle":"","parse-names":false,"suffix":""},{"dropping-particle":"","family":"Isaac","given":"Giorgis","non-dropping-particle":"","parse-names":false,"suffix":""},{"dropping-particle":"","family":"Jarmusch","given":"Alan K.","non-dropping-particle":"","parse-names":false,"suffix":""},{"dropping-particle":"","family":"Kameník","given":"Zdeněk","non-dropping-particle":"","parse-names":false,"suffix":""},{"dropping-particle":"Bin","family":"Kang","given":"Kyo","non-dropping-particle":"","parse-names":false,"suffix":""},{"dropping-particle":"","family":"Kessler","given":"Nikolas","non-dropping-particle":"","parse-names":false,"suffix":""},{"dropping-particle":"","family":"Koester","given":"Irina","non-dropping-particle":"","parse-names":false,"suffix":""},{"dropping-particle":"","family":"Korf","given":"Ansgar","non-dropping-particle":"","parse-names":false,"suffix":""},{"dropping-particle":"","family":"Gouellec","given":"Audrey","non-dropping-particle":"Le","parse-names":false,"suffix":""},{"dropping-particle":"","family":"Ludwig","given":"Marcus","non-dropping-particle":"","parse-names":false,"suffix":""},{"dropping-particle":"","family":"Martin H","given":"Christian","non-dropping-particle":"","parse-names":false,"suffix":""},{"dropping-particle":"","family":"McCall","given":"Laura Isobel","non-dropping-particle":"","parse-names":false,"suffix":""},{"dropping-particle":"","family":"McSayles","given":"Jonathan","non-dropping-particle":"","parse-names":false,"suffix":""},{"dropping-particle":"","family":"Meyer","given":"Sven W.","non-dropping-particle":"","parse-names":false,"suffix":""},{"dropping-particle":"","family":"Mohimani","given":"Hosein","non-dropping-particle":"","parse-names":false,"suffix":""},{"dropping-particle":"","family":"Morsy","given":"Mustafa","non-dropping-particle":"","parse-names":false,"suffix":""},{"dropping-particle":"","family":"Moyne","given":"Oriane","non-dropping-particle":"","parse-names":false,"suffix":""},{"dropping-particle":"","family":"Neumann","given":"Steffen","non-dropping-particle":"","parse-names":false,"suffix":""},{"dropping-particle":"","family":"Neuweger","given":"Heiko","non-dropping-particle":"","parse-names":false,"suffix":""},{"dropping-particle":"","family":"Nguyen","given":"Ngoc Hung","non-dropping-particle":"","parse-names":false,"suffix":""},{"dropping-particle":"","family":"Nothias-Esposito","given":"Melissa","non-dropping-particle":"","parse-names":false,"suffix":""},{"dropping-particle":"","family":"Paolini","given":"Julien","non-dropping-particle":"","parse-names":false,"suffix":""},{"dropping-particle":"V.","family":"Phelan","given":"Vanessa","non-dropping-particle":"","parse-names":false,"suffix":""},{"dropping-particle":"","family":"Pluskal","given":"Tomáš","non-dropping-particle":"","parse-names":false,"suffix":""},{"dropping-particle":"","family":"Quinn","given":"Robert A.","non-dropping-particle":"","parse-names":false,"suffix":""},{"dropping-particle":"","family":"Rogers","given":"Simon","non-dropping-particle":"","parse-names":false,"suffix":""},{"dropping-particle":"","family":"Shrestha","given":"Bindesh","non-dropping-particle":"","parse-names":false,"suffix":""},{"dropping-particle":"","family":"Tripathi","given":"Anupriya","non-dropping-particle":"","parse-names":false,"suffix":""},{"dropping-particle":"","family":"Hooft","given":"Justin J.J.","non-dropping-particle":"van der","parse-names":false,"suffix":""},{"dropping-particle":"","family":"Vargas","given":"Fernando","non-dropping-particle":"","parse-names":false,"suffix":""},{"dropping-particle":"","family":"Weldon","given":"Kelly C.","non-dropping-particle":"","parse-names":false,"suffix":""},{"dropping-particle":"","family":"Witting","given":"Michael","non-dropping-particle":"","parse-names":false,"suffix":""},{"dropping-particle":"","family":"Yang","given":"Heejung","non-dropping-particle":"","parse-names":false,"suffix":""},{"dropping-particle":"","family":"Zhang","given":"Zheng","non-dropping-particle":"","parse-names":false,"suffix":""},{"dropping-particle":"","family":"Zubeil","given":"Florian","non-dropping-particle":"","parse-names":false,"suffix":""},{"dropping-particle":"","family":"Kohlbacher","given":"Oliver","non-dropping-particle":"","parse-names":false,"suffix":""},{"dropping-particle":"","family":"Böcker","given":"Sebastian","non-dropping-particle":"","parse-names":false,"suffix":""},{"dropping-particle":"","family":"Alexandrov","given":"Theodore","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C.","non-dropping-particle":"","parse-names":false,"suffix":""}],"container-title":"Nature Methods","id":"ITEM-1","issue":"9","issued":{"date-parts":[["2020"]]},"note":"Summary: Outlines FBMN and compares it with classical MN, which focuses on spectral count or summed precursor ion count while FBMN uses feature abundance from aligned features. FBMN enables distinguishing isomers producing similar MS2 spectra, facilitates spectra annotation, and incorporates relative quantitative info for downsteam mtbms analyses. Limitations of FBMN compared to classical MN are: greater computational power, more time needed for analysis, and limitations with feature detection/alignment software needed to generate files for FBMN (e.g., mzmine).","page":"905-908","publisher":"Springer US","title":"Feature-based molecular networking in the GNPS analysis environment","type":"article-journal","volume":"17"},"uris":["http://www.mendeley.com/documents/?uuid=d19e788b-2778-4354-8c94-1b790a5a9b5d"]}],"mendeley":{"formattedCitation":"&lt;sup&gt;190&lt;/sup&gt;","plainTextFormattedCitation":"190","previouslyFormattedCitation":"&lt;sup&gt;190&lt;/sup&gt;"},"properties":{"noteIndex":0},"schema":"https://github.com/citation-style-language/schema/raw/master/csl-citation.json"}</w:instrText>
      </w:r>
      <w:r w:rsidR="00CE54CF" w:rsidRPr="00901194">
        <w:rPr>
          <w:rFonts w:cs="Times New Roman"/>
        </w:rPr>
        <w:fldChar w:fldCharType="separate"/>
      </w:r>
      <w:r w:rsidR="000D0072" w:rsidRPr="00901194">
        <w:rPr>
          <w:rFonts w:cs="Times New Roman"/>
          <w:noProof/>
          <w:vertAlign w:val="superscript"/>
        </w:rPr>
        <w:t>190</w:t>
      </w:r>
      <w:r w:rsidR="00CE54CF" w:rsidRPr="00901194">
        <w:rPr>
          <w:rFonts w:cs="Times New Roman"/>
        </w:rPr>
        <w:fldChar w:fldCharType="end"/>
      </w:r>
      <w:r w:rsidRPr="00901194">
        <w:rPr>
          <w:rFonts w:cs="Times New Roman"/>
        </w:rPr>
        <w:t xml:space="preserve">. MZmine parameters were as follows for feature detection: centroided MS1 mass detection, MS1 noise level was 1E5, and MS2 noise level was 1E3; for ADAP chromatogram builder: minimum group size in number of scans was three, group intensity was 1E5, minimum highest intensity was 3E5, </w:t>
      </w:r>
      <w:r w:rsidRPr="00901194">
        <w:rPr>
          <w:rFonts w:cs="Times New Roman"/>
          <w:i/>
          <w:iCs/>
        </w:rPr>
        <w:t xml:space="preserve">m/z </w:t>
      </w:r>
      <w:r w:rsidRPr="00901194">
        <w:rPr>
          <w:rFonts w:cs="Times New Roman"/>
        </w:rPr>
        <w:t xml:space="preserve">tolerance was 10 ppm; for chromatogram deconvolution: local minimum parameter enabled, chromatographic threshold was 20%, search minimum in RT range was 0.05 min, minimum relative height was 26%, minimum absolute height was 3E5, minimum ratio of peak top/edge was 1, peak duration range was 0.01-1.1, </w:t>
      </w:r>
      <w:r w:rsidRPr="00901194">
        <w:rPr>
          <w:rFonts w:cs="Times New Roman"/>
          <w:i/>
          <w:iCs/>
        </w:rPr>
        <w:t xml:space="preserve">m/z </w:t>
      </w:r>
      <w:r w:rsidRPr="00901194">
        <w:rPr>
          <w:rFonts w:cs="Times New Roman"/>
        </w:rPr>
        <w:t xml:space="preserve">center calculation was set to “median”, </w:t>
      </w:r>
      <w:r w:rsidRPr="00901194">
        <w:rPr>
          <w:rFonts w:cs="Times New Roman"/>
          <w:i/>
          <w:iCs/>
        </w:rPr>
        <w:t xml:space="preserve">m/z </w:t>
      </w:r>
      <w:r w:rsidRPr="00901194">
        <w:rPr>
          <w:rFonts w:cs="Times New Roman"/>
        </w:rPr>
        <w:t xml:space="preserve">range for MS2 scan pairing was 0.01 Da, and RT range for MS2 scan pairing was 0.1 min; for isotopes peak grouper: isotope peak grouper was 10 ppm, RT tolerance was 0.1 min, charge was 3, and lowest </w:t>
      </w:r>
      <w:r w:rsidRPr="00901194">
        <w:rPr>
          <w:rFonts w:cs="Times New Roman"/>
          <w:i/>
          <w:iCs/>
        </w:rPr>
        <w:t xml:space="preserve">m/z </w:t>
      </w:r>
      <w:r w:rsidRPr="00901194">
        <w:rPr>
          <w:rFonts w:cs="Times New Roman"/>
        </w:rPr>
        <w:t xml:space="preserve">was enabled; for alignment: join aligner was 10 ppm, RT threshold was 0.1 min, </w:t>
      </w:r>
      <w:r w:rsidRPr="00901194">
        <w:rPr>
          <w:rFonts w:cs="Times New Roman"/>
          <w:i/>
          <w:iCs/>
        </w:rPr>
        <w:t xml:space="preserve">m/z </w:t>
      </w:r>
      <w:r w:rsidRPr="00901194">
        <w:rPr>
          <w:rFonts w:cs="Times New Roman"/>
        </w:rPr>
        <w:t>weight was 1, and RT threshold weight was 1; for feature list row filter: keep only with MS2 scan was enabled, RT 0.5-7 min, minimum peaks in a row: 5, and reset ID was enabled.</w:t>
      </w:r>
    </w:p>
    <w:p w14:paraId="5788CAB8" w14:textId="67145162" w:rsidR="000471C6" w:rsidRPr="00901194" w:rsidRDefault="000471C6" w:rsidP="000471C6">
      <w:pPr>
        <w:ind w:firstLine="720"/>
        <w:rPr>
          <w:rFonts w:cs="Times New Roman"/>
        </w:rPr>
      </w:pPr>
      <w:r w:rsidRPr="00901194">
        <w:rPr>
          <w:rFonts w:cs="Times New Roman"/>
        </w:rPr>
        <w:t>FBMN was performed using Global Natural Products Social Molecular Networking (GNPS)</w:t>
      </w:r>
      <w:r w:rsidR="00CE54CF" w:rsidRPr="00901194">
        <w:rPr>
          <w:rFonts w:cs="Times New Roman"/>
        </w:rPr>
        <w:fldChar w:fldCharType="begin" w:fldLock="1"/>
      </w:r>
      <w:r w:rsidR="00CE54CF" w:rsidRPr="00901194">
        <w:rPr>
          <w:rFonts w:cs="Times New Roman"/>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00CE54CF" w:rsidRPr="00901194">
        <w:rPr>
          <w:rFonts w:cs="Times New Roman"/>
        </w:rPr>
        <w:fldChar w:fldCharType="separate"/>
      </w:r>
      <w:r w:rsidR="00CE54CF" w:rsidRPr="00901194">
        <w:rPr>
          <w:rFonts w:cs="Times New Roman"/>
          <w:noProof/>
          <w:vertAlign w:val="superscript"/>
        </w:rPr>
        <w:t>45</w:t>
      </w:r>
      <w:r w:rsidR="00CE54CF" w:rsidRPr="00901194">
        <w:rPr>
          <w:rFonts w:cs="Times New Roman"/>
        </w:rPr>
        <w:fldChar w:fldCharType="end"/>
      </w:r>
      <w:r w:rsidRPr="00901194">
        <w:rPr>
          <w:rFonts w:cs="Times New Roman"/>
        </w:rPr>
        <w:t xml:space="preserve"> using the v28.1 GNPS workflow and spectral libraries. For FBMN analysis of MS/MS data, GNPS parameters were as follows: precursor ion mass tolerance was 0.02 Da, fragment ion mass tolerance was 0.02 Da, row sum normalization per file was enabled, mean aggregation for peak abundances per group was enabled, minimum peak filtering intensity was 0, filtered precursor window, filtered peaks in 50 Da window, filtered library, library search minimum matched peaks was 4, cosine score library search threshold was 0.7, maximum analog search mass difference was 100 Da, minimum pairs cosine score for networking was 0.7, maximum number of neighboring nodes was 10, minimum matched fragment ions was 4, maximum connected component size was 100, and maximum shift between precursors was 500 Da (level 2 </w:t>
      </w:r>
      <w:r w:rsidRPr="00901194">
        <w:rPr>
          <w:rFonts w:cs="Times New Roman"/>
        </w:rPr>
        <w:lastRenderedPageBreak/>
        <w:t>metabolite annotation per Metabolomics Standards Initiative</w:t>
      </w:r>
      <w:r w:rsidR="006901F4" w:rsidRPr="00901194">
        <w:rPr>
          <w:rFonts w:cs="Times New Roman"/>
        </w:rPr>
        <w:fldChar w:fldCharType="begin" w:fldLock="1"/>
      </w:r>
      <w:r w:rsidR="006901F4"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6901F4" w:rsidRPr="00901194">
        <w:rPr>
          <w:rFonts w:cs="Times New Roman"/>
        </w:rPr>
        <w:fldChar w:fldCharType="separate"/>
      </w:r>
      <w:r w:rsidR="006901F4" w:rsidRPr="00901194">
        <w:rPr>
          <w:rFonts w:cs="Times New Roman"/>
          <w:noProof/>
          <w:vertAlign w:val="superscript"/>
        </w:rPr>
        <w:t>41</w:t>
      </w:r>
      <w:r w:rsidR="006901F4" w:rsidRPr="00901194">
        <w:rPr>
          <w:rFonts w:cs="Times New Roman"/>
        </w:rPr>
        <w:fldChar w:fldCharType="end"/>
      </w:r>
      <w:r w:rsidRPr="00901194">
        <w:rPr>
          <w:rFonts w:cs="Times New Roman"/>
        </w:rPr>
        <w:t>). Results were exported to Cytoscape v3.9.1</w:t>
      </w:r>
      <w:r w:rsidR="00CE54CF" w:rsidRPr="00901194">
        <w:rPr>
          <w:rFonts w:cs="Times New Roman"/>
        </w:rPr>
        <w:fldChar w:fldCharType="begin" w:fldLock="1"/>
      </w:r>
      <w:r w:rsidR="006901F4" w:rsidRPr="00901194">
        <w:rPr>
          <w:rFonts w:cs="Times New Roman"/>
        </w:rPr>
        <w:instrText>ADDIN CSL_CITATION {"citationItems":[{"id":"ITEM-1","itemData":{"DOI":"10.1101/gr.1239303.metabolite","ISBN":"1088-9051 (Print) 1088-9051 (Linking)","ISSN":"1088-9051","PMID":"14597658","abstract":"Cytoscape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author":[{"dropping-particle":"","family":"Shannon","given":"Paul","non-dropping-particle":"","parse-names":false,"suffix":""},{"dropping-particle":"","family":"Markiel","given":"Andrew","non-dropping-particle":"","parse-names":false,"suffix":""},{"dropping-particle":"","family":"Ozier","given":"Owen","non-dropping-particle":"","parse-names":false,"suffix":""},{"dropping-particle":"","family":"Baliga","given":"Nitin S.","non-dropping-particle":"","parse-names":false,"suffix":""},{"dropping-particle":"","family":"Wang","given":"Jonathan T.","non-dropping-particle":"","parse-names":false,"suffix":""},{"dropping-particle":"","family":"Ramage","given":"Daniel","non-dropping-particle":"","parse-names":false,"suffix":""},{"dropping-particle":"","family":"Amin","given":"Nada","non-dropping-particle":"","parse-names":false,"suffix":""},{"dropping-particle":"","family":"Schikowski","given":"Benno","non-dropping-particle":"","parse-names":false,"suffix":""},{"dropping-particle":"","family":"Ideker","given":"Trey","non-dropping-particle":"","parse-names":false,"suffix":""}],"container-title":"Genome Research","id":"ITEM-1","issued":{"date-parts":[["2003"]]},"page":"2498-2504","title":"Cytoscape: A Software Environment for Integrated Models","type":"article-journal","volume":"13"},"uris":["http://www.mendeley.com/documents/?uuid=efe6b25c-e11a-48d6-b318-db1a486bcade"]}],"mendeley":{"formattedCitation":"&lt;sup&gt;103&lt;/sup&gt;","plainTextFormattedCitation":"103","previouslyFormattedCitation":"&lt;sup&gt;103&lt;/sup&gt;"},"properties":{"noteIndex":0},"schema":"https://github.com/citation-style-language/schema/raw/master/csl-citation.json"}</w:instrText>
      </w:r>
      <w:r w:rsidR="00CE54CF" w:rsidRPr="00901194">
        <w:rPr>
          <w:rFonts w:cs="Times New Roman"/>
        </w:rPr>
        <w:fldChar w:fldCharType="separate"/>
      </w:r>
      <w:r w:rsidR="00CE54CF" w:rsidRPr="00901194">
        <w:rPr>
          <w:rFonts w:cs="Times New Roman"/>
          <w:noProof/>
          <w:vertAlign w:val="superscript"/>
        </w:rPr>
        <w:t>103</w:t>
      </w:r>
      <w:r w:rsidR="00CE54CF" w:rsidRPr="00901194">
        <w:rPr>
          <w:rFonts w:cs="Times New Roman"/>
        </w:rPr>
        <w:fldChar w:fldCharType="end"/>
      </w:r>
      <w:r w:rsidRPr="00901194">
        <w:rPr>
          <w:rFonts w:cs="Times New Roman"/>
        </w:rPr>
        <w:t xml:space="preserve"> for molecular network visualization. The MolNetEnhancer</w:t>
      </w:r>
      <w:r w:rsidR="006901F4" w:rsidRPr="00901194">
        <w:rPr>
          <w:rFonts w:cs="Times New Roman"/>
        </w:rPr>
        <w:fldChar w:fldCharType="begin" w:fldLock="1"/>
      </w:r>
      <w:r w:rsidR="006901F4" w:rsidRPr="00901194">
        <w:rPr>
          <w:rFonts w:cs="Times New Roman"/>
        </w:rPr>
        <w:instrText>ADDIN CSL_CITATION {"citationItems":[{"id":"ITEM-1","itemData":{"DOI":"10.3390/metabo9070144","ISSN":"2218-1989","abstract":"Metabolomics has started to embrace computational approaches for chemical interpretation of large data sets. Yet, metabolite annotation remains a key challenge. Recently, molecular networking and MS2LDA emerged as molecular mining tools that find molecular families and substructures in mass spectrometry fragmentation data. Moreover, in silico annotation tools obtain and rank candidate molecules for fragmentation spectra. Ideally, all structural information obtained and inferred from these computational tools could be combined to increase the resulting chemical insight one can obtain from a data set. However, integration is currently hampered as each tool has its own output format and efficient matching of data across these tools is lacking. Here, we introduce MolNetEnhancer, a workflow that combines the outputs from molecular networking, MS2LDA, in silico annotation tools (such as Network Annotation Propagation or DEREPLICATOR), and the automated chemical classification through ClassyFire to provide a more comprehensive chemical overview of metabolomics data whilst at the same time illuminating structural details for each fragmentation spectrum. We present examples from four plant and bacterial case studies and show how MolNetEnhancer enables the chemical annotation, visualization, and discovery of the subtle substructural diversity within molecular families. We conclude that MolNetEnhancer is a useful tool that greatly assists the metabolomics researcher in deciphering the metabolome through combination of multiple independent in silico pipelines.","author":[{"dropping-particle":"","family":"Ernst","given":"Madeleine","non-dropping-particle":"","parse-names":false,"suffix":""},{"dropping-particle":"Bin","family":"Kang","given":"Kyo","non-dropping-particle":"","parse-names":false,"suffix":""},{"dropping-particle":"","family":"Caraballo-Rodríguez","given":"Andrés Mauricio","non-dropping-particle":"","parse-names":false,"suffix":""},{"dropping-particle":"","family":"Nothias","given":"Louis-Felix","non-dropping-particle":"","parse-names":false,"suffix":""},{"dropping-particle":"","family":"Wandy","given":"Joe","non-dropping-particle":"","parse-names":false,"suffix":""},{"dropping-particle":"","family":"Chen","given":"Christopher","non-dropping-particle":"","parse-names":false,"suffix":""},{"dropping-particle":"","family":"Wang","given":"Mingxun","non-dropping-particle":"","parse-names":false,"suffix":""},{"dropping-particle":"","family":"Rogers","given":"Simon","non-dropping-particle":"","parse-names":false,"suffix":""},{"dropping-particle":"","family":"Medema","given":"Marnix H.","non-dropping-particle":"","parse-names":false,"suffix":""},{"dropping-particle":"","family":"Dorrestein","given":"Pieter C.","non-dropping-particle":"","parse-names":false,"suffix":""},{"dropping-particle":"","family":"Hooft","given":"Justin J.J.","non-dropping-particle":"van der","parse-names":false,"suffix":""}],"container-title":"Metabolites","id":"ITEM-1","issue":"7","issued":{"date-parts":[["2019"]]},"note":"Summary: Paper describes MolNetEnhancer, which takes MS2 info about molecular networking and chemical families, then calculates/estimates what chemical class best matches to that molecular network for each metabolite feature. Provides ways of getting more annotation info/details about metabolite features in your data, and designed to integrate with existing LC-MS/MS data analysis tools like GNPS and FBMN. Also discusses 4 case studies that show how MolNetEnhancer enhances chemical info in datasets.\nAssessment: Overall good, but hard to understand by itself. Think I get the general gist and how it works though\n\n\nPresents case studies showing how MolNetEnhancer provided more info about detected metab features by giving estimated chemical class info (derived from molecular networking that groups by chemical structure)\n\nBased upon Mass2Motifs principle\n\nMolNetEnhancer is a Python and R package","page":"144","title":"MolNetEnhancer: Enhanced Molecular Networks by Integrating Metabolome Mining and Annotation Tools","type":"article-journal","volume":"9"},"uris":["http://www.mendeley.com/documents/?uuid=182fc1cc-64df-4bee-8e11-0642f1f32c90"]}],"mendeley":{"formattedCitation":"&lt;sup&gt;105&lt;/sup&gt;","plainTextFormattedCitation":"105","previouslyFormattedCitation":"&lt;sup&gt;105&lt;/sup&gt;"},"properties":{"noteIndex":0},"schema":"https://github.com/citation-style-language/schema/raw/master/csl-citation.json"}</w:instrText>
      </w:r>
      <w:r w:rsidR="006901F4" w:rsidRPr="00901194">
        <w:rPr>
          <w:rFonts w:cs="Times New Roman"/>
        </w:rPr>
        <w:fldChar w:fldCharType="separate"/>
      </w:r>
      <w:r w:rsidR="006901F4" w:rsidRPr="00901194">
        <w:rPr>
          <w:rFonts w:cs="Times New Roman"/>
          <w:noProof/>
          <w:vertAlign w:val="superscript"/>
        </w:rPr>
        <w:t>105</w:t>
      </w:r>
      <w:r w:rsidR="006901F4" w:rsidRPr="00901194">
        <w:rPr>
          <w:rFonts w:cs="Times New Roman"/>
        </w:rPr>
        <w:fldChar w:fldCharType="end"/>
      </w:r>
      <w:r w:rsidRPr="00901194">
        <w:rPr>
          <w:rFonts w:cs="Times New Roman"/>
        </w:rPr>
        <w:t xml:space="preserve"> workflow available on GNPS was used after FBMN analysis to improve annotation classifications (level 3 metabolite annotations</w:t>
      </w:r>
      <w:r w:rsidR="006901F4" w:rsidRPr="00901194">
        <w:rPr>
          <w:rFonts w:cs="Times New Roman"/>
        </w:rPr>
        <w:fldChar w:fldCharType="begin" w:fldLock="1"/>
      </w:r>
      <w:r w:rsidR="009D6152"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6901F4" w:rsidRPr="00901194">
        <w:rPr>
          <w:rFonts w:cs="Times New Roman"/>
        </w:rPr>
        <w:fldChar w:fldCharType="separate"/>
      </w:r>
      <w:r w:rsidR="006901F4" w:rsidRPr="00901194">
        <w:rPr>
          <w:rFonts w:cs="Times New Roman"/>
          <w:noProof/>
          <w:vertAlign w:val="superscript"/>
        </w:rPr>
        <w:t>41</w:t>
      </w:r>
      <w:r w:rsidR="006901F4" w:rsidRPr="00901194">
        <w:rPr>
          <w:rFonts w:cs="Times New Roman"/>
        </w:rPr>
        <w:fldChar w:fldCharType="end"/>
      </w:r>
      <w:r w:rsidRPr="00901194">
        <w:rPr>
          <w:rFonts w:cs="Times New Roman"/>
        </w:rPr>
        <w:t>).</w:t>
      </w:r>
    </w:p>
    <w:p w14:paraId="35D5EA8F" w14:textId="74196CB4" w:rsidR="000471C6" w:rsidRPr="00901194" w:rsidRDefault="000471C6" w:rsidP="000471C6">
      <w:pPr>
        <w:ind w:firstLine="720"/>
        <w:rPr>
          <w:rFonts w:cs="Times New Roman"/>
        </w:rPr>
      </w:pPr>
      <w:r w:rsidRPr="00901194">
        <w:rPr>
          <w:rFonts w:cs="Times New Roman"/>
        </w:rPr>
        <w:t xml:space="preserve">Microbiota-modulated metabolite selection was performed as follows. The resulting feature table was filtered on a per-sample-type basis (cecum or serum) to only retain metabolite features that met one of the following criteria: 1) 100x greater peak area in at least one colonized mouse compared to blanks, food or germ-free mouse samples (microbiota-elevated features) or 2) 100x greater peak area in germ-free mice than in at least one colonized mouse sample AND 100x greater peak area than in blank samples (microbiota-depleted features). The subsets were then combined into a single dataset of microbiota-modulated features, which was used for </w:t>
      </w:r>
      <w:r w:rsidR="009D6152" w:rsidRPr="00901194">
        <w:rPr>
          <w:rFonts w:cs="Times New Roman"/>
        </w:rPr>
        <w:t>FBMN</w:t>
      </w:r>
      <w:r w:rsidR="009D6152" w:rsidRPr="00901194">
        <w:rPr>
          <w:rFonts w:cs="Times New Roman"/>
        </w:rPr>
        <w:fldChar w:fldCharType="begin" w:fldLock="1"/>
      </w:r>
      <w:r w:rsidR="009D364B" w:rsidRPr="00901194">
        <w:rPr>
          <w:rFonts w:cs="Times New Roman"/>
        </w:rPr>
        <w:instrText>ADDIN CSL_CITATION {"citationItems":[{"id":"ITEM-1","itemData":{"DOI":"10.1038/s41592-020-0933-6","ISSN":"15487105","PMID":"32839597","abstract":"Molecular networking has become a key method to visualize and annotate the chemical space in non-targeted mass spectrometry data. We present feature-based molecular networking (FBMN) as an analysis method in the Global Natural Products Social Molecular Networking (GNPS) infrastructure that builds on chromatographic feature detection and alignment tools. FBMN enables quantitative analysis and resolution of isomers, including from ion mobility spectrometry.","author":[{"dropping-particle":"","family":"Nothias","given":"Louis Félix","non-dropping-particle":"","parse-names":false,"suffix":""},{"dropping-particle":"","family":"Petras","given":"Daniel","non-dropping-particle":"","parse-names":false,"suffix":""},{"dropping-particle":"","family":"Schmid","given":"Robin","non-dropping-particle":"","parse-names":false,"suffix":""},{"dropping-particle":"","family":"Dührkop","given":"Kai","non-dropping-particle":"","parse-names":false,"suffix":""},{"dropping-particle":"","family":"Rainer","given":"Johannes","non-dropping-particle":"","parse-names":false,"suffix":""},{"dropping-particle":"","family":"Sarvepalli","given":"Abinesh","non-dropping-particle":"","parse-names":false,"suffix":""},{"dropping-particle":"","family":"Protsyuk","given":"Ivan","non-dropping-particle":"","parse-names":false,"suffix":""},{"dropping-particle":"","family":"Ernst","given":"Madeleine","non-dropping-particle":"","parse-names":false,"suffix":""},{"dropping-particle":"","family":"Tsugawa","given":"Hiroshi","non-dropping-particle":"","parse-names":false,"suffix":""},{"dropping-particle":"","family":"Fleischauer","given":"Markus","non-dropping-particle":"","parse-names":false,"suffix":""},{"dropping-particle":"","family":"Aicheler","given":"Fabian","non-dropping-particle":"","parse-names":false,"suffix":""},{"dropping-particle":"","family":"Aksenov","given":"Alexander A.","non-dropping-particle":"","parse-names":false,"suffix":""},{"dropping-particle":"","family":"Alka","given":"Oliver","non-dropping-particle":"","parse-names":false,"suffix":""},{"dropping-particle":"","family":"Allard","given":"Pierre Marie","non-dropping-particle":"","parse-names":false,"suffix":""},{"dropping-particle":"","family":"Barsch","given":"Aiko","non-dropping-particle":"","parse-names":false,"suffix":""},{"dropping-particle":"","family":"Cachet","given":"Xavier","non-dropping-particle":"","parse-names":false,"suffix":""},{"dropping-particle":"","family":"Caraballo-Rodriguez","given":"Andres Mauricio","non-dropping-particle":"","parse-names":false,"suffix":""},{"dropping-particle":"","family":"Silva","given":"Ricardo R.","non-dropping-particle":"Da","parse-names":false,"suffix":""},{"dropping-particle":"","family":"Dang","given":"Tam","non-dropping-particle":"","parse-names":false,"suffix":""},{"dropping-particle":"","family":"Garg","given":"Neha","non-dropping-particle":"","parse-names":false,"suffix":""},{"dropping-particle":"","family":"Gauglitz","given":"Julia M.","non-dropping-particle":"","parse-names":false,"suffix":""},{"dropping-particle":"","family":"Gurevich","given":"Alexey","non-dropping-particle":"","parse-names":false,"suffix":""},{"dropping-particle":"","family":"Isaac","given":"Giorgis","non-dropping-particle":"","parse-names":false,"suffix":""},{"dropping-particle":"","family":"Jarmusch","given":"Alan K.","non-dropping-particle":"","parse-names":false,"suffix":""},{"dropping-particle":"","family":"Kameník","given":"Zdeněk","non-dropping-particle":"","parse-names":false,"suffix":""},{"dropping-particle":"Bin","family":"Kang","given":"Kyo","non-dropping-particle":"","parse-names":false,"suffix":""},{"dropping-particle":"","family":"Kessler","given":"Nikolas","non-dropping-particle":"","parse-names":false,"suffix":""},{"dropping-particle":"","family":"Koester","given":"Irina","non-dropping-particle":"","parse-names":false,"suffix":""},{"dropping-particle":"","family":"Korf","given":"Ansgar","non-dropping-particle":"","parse-names":false,"suffix":""},{"dropping-particle":"","family":"Gouellec","given":"Audrey","non-dropping-particle":"Le","parse-names":false,"suffix":""},{"dropping-particle":"","family":"Ludwig","given":"Marcus","non-dropping-particle":"","parse-names":false,"suffix":""},{"dropping-particle":"","family":"Martin H","given":"Christian","non-dropping-particle":"","parse-names":false,"suffix":""},{"dropping-particle":"","family":"McCall","given":"Laura Isobel","non-dropping-particle":"","parse-names":false,"suffix":""},{"dropping-particle":"","family":"McSayles","given":"Jonathan","non-dropping-particle":"","parse-names":false,"suffix":""},{"dropping-particle":"","family":"Meyer","given":"Sven W.","non-dropping-particle":"","parse-names":false,"suffix":""},{"dropping-particle":"","family":"Mohimani","given":"Hosein","non-dropping-particle":"","parse-names":false,"suffix":""},{"dropping-particle":"","family":"Morsy","given":"Mustafa","non-dropping-particle":"","parse-names":false,"suffix":""},{"dropping-particle":"","family":"Moyne","given":"Oriane","non-dropping-particle":"","parse-names":false,"suffix":""},{"dropping-particle":"","family":"Neumann","given":"Steffen","non-dropping-particle":"","parse-names":false,"suffix":""},{"dropping-particle":"","family":"Neuweger","given":"Heiko","non-dropping-particle":"","parse-names":false,"suffix":""},{"dropping-particle":"","family":"Nguyen","given":"Ngoc Hung","non-dropping-particle":"","parse-names":false,"suffix":""},{"dropping-particle":"","family":"Nothias-Esposito","given":"Melissa","non-dropping-particle":"","parse-names":false,"suffix":""},{"dropping-particle":"","family":"Paolini","given":"Julien","non-dropping-particle":"","parse-names":false,"suffix":""},{"dropping-particle":"V.","family":"Phelan","given":"Vanessa","non-dropping-particle":"","parse-names":false,"suffix":""},{"dropping-particle":"","family":"Pluskal","given":"Tomáš","non-dropping-particle":"","parse-names":false,"suffix":""},{"dropping-particle":"","family":"Quinn","given":"Robert A.","non-dropping-particle":"","parse-names":false,"suffix":""},{"dropping-particle":"","family":"Rogers","given":"Simon","non-dropping-particle":"","parse-names":false,"suffix":""},{"dropping-particle":"","family":"Shrestha","given":"Bindesh","non-dropping-particle":"","parse-names":false,"suffix":""},{"dropping-particle":"","family":"Tripathi","given":"Anupriya","non-dropping-particle":"","parse-names":false,"suffix":""},{"dropping-particle":"","family":"Hooft","given":"Justin J.J.","non-dropping-particle":"van der","parse-names":false,"suffix":""},{"dropping-particle":"","family":"Vargas","given":"Fernando","non-dropping-particle":"","parse-names":false,"suffix":""},{"dropping-particle":"","family":"Weldon","given":"Kelly C.","non-dropping-particle":"","parse-names":false,"suffix":""},{"dropping-particle":"","family":"Witting","given":"Michael","non-dropping-particle":"","parse-names":false,"suffix":""},{"dropping-particle":"","family":"Yang","given":"Heejung","non-dropping-particle":"","parse-names":false,"suffix":""},{"dropping-particle":"","family":"Zhang","given":"Zheng","non-dropping-particle":"","parse-names":false,"suffix":""},{"dropping-particle":"","family":"Zubeil","given":"Florian","non-dropping-particle":"","parse-names":false,"suffix":""},{"dropping-particle":"","family":"Kohlbacher","given":"Oliver","non-dropping-particle":"","parse-names":false,"suffix":""},{"dropping-particle":"","family":"Böcker","given":"Sebastian","non-dropping-particle":"","parse-names":false,"suffix":""},{"dropping-particle":"","family":"Alexandrov","given":"Theodore","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C.","non-dropping-particle":"","parse-names":false,"suffix":""}],"container-title":"Nature Methods","id":"ITEM-1","issue":"9","issued":{"date-parts":[["2020"]]},"note":"Summary: Outlines FBMN and compares it with classical MN, which focuses on spectral count or summed precursor ion count while FBMN uses feature abundance from aligned features. FBMN enables distinguishing isomers producing similar MS2 spectra, facilitates spectra annotation, and incorporates relative quantitative info for downsteam mtbms analyses. Limitations of FBMN compared to classical MN are: greater computational power, more time needed for analysis, and limitations with feature detection/alignment software needed to generate files for FBMN (e.g., mzmine).","page":"905-908","publisher":"Springer US","title":"Feature-based molecular networking in the GNPS analysis environment","type":"article-journal","volume":"17"},"uris":["http://www.mendeley.com/documents/?uuid=d19e788b-2778-4354-8c94-1b790a5a9b5d"]}],"mendeley":{"formattedCitation":"&lt;sup&gt;190&lt;/sup&gt;","plainTextFormattedCitation":"190","previouslyFormattedCitation":"&lt;sup&gt;190&lt;/sup&gt;"},"properties":{"noteIndex":0},"schema":"https://github.com/citation-style-language/schema/raw/master/csl-citation.json"}</w:instrText>
      </w:r>
      <w:r w:rsidR="009D6152" w:rsidRPr="00901194">
        <w:rPr>
          <w:rFonts w:cs="Times New Roman"/>
        </w:rPr>
        <w:fldChar w:fldCharType="separate"/>
      </w:r>
      <w:r w:rsidR="000D0072" w:rsidRPr="00901194">
        <w:rPr>
          <w:rFonts w:cs="Times New Roman"/>
          <w:noProof/>
          <w:vertAlign w:val="superscript"/>
        </w:rPr>
        <w:t>190</w:t>
      </w:r>
      <w:r w:rsidR="009D6152" w:rsidRPr="00901194">
        <w:rPr>
          <w:rFonts w:cs="Times New Roman"/>
        </w:rPr>
        <w:fldChar w:fldCharType="end"/>
      </w:r>
      <w:r w:rsidRPr="00901194">
        <w:rPr>
          <w:rFonts w:cs="Times New Roman"/>
        </w:rPr>
        <w:t>.</w:t>
      </w:r>
    </w:p>
    <w:p w14:paraId="6A943122" w14:textId="056B8BE4" w:rsidR="000471C6" w:rsidRPr="00901194" w:rsidRDefault="000471C6" w:rsidP="000471C6">
      <w:pPr>
        <w:ind w:firstLine="720"/>
        <w:rPr>
          <w:rFonts w:cs="Times New Roman"/>
        </w:rPr>
      </w:pPr>
      <w:r w:rsidRPr="00901194">
        <w:rPr>
          <w:rFonts w:cs="Times New Roman"/>
        </w:rPr>
        <w:t>Feature abundance tables were exported into QIIME2</w:t>
      </w:r>
      <w:r w:rsidR="00E056EB" w:rsidRPr="00901194">
        <w:rPr>
          <w:rFonts w:cs="Times New Roman"/>
        </w:rPr>
        <w:fldChar w:fldCharType="begin" w:fldLock="1"/>
      </w:r>
      <w:r w:rsidR="00E056EB" w:rsidRPr="00901194">
        <w:rPr>
          <w:rFonts w:cs="Times New Roman"/>
        </w:rPr>
        <w:instrText>ADDIN CSL_CITATION {"citationItems":[{"id":"ITEM-1","itemData":{"DOI":"10.1038/s41587-019-0209-9","ISSN":"15461696","PMID":"31341288","author":[{"dropping-particle":"","family":"Bolyen","given":"Evan","non-dropping-particle":"","parse-names":false,"suffix":""},{"dropping-particle":"","family":"Rideout","given":"Jai Ram","non-dropping-particle":"","parse-names":false,"suffix":""},{"dropping-particle":"","family":"Dillon","given":"Matthew R.","non-dropping-particle":"","parse-names":false,"suffix":""},{"dropping-particle":"","family":"Bokulich","given":"Nicholas A.","non-dropping-particle":"","parse-names":false,"suffix":""},{"dropping-particle":"","family":"Abnet","given":"Christian C.","non-dropping-particle":"","parse-names":false,"suffix":""},{"dropping-particle":"","family":"Al-Ghalith","given":"Gabriel A.","non-dropping-particle":"","parse-names":false,"suffix":""},{"dropping-particle":"","family":"Alexander","given":"Harriet","non-dropping-particle":"","parse-names":false,"suffix":""},{"dropping-particle":"","family":"Alm","given":"Eric J.","non-dropping-particle":"","parse-names":false,"suffix":""},{"dropping-particle":"","family":"Arumugam","given":"Manimozhiyan","non-dropping-particle":"","parse-names":false,"suffix":""},{"dropping-particle":"","family":"Asnicar","given":"Francesco","non-dropping-particle":"","parse-names":false,"suffix":""},{"dropping-particle":"","family":"Bai","given":"Yang","non-dropping-particle":"","parse-names":false,"suffix":""},{"dropping-particle":"","family":"Bisanz","given":"Jordan E.","non-dropping-particle":"","parse-names":false,"suffix":""},{"dropping-particle":"","family":"Bittinger","given":"Kyle","non-dropping-particle":"","parse-names":false,"suffix":""},{"dropping-particle":"","family":"Brejnrod","given":"Asker","non-dropping-particle":"","parse-names":false,"suffix":""},{"dropping-particle":"","family":"Brislawn","given":"Colin J.","non-dropping-particle":"","parse-names":false,"suffix":""},{"dropping-particle":"","family":"Brown","given":"C. Titus","non-dropping-particle":"","parse-names":false,"suffix":""},{"dropping-particle":"","family":"Callahan","given":"Benjamin J.","non-dropping-particle":"","parse-names":false,"suffix":""},{"dropping-particle":"","family":"Caraballo-Rodríguez","given":"Andrés Mauricio","non-dropping-particle":"","parse-names":false,"suffix":""},{"dropping-particle":"","family":"Chase","given":"John","non-dropping-particle":"","parse-names":false,"suffix":""},{"dropping-particle":"","family":"Cope","given":"Emily K.","non-dropping-particle":"","parse-names":false,"suffix":""},{"dropping-particle":"","family":"Silva","given":"Ricardo","non-dropping-particle":"Da","parse-names":false,"suffix":""},{"dropping-particle":"","family":"Diener","given":"Christian","non-dropping-particle":"","parse-names":false,"suffix":""},{"dropping-particle":"","family":"Dorrestein","given":"Pieter C.","non-dropping-particle":"","parse-names":false,"suffix":""},{"dropping-particle":"","family":"Douglas","given":"Gavin M.","non-dropping-particle":"","parse-names":false,"suffix":""},{"dropping-particle":"","family":"Durall","given":"Daniel M.","non-dropping-particle":"","parse-names":false,"suffix":""},{"dropping-particle":"","family":"Duvallet","given":"Claire","non-dropping-particle":"","parse-names":false,"suffix":""},{"dropping-particle":"","family":"Edwardson","given":"Christian F.","non-dropping-particle":"","parse-names":false,"suffix":""},{"dropping-particle":"","family":"Ernst","given":"Madeleine","non-dropping-particle":"","parse-names":false,"suffix":""},{"dropping-particle":"","family":"Estaki","given":"Mehrbod","non-dropping-particle":"","parse-names":false,"suffix":""},{"dropping-particle":"","family":"Fouquier","given":"Jennifer","non-dropping-particle":"","parse-names":false,"suffix":""},{"dropping-particle":"","family":"Gauglitz","given":"Julia M.","non-dropping-particle":"","parse-names":false,"suffix":""},{"dropping-particle":"","family":"Gibbons","given":"Sean M.","non-dropping-particle":"","parse-names":false,"suffix":""},{"dropping-particle":"","family":"Gibson","given":"Deanna L.","non-dropping-particle":"","parse-names":false,"suffix":""},{"dropping-particle":"","family":"Gonzalez","given":"Antonio","non-dropping-particle":"","parse-names":false,"suffix":""},{"dropping-particle":"","family":"Gorlick","given":"Kestrel","non-dropping-particle":"","parse-names":false,"suffix":""},{"dropping-particle":"","family":"Guo","given":"Jiarong","non-dropping-particle":"","parse-names":false,"suffix":""},{"dropping-particle":"","family":"Hillmann","given":"Benjamin","non-dropping-particle":"","parse-names":false,"suffix":""},{"dropping-particle":"","family":"Holmes","given":"Susan","non-dropping-particle":"","parse-names":false,"suffix":""},{"dropping-particle":"","family":"Holste","given":"Hannes","non-dropping-particle":"","parse-names":false,"suffix":""},{"dropping-particle":"","family":"Huttenhower","given":"Curtis","non-dropping-particle":"","parse-names":false,"suffix":""},{"dropping-particle":"","family":"Huttley","given":"Gavin A.","non-dropping-particle":"","parse-names":false,"suffix":""},{"dropping-particle":"","family":"Janssen","given":"Stefan","non-dropping-particle":"","parse-names":false,"suffix":""},{"dropping-particle":"","family":"Jarmusch","given":"Alan K.","non-dropping-particle":"","parse-names":false,"suffix":""},{"dropping-particle":"","family":"Jiang","given":"Lingjing","non-dropping-particle":"","parse-names":false,"suffix":""},{"dropping-particle":"","family":"Kaehler","given":"Benjamin D.","non-dropping-particle":"","parse-names":false,"suffix":""},{"dropping-particle":"Bin","family":"Kang","given":"Kyo","non-dropping-particle":"","parse-names":false,"suffix":""},{"dropping-particle":"","family":"Keefe","given":"Christopher R.","non-dropping-particle":"","parse-names":false,"suffix":""},{"dropping-particle":"","family":"Keim","given":"Paul","non-dropping-particle":"","parse-names":false,"suffix":""},{"dropping-particle":"","family":"Kelley","given":"Scott T.","non-dropping-particle":"","parse-names":false,"suffix":""},{"dropping-particle":"","family":"Knights","given":"Dan","non-dropping-particle":"","parse-names":false,"suffix":""},{"dropping-particle":"","family":"Koester","given":"Irina","non-dropping-particle":"","parse-names":false,"suffix":""},{"dropping-particle":"","family":"Kosciolek","given":"Tomasz","non-dropping-particle":"","parse-names":false,"suffix":""},{"dropping-particle":"","family":"Kreps","given":"Jorden","non-dropping-particle":"","parse-names":false,"suffix":""},{"dropping-particle":"","family":"Langille","given":"Morgan G.I.","non-dropping-particle":"","parse-names":false,"suffix":""},{"dropping-particle":"","family":"Lee","given":"Joslynn","non-dropping-particle":"","parse-names":false,"suffix":""},{"dropping-particle":"","family":"Ley","given":"Ruth","non-dropping-particle":"","parse-names":false,"suffix":""},{"dropping-particle":"","family":"Liu","given":"Yong Xin","non-dropping-particle":"","parse-names":false,"suffix":""},{"dropping-particle":"","family":"Loftfield","given":"Erikka","non-dropping-particle":"","parse-names":false,"suffix":""},{"dropping-particle":"","family":"Lozupone","given":"Catherine","non-dropping-particle":"","parse-names":false,"suffix":""},{"dropping-particle":"","family":"Maher","given":"Massoud","non-dropping-particle":"","parse-names":false,"suffix":""},{"dropping-particle":"","family":"Marotz","given":"Clarisse","non-dropping-particle":"","parse-names":false,"suffix":""},{"dropping-particle":"","family":"Martin","given":"Bryan D.","non-dropping-particle":"","parse-names":false,"suffix":""},{"dropping-particle":"","family":"McDonald","given":"Daniel","non-dropping-particle":"","parse-names":false,"suffix":""},{"dropping-particle":"","family":"McIver","given":"Lauren J.","non-dropping-particle":"","parse-names":false,"suffix":""},{"dropping-particle":"V.","family":"Melnik","given":"Alexey","non-dropping-particle":"","parse-names":false,"suffix":""},{"dropping-particle":"","family":"Metcalf","given":"Jessica L.","non-dropping-particle":"","parse-names":false,"suffix":""},{"dropping-particle":"","family":"Morgan","given":"Sydney C.","non-dropping-particle":"","parse-names":false,"suffix":""},{"dropping-particle":"","family":"Morton","given":"Jamie T.","non-dropping-particle":"","parse-names":false,"suffix":""},{"dropping-particle":"","family":"Naimey","given":"Ahmad Turan","non-dropping-particle":"","parse-names":false,"suffix":""},{"dropping-particle":"","family":"Navas-Molina","given":"Jose A.","non-dropping-particle":"","parse-names":false,"suffix":""},{"dropping-particle":"","family":"Nothias","given":"Louis Felix","non-dropping-particle":"","parse-names":false,"suffix":""},{"dropping-particle":"","family":"Orchanian","given":"Stephanie B.","non-dropping-particle":"","parse-names":false,"suffix":""},{"dropping-particle":"","family":"Pearson","given":"Talima","non-dropping-particle":"","parse-names":false,"suffix":""},{"dropping-particle":"","family":"Peoples","given":"Samuel L.","non-dropping-particle":"","parse-names":false,"suffix":""},{"dropping-particle":"","family":"Petras","given":"Daniel","non-dropping-particle":"","parse-names":false,"suffix":""},{"dropping-particle":"","family":"Preuss","given":"Mary Lai","non-dropping-particle":"","parse-names":false,"suffix":""},{"dropping-particle":"","family":"Pruesse","given":"Elmar","non-dropping-particle":"","parse-names":false,"suffix":""},{"dropping-particle":"","family":"Rasmussen","given":"Lasse Buur","non-dropping-particle":"","parse-names":false,"suffix":""},{"dropping-particle":"","family":"Rivers","given":"Adam","non-dropping-particle":"","parse-names":false,"suffix":""},{"dropping-particle":"","family":"Robeson","given":"Michael S.","non-dropping-particle":"","parse-names":false,"suffix":""},{"dropping-particle":"","family":"Rosenthal","given":"Patrick","non-dropping-particle":"","parse-names":false,"suffix":""},{"dropping-particle":"","family":"Segata","given":"Nicola","non-dropping-particle":"","parse-names":false,"suffix":""},{"dropping-particle":"","family":"Shaffer","given":"Michael","non-dropping-particle":"","parse-names":false,"suffix":""},{"dropping-particle":"","family":"Shiffer","given":"Arron","non-dropping-particle":"","parse-names":false,"suffix":""},{"dropping-particle":"","family":"Sinha","given":"Rashmi","non-dropping-particle":"","parse-names":false,"suffix":""},{"dropping-particle":"","family":"Song","given":"Se Jin","non-dropping-particle":"","parse-names":false,"suffix":""},{"dropping-particle":"","family":"Spear","given":"John R.","non-dropping-particle":"","parse-names":false,"suffix":""},{"dropping-particle":"","family":"Swafford","given":"Austin D.","non-dropping-particle":"","parse-names":false,"suffix":""},{"dropping-particle":"","family":"Thompson","given":"Luke R.","non-dropping-particle":"","parse-names":false,"suffix":""},{"dropping-particle":"","family":"Torres","given":"Pedro J.","non-dropping-particle":"","parse-names":false,"suffix":""},{"dropping-particle":"","family":"Trinh","given":"Pauline","non-dropping-particle":"","parse-names":false,"suffix":""},{"dropping-particle":"","family":"Tripathi","given":"Anupriya","non-dropping-particle":"","parse-names":false,"suffix":""},{"dropping-particle":"","family":"Turnbaugh","given":"Peter J.","non-dropping-particle":"","parse-names":false,"suffix":""},{"dropping-particle":"","family":"Ul-Hasan","given":"Sabah","non-dropping-particle":"","parse-names":false,"suffix":""},{"dropping-particle":"","family":"Hooft","given":"Justin J.J.","non-dropping-particle":"van der","parse-names":false,"suffix":""},{"dropping-particle":"","family":"Vargas","given":"Fernando","non-dropping-particle":"","parse-names":false,"suffix":""},{"dropping-particle":"","family":"Vázquez-Baeza","given":"Yoshiki","non-dropping-particle":"","parse-names":false,"suffix":""},{"dropping-particle":"","family":"Vogtmann","given":"Emily","non-dropping-particle":"","parse-names":false,"suffix":""},{"dropping-particle":"","family":"Hippel","given":"Max","non-dropping-particle":"von","parse-names":false,"suffix":""},{"dropping-particle":"","family":"Walters","given":"William","non-dropping-particle":"","parse-names":false,"suffix":""},{"dropping-particle":"","family":"Wan","given":"Yunhu","non-dropping-particle":"","parse-names":false,"suffix":""},{"dropping-particle":"","family":"Wang","given":"Mingxun","non-dropping-particle":"","parse-names":false,"suffix":""},{"dropping-particle":"","family":"Warren","given":"Jonathan","non-dropping-particle":"","parse-names":false,"suffix":""},{"dropping-particle":"","family":"Weber","given":"Kyle C.","non-dropping-particle":"","parse-names":false,"suffix":""},{"dropping-particle":"","family":"Williamson","given":"Charles H.D.","non-dropping-particle":"","parse-names":false,"suffix":""},{"dropping-particle":"","family":"Willis","given":"Amy D.","non-dropping-particle":"","parse-names":false,"suffix":""},{"dropping-particle":"","family":"Xu","given":"Zhenjiang Zech","non-dropping-particle":"","parse-names":false,"suffix":""},{"dropping-particle":"","family":"Zaneveld","given":"Jesse R.","non-dropping-particle":"","parse-names":false,"suffix":""},{"dropping-particle":"","family":"Zhang","given":"Yilong","non-dropping-particle":"","parse-names":false,"suffix":""},{"dropping-particle":"","family":"Zhu","given":"Qiyun","non-dropping-particle":"","parse-names":false,"suffix":""},{"dropping-particle":"","family":"Knight","given":"Rob","non-dropping-particle":"","parse-names":false,"suffix":""},{"dropping-particle":"","family":"Caporaso","given":"J. Gregory","non-dropping-particle":"","parse-names":false,"suffix":""}],"container-title":"Nature Biotechnology","id":"ITEM-1","issue":"8","issued":{"date-parts":[["2019"]]},"page":"852-857","title":"Reproducible, interactive, scalable and extensible microbiome data science using QIIME 2","type":"article-journal","volume":"37"},"uris":["http://www.mendeley.com/documents/?uuid=3aee306c-8433-43fd-838c-97b6e40530cb"]}],"mendeley":{"formattedCitation":"&lt;sup&gt;114&lt;/sup&gt;","plainTextFormattedCitation":"114","previouslyFormattedCitation":"&lt;sup&gt;114&lt;/sup&gt;"},"properties":{"noteIndex":0},"schema":"https://github.com/citation-style-language/schema/raw/master/csl-citation.json"}</w:instrText>
      </w:r>
      <w:r w:rsidR="00E056EB" w:rsidRPr="00901194">
        <w:rPr>
          <w:rFonts w:cs="Times New Roman"/>
        </w:rPr>
        <w:fldChar w:fldCharType="separate"/>
      </w:r>
      <w:r w:rsidR="00E056EB" w:rsidRPr="00901194">
        <w:rPr>
          <w:rFonts w:cs="Times New Roman"/>
          <w:noProof/>
          <w:vertAlign w:val="superscript"/>
        </w:rPr>
        <w:t>114</w:t>
      </w:r>
      <w:r w:rsidR="00E056EB" w:rsidRPr="00901194">
        <w:rPr>
          <w:rFonts w:cs="Times New Roman"/>
        </w:rPr>
        <w:fldChar w:fldCharType="end"/>
      </w:r>
      <w:r w:rsidRPr="00901194">
        <w:rPr>
          <w:rFonts w:cs="Times New Roman"/>
        </w:rPr>
        <w:t xml:space="preserve"> qza format. QIIME2 produced Bray-Curtis </w:t>
      </w:r>
      <w:r w:rsidR="001A0F34" w:rsidRPr="00901194">
        <w:rPr>
          <w:rFonts w:cs="Times New Roman"/>
        </w:rPr>
        <w:t xml:space="preserve">dissimilarity </w:t>
      </w:r>
      <w:r w:rsidRPr="00901194">
        <w:rPr>
          <w:rFonts w:cs="Times New Roman"/>
        </w:rPr>
        <w:t>matrices, which generated principal coordinate analyses (PCoA) plots visualized in EMPeror</w:t>
      </w:r>
      <w:r w:rsidR="00E056EB" w:rsidRPr="00901194">
        <w:rPr>
          <w:rFonts w:cs="Times New Roman"/>
        </w:rPr>
        <w:fldChar w:fldCharType="begin" w:fldLock="1"/>
      </w:r>
      <w:r w:rsidR="00E056EB" w:rsidRPr="00901194">
        <w:rPr>
          <w:rFonts w:cs="Times New Roman"/>
        </w:rPr>
        <w:instrText>ADDIN CSL_CITATION {"citationItems":[{"id":"ITEM-1","itemData":{"DOI":"10.1186/2047-217X-2-16","ISSN":"2047217X","PMID":"24280061","abstract":"Background: As microbial ecologists take advantage of high-throughput sequencing technologies to describe microbial communities across ever-increasing numbers of samples, new analysis tools are required to relate the distribution of microbes among larger numbers of communities, and to use increasingly rich and standards-compliant metadata to understand the biological factors driving these relationships. In particular, the Earth Microbiome Project drives these needs by profiling the genomic content of tens of thousands of samples across multiple environment types. Findings: Features of EMPeror include: ability to visualize gradients and categorical data, visualize different principal coordinates axes, present the data in the form of parallel coordinates, show taxa as well as environmental samples, dynamically adjust the size and transparency of the spheres representing the communities on a per-category basis, dynamically scale the axes according to the fraction of variance each explains, show, hide or recolor points according to arbitrary metadata including that compliant with the MIxS family of standards developed by the Genomic Standards Consortium, display jackknifed-resampled data to assess statistical confidence in clustering, perform coordinate comparisons (useful for procrustes analysis plots), and greatly reduce loading times and overall memory footprint compared with existing approaches. Additionally, ease of sharing, given EMPeror's small output file size, enables agile collaboration by allowing users to embed these visualizations via emails or web pages without the need for extra plugins. Conclusions: Here we present EMPeror, an open source and web browser enabled tool with a versatile command line interface that allows researchers to perform rapid exploratory investigations of 3D visualizations of microbial community data, such as the widely used principal coordinates plots. EMPeror includes a rich set of controllers to modify features as a function of the metadata. By being specifically tailored to the requirements of microbial ecologists, EMPeror thus increases the speed with which insight can be gained from large microbiome datasets.","author":[{"dropping-particle":"","family":"Vázquez-Baeza","given":"Yoshiki","non-dropping-particle":"","parse-names":false,"suffix":""},{"dropping-particle":"","family":"Pirrung","given":"Meg","non-dropping-particle":"","parse-names":false,"suffix":""},{"dropping-particle":"","family":"Gonzalez","given":"Antonio","non-dropping-particle":"","parse-names":false,"suffix":""},{"dropping-particle":"","family":"Knight","given":"Rob","non-dropping-particle":"","parse-names":false,"suffix":""}],"container-title":"GigaScience","id":"ITEM-1","issue":"1","issued":{"date-parts":[["2013"]]},"note":"Summary: Article advocating for EMPeror, highlighting its features for analyzing large datasets: visualize gradients and categorical data, visualize different PC axes, present data as parallel coordinates, show taxa and environmental samples dynamically with adjusted visualizations based on metadata categories, dynamically scale axes based on degree of variation each shows, show/hide/recolor points based on metadata, display jackknife-resampled data to assess clustering's statistical significance, perform coordinate comparisons, and greatly reduce loading times","page":"2-5","title":"EMPeror: A tool for visualizing high-throughput microbial community data","type":"article-journal","volume":"2"},"uris":["http://www.mendeley.com/documents/?uuid=f80b8fa6-06e9-477a-a9d3-8409bf99fff1"]}],"mendeley":{"formattedCitation":"&lt;sup&gt;117&lt;/sup&gt;","plainTextFormattedCitation":"117","previouslyFormattedCitation":"&lt;sup&gt;117&lt;/sup&gt;"},"properties":{"noteIndex":0},"schema":"https://github.com/citation-style-language/schema/raw/master/csl-citation.json"}</w:instrText>
      </w:r>
      <w:r w:rsidR="00E056EB" w:rsidRPr="00901194">
        <w:rPr>
          <w:rFonts w:cs="Times New Roman"/>
        </w:rPr>
        <w:fldChar w:fldCharType="separate"/>
      </w:r>
      <w:r w:rsidR="00E056EB" w:rsidRPr="00901194">
        <w:rPr>
          <w:rFonts w:cs="Times New Roman"/>
          <w:noProof/>
          <w:vertAlign w:val="superscript"/>
        </w:rPr>
        <w:t>117</w:t>
      </w:r>
      <w:r w:rsidR="00E056EB" w:rsidRPr="00901194">
        <w:rPr>
          <w:rFonts w:cs="Times New Roman"/>
        </w:rPr>
        <w:fldChar w:fldCharType="end"/>
      </w:r>
      <w:r w:rsidRPr="00901194">
        <w:rPr>
          <w:rFonts w:cs="Times New Roman"/>
        </w:rPr>
        <w:t>. Statistical significance comparisons of beta diversity between donor and diet groups were done using PERMANOVA</w:t>
      </w:r>
      <w:r w:rsidR="00E056EB" w:rsidRPr="00901194">
        <w:rPr>
          <w:rFonts w:cs="Times New Roman"/>
        </w:rPr>
        <w:fldChar w:fldCharType="begin" w:fldLock="1"/>
      </w:r>
      <w:r w:rsidR="00920143" w:rsidRPr="00901194">
        <w:rPr>
          <w:rFonts w:cs="Times New Roman"/>
        </w:rPr>
        <w:instrText>ADDIN CSL_CITATION {"citationItems":[{"id":"ITEM-1","itemData":{"DOI":"10.1002/9781118445112.stat07841","ISBN":"9781118445112","abstract":"PERMANOVA is a computer program for testing the simultaneous response of one or more variables to one or more factors in an ANOVA experimental design on the basis of any distance measure, using permutation methods. These notes for users assume knowledge of multi-factorial ANOVA, which has the same basic logic in multivariate as in univariate analysis, and an understanding of what it means to test a multivariate hypothesis. A more complete description of the method is given in Anderson (2001a) and McArdle &amp; Anderson (2001). The program includes: choice of appropriate transformation and/or standardization of the data; choice of 19 distance (or dissimilarity) measures to use as the basis of the analysis; option to rank the distances in the distance matrix before the analysis; analysis and partitioning of the total sum of squares according to the full model, including appropriate treatment of factors that are fixed or random, crossed (orthogonal) or nested (hierarchical), and all interaction terms; correct calculation of an appropriate distance-based pseudo F-statistic for each term in the model, based on expected mean squares as in univariate ANOVA (Winer et al. 1991, Searle et al.1992); correct permutation procedures to obtain P-values for each term in the model, using the correct permutable units (Anderson &amp; ter Braak 2003); choice of permutation method: raw data units or residuals under either a reduced or a full model (Anderson 2001b, Anderson &amp; Legendre 1999, Anderson &amp; Robinson 2001); correct P-values also obtained through Monte Carlo random draws from the asymptotic permutation distribution (Anderson &amp; Robinson 2003); option to include one or more covariables (i.e., to perform ANCOVA or MANCOVA); pair-wise a posteriori comparisons of levels for single factors, including within individual levels of other factors in the case of significant interactions and the use of correct permutable units in each case.","author":[{"dropping-particle":"","family":"Anderson","given":"Marti J.","non-dropping-particle":"","parse-names":false,"suffix":""}],"container-title":"Wiley StatsRef: Statistics Reference Online","id":"ITEM-1","issued":{"date-parts":[["2017"]]},"page":"1-15","title":" Permutational Multivariate Analysis of Variance ( PERMANOVA ) ","type":"article-journal"},"uris":["http://www.mendeley.com/documents/?uuid=d29cbffc-ca9b-49d9-8535-5b9270184b5d"]}],"mendeley":{"formattedCitation":"&lt;sup&gt;118&lt;/sup&gt;","plainTextFormattedCitation":"118","previouslyFormattedCitation":"&lt;sup&gt;118&lt;/sup&gt;"},"properties":{"noteIndex":0},"schema":"https://github.com/citation-style-language/schema/raw/master/csl-citation.json"}</w:instrText>
      </w:r>
      <w:r w:rsidR="00E056EB" w:rsidRPr="00901194">
        <w:rPr>
          <w:rFonts w:cs="Times New Roman"/>
        </w:rPr>
        <w:fldChar w:fldCharType="separate"/>
      </w:r>
      <w:r w:rsidR="00E056EB" w:rsidRPr="00901194">
        <w:rPr>
          <w:rFonts w:cs="Times New Roman"/>
          <w:noProof/>
          <w:vertAlign w:val="superscript"/>
        </w:rPr>
        <w:t>118</w:t>
      </w:r>
      <w:r w:rsidR="00E056EB" w:rsidRPr="00901194">
        <w:rPr>
          <w:rFonts w:cs="Times New Roman"/>
        </w:rPr>
        <w:fldChar w:fldCharType="end"/>
      </w:r>
      <w:r w:rsidRPr="00901194">
        <w:rPr>
          <w:rFonts w:cs="Times New Roman"/>
        </w:rPr>
        <w:t xml:space="preserve"> in QIIME2. Venn diagrams were generated by inputting cluster index lists for sample groups at </w:t>
      </w:r>
      <w:hyperlink r:id="rId28" w:history="1">
        <w:r w:rsidR="007036F6" w:rsidRPr="00901194">
          <w:rPr>
            <w:rStyle w:val="Hyperlink"/>
            <w:rFonts w:cs="Times New Roman"/>
          </w:rPr>
          <w:t>http://bioinformatics.psb.ugent.be/ webtools/Venn/</w:t>
        </w:r>
      </w:hyperlink>
      <w:r w:rsidRPr="00901194">
        <w:rPr>
          <w:rFonts w:cs="Times New Roman"/>
        </w:rPr>
        <w:t>. Kruskal</w:t>
      </w:r>
      <w:r w:rsidR="00E056EB" w:rsidRPr="00901194">
        <w:rPr>
          <w:rFonts w:cs="Times New Roman"/>
        </w:rPr>
        <w:t>-</w:t>
      </w:r>
      <w:r w:rsidRPr="00901194">
        <w:rPr>
          <w:rFonts w:cs="Times New Roman"/>
        </w:rPr>
        <w:t xml:space="preserve">Wallis one-way analysis of variance tests were performed in R, with separate analyses for the cecum and serum datasets. A false discovery rate (FDR)-corrected </w:t>
      </w:r>
      <w:r w:rsidRPr="00901194">
        <w:rPr>
          <w:rFonts w:cs="Times New Roman"/>
          <w:i/>
          <w:iCs/>
        </w:rPr>
        <w:t>p</w:t>
      </w:r>
      <w:r w:rsidRPr="00901194">
        <w:rPr>
          <w:rFonts w:cs="Times New Roman"/>
        </w:rPr>
        <w:t xml:space="preserve"> &lt; 0.05 was used as a significance cutoff. Features differing between specific donor-diet pairs were selected through a median fold change cutoff of ≥ 2. Selected features underwent annotation through GNPS, facilitated by an R plugin (available at: </w:t>
      </w:r>
      <w:hyperlink r:id="rId29" w:history="1">
        <w:r w:rsidR="007036F6" w:rsidRPr="00901194">
          <w:rPr>
            <w:rStyle w:val="Hyperlink"/>
            <w:rFonts w:cs="Times New Roman"/>
          </w:rPr>
          <w:t>https://github.com/camilgosmanov /GNPS</w:t>
        </w:r>
      </w:hyperlink>
      <w:r w:rsidRPr="00901194">
        <w:rPr>
          <w:rFonts w:cs="Times New Roman"/>
        </w:rPr>
        <w:t xml:space="preserve">). Annotations were inspected and confirmed/rejected based on mirror plot similarity </w:t>
      </w:r>
      <w:r w:rsidRPr="00901194">
        <w:rPr>
          <w:rFonts w:cs="Times New Roman"/>
        </w:rPr>
        <w:lastRenderedPageBreak/>
        <w:t>comparisons and plausible mass differences based on NetID</w:t>
      </w:r>
      <w:r w:rsidR="00920143" w:rsidRPr="00901194">
        <w:rPr>
          <w:rFonts w:cs="Times New Roman"/>
        </w:rPr>
        <w:fldChar w:fldCharType="begin" w:fldLock="1"/>
      </w:r>
      <w:r w:rsidR="009D364B" w:rsidRPr="00901194">
        <w:rPr>
          <w:rFonts w:cs="Times New Roman"/>
        </w:rPr>
        <w:instrText>ADDIN CSL_CITATION {"citationItems":[{"id":"ITEM-1","itemData":{"DOI":"10.1038/s41592-021-01303-3","ISBN":"4159202101","author":[{"dropping-particle":"","family":"Chen","given":"Li","non-dropping-particle":"","parse-names":false,"suffix":""},{"dropping-particle":"","family":"Lu","given":"Wenyun","non-dropping-particle":"","parse-names":false,"suffix":""},{"dropping-particle":"","family":"Wang","given":"Lin","non-dropping-particle":"","parse-names":false,"suffix":""},{"dropping-particle":"","family":"Xing","given":"Xi","non-dropping-particle":"","parse-names":false,"suffix":""},{"dropping-particle":"","family":"Chen","given":"Ziyang","non-dropping-particle":"","parse-names":false,"suffix":""},{"dropping-particle":"","family":"Teng","given":"Xin","non-dropping-particle":"","parse-names":false,"suffix":""},{"dropping-particle":"","family":"Zeng","given":"Xianfeng","non-dropping-particle":"","parse-names":false,"suffix":""},{"dropping-particle":"","family":"Muscarella","given":"Antonio D","non-dropping-particle":"","parse-names":false,"suffix":""},{"dropping-particle":"","family":"Shen","given":"Yihui","non-dropping-particle":"","parse-names":false,"suffix":""},{"dropping-particle":"","family":"Cowan","given":"Alexis","non-dropping-particle":"","parse-names":false,"suffix":""},{"dropping-particle":"","family":"Mcreynolds","given":"Melanie R","non-dropping-particle":"","parse-names":false,"suffix":""},{"dropping-particle":"","family":"Kennedy","given":"Brandon J","non-dropping-particle":"","parse-names":false,"suffix":""},{"dropping-particle":"","family":"Lato","given":"Ashley M","non-dropping-particle":"","parse-names":false,"suffix":""},{"dropping-particle":"","family":"Campagna","given":"Shawn R","non-dropping-particle":"","parse-names":false,"suffix":""},{"dropping-particle":"","family":"Singh","given":"Mona","non-dropping-particle":"","parse-names":false,"suffix":""},{"dropping-particle":"","family":"Rabinowitz","given":"Joshua D","non-dropping-particle":"","parse-names":false,"suffix":""}],"container-title":"Nature Methods","id":"ITEM-1","issue":"11","issued":{"date-parts":[["2021"]]},"page":"1377-1385","publisher":"Springer US","title":"Metabolite discovery through global annotation of untargeted metabolomics data","type":"article-journal","volume":"18"},"uris":["http://www.mendeley.com/documents/?uuid=9a57d0a8-5ca2-48f1-820a-288a54c31f02"]}],"mendeley":{"formattedCitation":"&lt;sup&gt;191&lt;/sup&gt;","plainTextFormattedCitation":"191","previouslyFormattedCitation":"&lt;sup&gt;191&lt;/sup&gt;"},"properties":{"noteIndex":0},"schema":"https://github.com/citation-style-language/schema/raw/master/csl-citation.json"}</w:instrText>
      </w:r>
      <w:r w:rsidR="00920143" w:rsidRPr="00901194">
        <w:rPr>
          <w:rFonts w:cs="Times New Roman"/>
        </w:rPr>
        <w:fldChar w:fldCharType="separate"/>
      </w:r>
      <w:r w:rsidR="000D0072" w:rsidRPr="00901194">
        <w:rPr>
          <w:rFonts w:cs="Times New Roman"/>
          <w:noProof/>
          <w:vertAlign w:val="superscript"/>
        </w:rPr>
        <w:t>191</w:t>
      </w:r>
      <w:r w:rsidR="00920143" w:rsidRPr="00901194">
        <w:rPr>
          <w:rFonts w:cs="Times New Roman"/>
        </w:rPr>
        <w:fldChar w:fldCharType="end"/>
      </w:r>
      <w:r w:rsidRPr="00901194">
        <w:rPr>
          <w:rFonts w:cs="Times New Roman"/>
        </w:rPr>
        <w:t>. Additionally, MolNetEnhancer</w:t>
      </w:r>
      <w:r w:rsidR="0049679E" w:rsidRPr="00901194">
        <w:rPr>
          <w:rFonts w:cs="Times New Roman"/>
        </w:rPr>
        <w:fldChar w:fldCharType="begin" w:fldLock="1"/>
      </w:r>
      <w:r w:rsidR="0049679E" w:rsidRPr="00901194">
        <w:rPr>
          <w:rFonts w:cs="Times New Roman"/>
        </w:rPr>
        <w:instrText>ADDIN CSL_CITATION {"citationItems":[{"id":"ITEM-1","itemData":{"DOI":"10.3390/metabo9070144","ISSN":"2218-1989","abstract":"Metabolomics has started to embrace computational approaches for chemical interpretation of large data sets. Yet, metabolite annotation remains a key challenge. Recently, molecular networking and MS2LDA emerged as molecular mining tools that find molecular families and substructures in mass spectrometry fragmentation data. Moreover, in silico annotation tools obtain and rank candidate molecules for fragmentation spectra. Ideally, all structural information obtained and inferred from these computational tools could be combined to increase the resulting chemical insight one can obtain from a data set. However, integration is currently hampered as each tool has its own output format and efficient matching of data across these tools is lacking. Here, we introduce MolNetEnhancer, a workflow that combines the outputs from molecular networking, MS2LDA, in silico annotation tools (such as Network Annotation Propagation or DEREPLICATOR), and the automated chemical classification through ClassyFire to provide a more comprehensive chemical overview of metabolomics data whilst at the same time illuminating structural details for each fragmentation spectrum. We present examples from four plant and bacterial case studies and show how MolNetEnhancer enables the chemical annotation, visualization, and discovery of the subtle substructural diversity within molecular families. We conclude that MolNetEnhancer is a useful tool that greatly assists the metabolomics researcher in deciphering the metabolome through combination of multiple independent in silico pipelines.","author":[{"dropping-particle":"","family":"Ernst","given":"Madeleine","non-dropping-particle":"","parse-names":false,"suffix":""},{"dropping-particle":"Bin","family":"Kang","given":"Kyo","non-dropping-particle":"","parse-names":false,"suffix":""},{"dropping-particle":"","family":"Caraballo-Rodríguez","given":"Andrés Mauricio","non-dropping-particle":"","parse-names":false,"suffix":""},{"dropping-particle":"","family":"Nothias","given":"Louis-Felix","non-dropping-particle":"","parse-names":false,"suffix":""},{"dropping-particle":"","family":"Wandy","given":"Joe","non-dropping-particle":"","parse-names":false,"suffix":""},{"dropping-particle":"","family":"Chen","given":"Christopher","non-dropping-particle":"","parse-names":false,"suffix":""},{"dropping-particle":"","family":"Wang","given":"Mingxun","non-dropping-particle":"","parse-names":false,"suffix":""},{"dropping-particle":"","family":"Rogers","given":"Simon","non-dropping-particle":"","parse-names":false,"suffix":""},{"dropping-particle":"","family":"Medema","given":"Marnix H.","non-dropping-particle":"","parse-names":false,"suffix":""},{"dropping-particle":"","family":"Dorrestein","given":"Pieter C.","non-dropping-particle":"","parse-names":false,"suffix":""},{"dropping-particle":"","family":"Hooft","given":"Justin J.J.","non-dropping-particle":"van der","parse-names":false,"suffix":""}],"container-title":"Metabolites","id":"ITEM-1","issue":"7","issued":{"date-parts":[["2019"]]},"note":"Summary: Paper describes MolNetEnhancer, which takes MS2 info about molecular networking and chemical families, then calculates/estimates what chemical class best matches to that molecular network for each metabolite feature. Provides ways of getting more annotation info/details about metabolite features in your data, and designed to integrate with existing LC-MS/MS data analysis tools like GNPS and FBMN. Also discusses 4 case studies that show how MolNetEnhancer enhances chemical info in datasets.\nAssessment: Overall good, but hard to understand by itself. Think I get the general gist and how it works though\n\n\nPresents case studies showing how MolNetEnhancer provided more info about detected metab features by giving estimated chemical class info (derived from molecular networking that groups by chemical structure)\n\nBased upon Mass2Motifs principle\n\nMolNetEnhancer is a Python and R package","page":"144","title":"MolNetEnhancer: Enhanced Molecular Networks by Integrating Metabolome Mining and Annotation Tools","type":"article-journal","volume":"9"},"uris":["http://www.mendeley.com/documents/?uuid=182fc1cc-64df-4bee-8e11-0642f1f32c90"]}],"mendeley":{"formattedCitation":"&lt;sup&gt;105&lt;/sup&gt;","plainTextFormattedCitation":"105","previouslyFormattedCitation":"&lt;sup&gt;105&lt;/sup&gt;"},"properties":{"noteIndex":0},"schema":"https://github.com/citation-style-language/schema/raw/master/csl-citation.json"}</w:instrText>
      </w:r>
      <w:r w:rsidR="0049679E" w:rsidRPr="00901194">
        <w:rPr>
          <w:rFonts w:cs="Times New Roman"/>
        </w:rPr>
        <w:fldChar w:fldCharType="separate"/>
      </w:r>
      <w:r w:rsidR="0049679E" w:rsidRPr="00901194">
        <w:rPr>
          <w:rFonts w:cs="Times New Roman"/>
          <w:noProof/>
          <w:vertAlign w:val="superscript"/>
        </w:rPr>
        <w:t>105</w:t>
      </w:r>
      <w:r w:rsidR="0049679E" w:rsidRPr="00901194">
        <w:rPr>
          <w:rFonts w:cs="Times New Roman"/>
        </w:rPr>
        <w:fldChar w:fldCharType="end"/>
      </w:r>
      <w:r w:rsidRPr="00901194">
        <w:rPr>
          <w:rFonts w:cs="Times New Roman"/>
        </w:rPr>
        <w:t xml:space="preserve"> generated chemical taxonomic assignments from ClassyFire</w:t>
      </w:r>
      <w:r w:rsidR="0049679E" w:rsidRPr="00901194">
        <w:rPr>
          <w:rFonts w:cs="Times New Roman"/>
        </w:rPr>
        <w:fldChar w:fldCharType="begin" w:fldLock="1"/>
      </w:r>
      <w:r w:rsidR="0049679E" w:rsidRPr="00901194">
        <w:rPr>
          <w:rFonts w:cs="Times New Roman"/>
        </w:rPr>
        <w:instrText>ADDIN CSL_CITATION {"citationItems":[{"id":"ITEM-1","itemData":{"DOI":"10.1186/s13321-016-0174-y","ISSN":"17582946","abstract":"Background: Scientists have long been driven by the desire to describe, organize, classify, and compare objects using taxonomies and/or ontologies. In contrast to biology, geology, and many other scientific disciplines, the world of chemistry still lacks a standardized chemical ontology or taxonomy. Several attempts at chemical classification have been made; but they have mostly been limited to either manual, or semi-automated proof-of-principle applications. This is regrettable as comprehensive chemical classification and description tools could not only improve our understanding of chemistry but also improve the linkage between chemistry and many other fields. For instance, the chemical classification of a compound could help predict its metabolic fate in humans, its druggability or potential hazards associated with it, among others. However, the sheer number (tens of millions of compounds) and complexity of chemical structures is such that any manual classification effort would prove to be near impossible. Results: We have developed a comprehensive, flexible, and computable, purely structure-based chemical taxonomy (ChemOnt), along with a computer program (ClassyFire) that uses only chemical structures and structural features to automatically assign all known chemical compounds to a taxonomy consisting of &gt;4800 different categories. This new chemical taxonomy consists of up to 11 different levels (Kingdom, SuperClass, Class, SubClass, etc.) with each of the categories defined by unambiguous, computable structural rules. Furthermore each category is named using a consensus-based nomenclature and described (in English) based on the characteristic common structural properties of the compounds it contains. The ClassyFire webserver is freely accessible at http://classyfire.wishartlab.com/ . Moreover, a Ruby API version is available at https://bitbucket.org/wishartlab/classyfire_api , which provides programmatic access to the ClassyFire server and database. ClassyFire has been used to annotate over 77 million compounds and has already been integrated into other software packages to automatically generate textual descriptions for, and/or infer biological properties of over 100,000 compounds. Additional examples and applications are provided in this paper. Conclusion: ClassyFire, in combination with ChemOnt (ClassyFire's comprehensive chemical taxonomy), now allows chemists and cheminformaticians to perform large-scale, rapid and automated chemical classific…","author":[{"dropping-particle":"","family":"Djoumbou Feunang","given":"Yannick","non-dropping-particle":"","parse-names":false,"suffix":""},{"dropping-particle":"","family":"Eisner","given":"Roman","non-dropping-particle":"","parse-names":false,"suffix":""},{"dropping-particle":"","family":"Knox","given":"Craig","non-dropping-particle":"","parse-names":false,"suffix":""},{"dropping-particle":"","family":"Chepelev","given":"Leonid","non-dropping-particle":"","parse-names":false,"suffix":""},{"dropping-particle":"","family":"Hastings","given":"Janna","non-dropping-particle":"","parse-names":false,"suffix":""},{"dropping-particle":"","family":"Owen","given":"Gareth","non-dropping-particle":"","parse-names":false,"suffix":""},{"dropping-particle":"","family":"Fahy","given":"Eoin","non-dropping-particle":"","parse-names":false,"suffix":""},{"dropping-particle":"","family":"Steinbeck","given":"Christoph","non-dropping-particle":"","parse-names":false,"suffix":""},{"dropping-particle":"","family":"Subramanian","given":"Shankar","non-dropping-particle":"","parse-names":false,"suffix":""},{"dropping-particle":"","family":"Bolton","given":"Evan","non-dropping-particle":"","parse-names":false,"suffix":""},{"dropping-particle":"","family":"Greiner","given":"Russell","non-dropping-particle":"","parse-names":false,"suffix":""},{"dropping-particle":"","family":"Wishart","given":"David S.","non-dropping-particle":"","parse-names":false,"suffix":""}],"container-title":"Journal of Cheminformatics","id":"ITEM-1","issue":"1","issued":{"date-parts":[["2016"]]},"page":"1-20","publisher":"Springer International Publishing","title":"ClassyFire: automated chemical classification with a comprehensive, computable taxonomy","type":"article-journal","volume":"8"},"uris":["http://www.mendeley.com/documents/?uuid=d55f0c48-9474-4c41-a9bf-4b7a92dc6877"]}],"mendeley":{"formattedCitation":"&lt;sup&gt;104&lt;/sup&gt;","plainTextFormattedCitation":"104","previouslyFormattedCitation":"&lt;sup&gt;104&lt;/sup&gt;"},"properties":{"noteIndex":0},"schema":"https://github.com/citation-style-language/schema/raw/master/csl-citation.json"}</w:instrText>
      </w:r>
      <w:r w:rsidR="0049679E" w:rsidRPr="00901194">
        <w:rPr>
          <w:rFonts w:cs="Times New Roman"/>
        </w:rPr>
        <w:fldChar w:fldCharType="separate"/>
      </w:r>
      <w:r w:rsidR="0049679E" w:rsidRPr="00901194">
        <w:rPr>
          <w:rFonts w:cs="Times New Roman"/>
          <w:noProof/>
          <w:vertAlign w:val="superscript"/>
        </w:rPr>
        <w:t>104</w:t>
      </w:r>
      <w:r w:rsidR="0049679E" w:rsidRPr="00901194">
        <w:rPr>
          <w:rFonts w:cs="Times New Roman"/>
        </w:rPr>
        <w:fldChar w:fldCharType="end"/>
      </w:r>
      <w:r w:rsidRPr="00901194">
        <w:rPr>
          <w:rFonts w:cs="Times New Roman"/>
        </w:rPr>
        <w:t xml:space="preserve"> for each metabolite feature. Data w</w:t>
      </w:r>
      <w:r w:rsidR="006E345F" w:rsidRPr="00901194">
        <w:rPr>
          <w:rFonts w:cs="Times New Roman"/>
        </w:rPr>
        <w:t>ere</w:t>
      </w:r>
      <w:r w:rsidRPr="00901194">
        <w:rPr>
          <w:rFonts w:cs="Times New Roman"/>
        </w:rPr>
        <w:t xml:space="preserve"> visualized using UpSet plots</w:t>
      </w:r>
      <w:r w:rsidR="0049679E" w:rsidRPr="00901194">
        <w:rPr>
          <w:rFonts w:cs="Times New Roman"/>
        </w:rPr>
        <w:fldChar w:fldCharType="begin" w:fldLock="1"/>
      </w:r>
      <w:r w:rsidR="0049679E" w:rsidRPr="00901194">
        <w:rPr>
          <w:rFonts w:cs="Times New Roman"/>
        </w:rPr>
        <w:instrText>ADDIN CSL_CITATION {"citationItems":[{"id":"ITEM-1","itemData":{"DOI":"10.1109/TVCG.2014.2346248","ISSN":"10772626","abstract":"Understanding relationships between sets is an important analysis task that has received widespread attention in the visualization community. The major challenge in this context is the combinatorial explosion of the number of set intersections if the number of sets exceeds a trivial threshold. In this paper we introduce UpSet, a novel visualization technique for the quantitative analysis of sets, their intersections, and aggregates of intersections. UpSet is focused on creating task-driven aggregates, communicating the size and properties of aggregates and intersections, and a duality between the visualization of the elements in a dataset and their set membership. UpSet visualizes set intersections in a matrix layout and introduces aggregates based on groupings and queries. The matrix layout enables the effective representation of associated data, such as the number of elements in the aggregates and intersections, as well as additional summary statistics derived from subset or element attributes. Sorting according to various measures enables a task-driven analysis of relevant intersections and aggregates. The elements represented in the sets and their associated attributes are visualized in a separate view. Queries based on containment in specific intersections, aggregates or driven by attribute filters are propagated between both views. We also introduce several advanced visual encodings and interaction methods to overcome the problems of varying scales and to address scalability. UpSet is web-based and open source. We demonstrate its general utility in multiple use cases from various domains.","author":[{"dropping-particle":"","family":"Lex","given":"Alexander","non-dropping-particle":"","parse-names":false,"suffix":""},{"dropping-particle":"","family":"Gehlenborg","given":"Nils","non-dropping-particle":"","parse-names":false,"suffix":""},{"dropping-particle":"","family":"Strobelt","given":"Hendrik","non-dropping-particle":"","parse-names":false,"suffix":""},{"dropping-particle":"","family":"Vuillemot","given":"Romain","non-dropping-particle":"","parse-names":false,"suffix":""},{"dropping-particle":"","family":"Pfister","given":"Hanspeter","non-dropping-particle":"","parse-names":false,"suffix":""}],"container-title":"IEEE Transactions on Visualization and Computer Graphics","id":"ITEM-1","issue":"12","issued":{"date-parts":[["2014"]]},"page":"1983-1992","publisher":"IEEE","title":"UpSet: Visualization of intersecting sets","type":"article-journal","volume":"20"},"uris":["http://www.mendeley.com/documents/?uuid=3a619b0c-132f-44ab-b781-215f749fe774"]}],"mendeley":{"formattedCitation":"&lt;sup&gt;122&lt;/sup&gt;","plainTextFormattedCitation":"122","previouslyFormattedCitation":"&lt;sup&gt;122&lt;/sup&gt;"},"properties":{"noteIndex":0},"schema":"https://github.com/citation-style-language/schema/raw/master/csl-citation.json"}</w:instrText>
      </w:r>
      <w:r w:rsidR="0049679E" w:rsidRPr="00901194">
        <w:rPr>
          <w:rFonts w:cs="Times New Roman"/>
        </w:rPr>
        <w:fldChar w:fldCharType="separate"/>
      </w:r>
      <w:r w:rsidR="0049679E" w:rsidRPr="00901194">
        <w:rPr>
          <w:rFonts w:cs="Times New Roman"/>
          <w:noProof/>
          <w:vertAlign w:val="superscript"/>
        </w:rPr>
        <w:t>122</w:t>
      </w:r>
      <w:r w:rsidR="0049679E" w:rsidRPr="00901194">
        <w:rPr>
          <w:rFonts w:cs="Times New Roman"/>
        </w:rPr>
        <w:fldChar w:fldCharType="end"/>
      </w:r>
      <w:r w:rsidR="006E345F" w:rsidRPr="00901194">
        <w:rPr>
          <w:rFonts w:cs="Times New Roman"/>
        </w:rPr>
        <w:t xml:space="preserve"> and</w:t>
      </w:r>
      <w:r w:rsidRPr="00901194">
        <w:rPr>
          <w:rFonts w:cs="Times New Roman"/>
        </w:rPr>
        <w:t xml:space="preserve"> colored using chemical taxonomic labels from ClassyFire</w:t>
      </w:r>
      <w:r w:rsidR="0049679E" w:rsidRPr="00901194">
        <w:rPr>
          <w:rFonts w:cs="Times New Roman"/>
        </w:rPr>
        <w:fldChar w:fldCharType="begin" w:fldLock="1"/>
      </w:r>
      <w:r w:rsidR="0049679E" w:rsidRPr="00901194">
        <w:rPr>
          <w:rFonts w:cs="Times New Roman"/>
        </w:rPr>
        <w:instrText>ADDIN CSL_CITATION {"citationItems":[{"id":"ITEM-1","itemData":{"DOI":"10.1186/s13321-016-0174-y","ISSN":"17582946","abstract":"Background: Scientists have long been driven by the desire to describe, organize, classify, and compare objects using taxonomies and/or ontologies. In contrast to biology, geology, and many other scientific disciplines, the world of chemistry still lacks a standardized chemical ontology or taxonomy. Several attempts at chemical classification have been made; but they have mostly been limited to either manual, or semi-automated proof-of-principle applications. This is regrettable as comprehensive chemical classification and description tools could not only improve our understanding of chemistry but also improve the linkage between chemistry and many other fields. For instance, the chemical classification of a compound could help predict its metabolic fate in humans, its druggability or potential hazards associated with it, among others. However, the sheer number (tens of millions of compounds) and complexity of chemical structures is such that any manual classification effort would prove to be near impossible. Results: We have developed a comprehensive, flexible, and computable, purely structure-based chemical taxonomy (ChemOnt), along with a computer program (ClassyFire) that uses only chemical structures and structural features to automatically assign all known chemical compounds to a taxonomy consisting of &gt;4800 different categories. This new chemical taxonomy consists of up to 11 different levels (Kingdom, SuperClass, Class, SubClass, etc.) with each of the categories defined by unambiguous, computable structural rules. Furthermore each category is named using a consensus-based nomenclature and described (in English) based on the characteristic common structural properties of the compounds it contains. The ClassyFire webserver is freely accessible at http://classyfire.wishartlab.com/ . Moreover, a Ruby API version is available at https://bitbucket.org/wishartlab/classyfire_api , which provides programmatic access to the ClassyFire server and database. ClassyFire has been used to annotate over 77 million compounds and has already been integrated into other software packages to automatically generate textual descriptions for, and/or infer biological properties of over 100,000 compounds. Additional examples and applications are provided in this paper. Conclusion: ClassyFire, in combination with ChemOnt (ClassyFire's comprehensive chemical taxonomy), now allows chemists and cheminformaticians to perform large-scale, rapid and automated chemical classific…","author":[{"dropping-particle":"","family":"Djoumbou Feunang","given":"Yannick","non-dropping-particle":"","parse-names":false,"suffix":""},{"dropping-particle":"","family":"Eisner","given":"Roman","non-dropping-particle":"","parse-names":false,"suffix":""},{"dropping-particle":"","family":"Knox","given":"Craig","non-dropping-particle":"","parse-names":false,"suffix":""},{"dropping-particle":"","family":"Chepelev","given":"Leonid","non-dropping-particle":"","parse-names":false,"suffix":""},{"dropping-particle":"","family":"Hastings","given":"Janna","non-dropping-particle":"","parse-names":false,"suffix":""},{"dropping-particle":"","family":"Owen","given":"Gareth","non-dropping-particle":"","parse-names":false,"suffix":""},{"dropping-particle":"","family":"Fahy","given":"Eoin","non-dropping-particle":"","parse-names":false,"suffix":""},{"dropping-particle":"","family":"Steinbeck","given":"Christoph","non-dropping-particle":"","parse-names":false,"suffix":""},{"dropping-particle":"","family":"Subramanian","given":"Shankar","non-dropping-particle":"","parse-names":false,"suffix":""},{"dropping-particle":"","family":"Bolton","given":"Evan","non-dropping-particle":"","parse-names":false,"suffix":""},{"dropping-particle":"","family":"Greiner","given":"Russell","non-dropping-particle":"","parse-names":false,"suffix":""},{"dropping-particle":"","family":"Wishart","given":"David S.","non-dropping-particle":"","parse-names":false,"suffix":""}],"container-title":"Journal of Cheminformatics","id":"ITEM-1","issue":"1","issued":{"date-parts":[["2016"]]},"page":"1-20","publisher":"Springer International Publishing","title":"ClassyFire: automated chemical classification with a comprehensive, computable taxonomy","type":"article-journal","volume":"8"},"uris":["http://www.mendeley.com/documents/?uuid=d55f0c48-9474-4c41-a9bf-4b7a92dc6877"]}],"mendeley":{"formattedCitation":"&lt;sup&gt;104&lt;/sup&gt;","plainTextFormattedCitation":"104","previouslyFormattedCitation":"&lt;sup&gt;104&lt;/sup&gt;"},"properties":{"noteIndex":0},"schema":"https://github.com/citation-style-language/schema/raw/master/csl-citation.json"}</w:instrText>
      </w:r>
      <w:r w:rsidR="0049679E" w:rsidRPr="00901194">
        <w:rPr>
          <w:rFonts w:cs="Times New Roman"/>
        </w:rPr>
        <w:fldChar w:fldCharType="separate"/>
      </w:r>
      <w:r w:rsidR="0049679E" w:rsidRPr="00901194">
        <w:rPr>
          <w:rFonts w:cs="Times New Roman"/>
          <w:noProof/>
          <w:vertAlign w:val="superscript"/>
        </w:rPr>
        <w:t>104</w:t>
      </w:r>
      <w:r w:rsidR="0049679E" w:rsidRPr="00901194">
        <w:rPr>
          <w:rFonts w:cs="Times New Roman"/>
        </w:rPr>
        <w:fldChar w:fldCharType="end"/>
      </w:r>
      <w:r w:rsidRPr="00901194">
        <w:rPr>
          <w:rFonts w:cs="Times New Roman"/>
        </w:rPr>
        <w:t>. Python packages used for making UpSet plots included “pandas”</w:t>
      </w:r>
      <w:r w:rsidR="0049679E" w:rsidRPr="00901194">
        <w:rPr>
          <w:rFonts w:cs="Times New Roman"/>
        </w:rPr>
        <w:fldChar w:fldCharType="begin" w:fldLock="1"/>
      </w:r>
      <w:r w:rsidR="0049679E" w:rsidRPr="00901194">
        <w:rPr>
          <w:rFonts w:cs="Times New Roman"/>
        </w:rPr>
        <w:instrText>ADDIN CSL_CITATION {"citationItems":[{"id":"ITEM-1","itemData":{"DOI":"10.1002/mmce.20381","ISSN":"10964290","abstract":"This article presents a strategy for enhancing efficiency in power amplifiers (PAs) by combining digital predistortion (DPD) linearization and clipping strategies for orthogonal frequency division multiplexing signals in a WiMAX scenario. On the one hand, by reducing the peak-to-average power ratio of multicarrier signals using the well-known clipping technique, it is possible to perform a more efficient PA amplification. On the other hand, nonlinear and linear distortion introduced by the PA operating close to saturation is compensated by the baseband adaptive DPD linearizer. The DPD has to counteract not only the PA nonlinear behavior, but also its dynamics. A test-bench implementing a WiMAX transmitter was deployed to evaluate the possibilities for enhancing power efficiency while fulfilling the demanded linearity requirements. Experimental results showing the power efficiency and linearity enhancement achieved by the proposed strategy are provided. © 2009 Wiley Periodicals, Inc.","author":[{"dropping-particle":"","family":"McKinney","given":"Wes","non-dropping-particle":"","parse-names":false,"suffix":""}],"container-title":"Python for high performance and scientific computing","id":"ITEM-1","issue":"9","issued":{"date-parts":[["2011"]]},"page":"1-9","title":"pandas: a Foundational Python Library for Data Analysis and Statistics","type":"article-journal","volume":"14"},"uris":["http://www.mendeley.com/documents/?uuid=c738a23f-7bd8-440f-846c-fc3195ed80b2"]}],"mendeley":{"formattedCitation":"&lt;sup&gt;124&lt;/sup&gt;","plainTextFormattedCitation":"124","previouslyFormattedCitation":"&lt;sup&gt;124&lt;/sup&gt;"},"properties":{"noteIndex":0},"schema":"https://github.com/citation-style-language/schema/raw/master/csl-citation.json"}</w:instrText>
      </w:r>
      <w:r w:rsidR="0049679E" w:rsidRPr="00901194">
        <w:rPr>
          <w:rFonts w:cs="Times New Roman"/>
        </w:rPr>
        <w:fldChar w:fldCharType="separate"/>
      </w:r>
      <w:r w:rsidR="0049679E" w:rsidRPr="00901194">
        <w:rPr>
          <w:rFonts w:cs="Times New Roman"/>
          <w:noProof/>
          <w:vertAlign w:val="superscript"/>
        </w:rPr>
        <w:t>124</w:t>
      </w:r>
      <w:r w:rsidR="0049679E" w:rsidRPr="00901194">
        <w:rPr>
          <w:rFonts w:cs="Times New Roman"/>
        </w:rPr>
        <w:fldChar w:fldCharType="end"/>
      </w:r>
      <w:r w:rsidRPr="00901194">
        <w:rPr>
          <w:rFonts w:cs="Times New Roman"/>
        </w:rPr>
        <w:t>, “upsetplot”, “matplotlib”</w:t>
      </w:r>
      <w:r w:rsidR="0049679E" w:rsidRPr="00901194">
        <w:rPr>
          <w:rFonts w:cs="Times New Roman"/>
        </w:rPr>
        <w:fldChar w:fldCharType="begin" w:fldLock="1"/>
      </w:r>
      <w:r w:rsidR="0049679E" w:rsidRPr="00901194">
        <w:rPr>
          <w:rFonts w:cs="Times New Roman"/>
        </w:rPr>
        <w:instrText>ADDIN CSL_CITATION {"citationItems":[{"id":"ITEM-1","itemData":{"author":[{"dropping-particle":"","family":"Hunter","given":"John D.","non-dropping-particle":"","parse-names":false,"suffix":""}],"container-title":"Computing in Science and Engineering","id":"ITEM-1","issue":"3","issued":{"date-parts":[["2007"]]},"page":"90-95","title":"Matplotlib: A 2D Graphics Environment","type":"article-journal","volume":"9"},"uris":["http://www.mendeley.com/documents/?uuid=a99fa73a-bd9b-4a0b-9d2e-c03a6b9cf3e0"]}],"mendeley":{"formattedCitation":"&lt;sup&gt;126&lt;/sup&gt;","plainTextFormattedCitation":"126","previouslyFormattedCitation":"&lt;sup&gt;126&lt;/sup&gt;"},"properties":{"noteIndex":0},"schema":"https://github.com/citation-style-language/schema/raw/master/csl-citation.json"}</w:instrText>
      </w:r>
      <w:r w:rsidR="0049679E" w:rsidRPr="00901194">
        <w:rPr>
          <w:rFonts w:cs="Times New Roman"/>
        </w:rPr>
        <w:fldChar w:fldCharType="separate"/>
      </w:r>
      <w:r w:rsidR="0049679E" w:rsidRPr="00901194">
        <w:rPr>
          <w:rFonts w:cs="Times New Roman"/>
          <w:noProof/>
          <w:vertAlign w:val="superscript"/>
        </w:rPr>
        <w:t>126</w:t>
      </w:r>
      <w:r w:rsidR="0049679E" w:rsidRPr="00901194">
        <w:rPr>
          <w:rFonts w:cs="Times New Roman"/>
        </w:rPr>
        <w:fldChar w:fldCharType="end"/>
      </w:r>
      <w:r w:rsidRPr="00901194">
        <w:rPr>
          <w:rFonts w:cs="Times New Roman"/>
        </w:rPr>
        <w:t>, “seaborn”</w:t>
      </w:r>
      <w:r w:rsidR="0049679E" w:rsidRPr="00901194">
        <w:rPr>
          <w:rFonts w:cs="Times New Roman"/>
        </w:rPr>
        <w:fldChar w:fldCharType="begin" w:fldLock="1"/>
      </w:r>
      <w:r w:rsidR="009D364B" w:rsidRPr="00901194">
        <w:rPr>
          <w:rFonts w:cs="Times New Roman"/>
        </w:rPr>
        <w:instrText>ADDIN CSL_CITATION {"citationItems":[{"id":"ITEM-1","itemData":{"DOI":"10.21105/joss.03021","author":[{"dropping-particle":"","family":"Waskom","given":"Michael L","non-dropping-particle":"","parse-names":false,"suffix":""}],"container-title":"Journal of Open Source Software","id":"ITEM-1","issue":"20","issued":{"date-parts":[["2021"]]},"page":"1-4","title":"seaborn: statistical data visualization","type":"article-journal","volume":"6"},"uris":["http://www.mendeley.com/documents/?uuid=305a1d87-be22-4d94-9399-432810e17543"]}],"mendeley":{"formattedCitation":"&lt;sup&gt;192&lt;/sup&gt;","plainTextFormattedCitation":"192","previouslyFormattedCitation":"&lt;sup&gt;192&lt;/sup&gt;"},"properties":{"noteIndex":0},"schema":"https://github.com/citation-style-language/schema/raw/master/csl-citation.json"}</w:instrText>
      </w:r>
      <w:r w:rsidR="0049679E" w:rsidRPr="00901194">
        <w:rPr>
          <w:rFonts w:cs="Times New Roman"/>
        </w:rPr>
        <w:fldChar w:fldCharType="separate"/>
      </w:r>
      <w:r w:rsidR="000D0072" w:rsidRPr="00901194">
        <w:rPr>
          <w:rFonts w:cs="Times New Roman"/>
          <w:noProof/>
          <w:vertAlign w:val="superscript"/>
        </w:rPr>
        <w:t>192</w:t>
      </w:r>
      <w:r w:rsidR="0049679E" w:rsidRPr="00901194">
        <w:rPr>
          <w:rFonts w:cs="Times New Roman"/>
        </w:rPr>
        <w:fldChar w:fldCharType="end"/>
      </w:r>
      <w:r w:rsidRPr="00901194">
        <w:rPr>
          <w:rFonts w:cs="Times New Roman"/>
        </w:rPr>
        <w:t>, and “numPy”</w:t>
      </w:r>
      <w:r w:rsidR="0049679E" w:rsidRPr="00901194">
        <w:rPr>
          <w:rFonts w:cs="Times New Roman"/>
        </w:rPr>
        <w:fldChar w:fldCharType="begin" w:fldLock="1"/>
      </w:r>
      <w:r w:rsidR="009D364B" w:rsidRPr="00901194">
        <w:rPr>
          <w:rFonts w:cs="Times New Roman"/>
        </w:rPr>
        <w:instrText>ADDIN CSL_CITATION {"citationItems":[{"id":"ITEM-1","itemData":{"DOI":"10.1038/s41586-020-2649-2","ISSN":"1476-4687","author":[{"dropping-particle":"","family":"Harris","given":"Charles R","non-dropping-particle":"","parse-names":false,"suffix":""},{"dropping-particle":"","family":"Millman","given":"K Jarrod","non-dropping-particle":"","parse-names":false,"suffix":""},{"dropping-particle":"Van Der","family":"Walt","given":"Stéfan J","non-dropping-particle":"","parse-names":false,"suffix":""},{"dropping-particle":"","family":"Gommers","given":"Ralf","non-dropping-particle":"","parse-names":false,"suffix":""},{"dropping-particle":"","family":"Virtanen","given":"Pauli","non-dropping-particle":"","parse-names":false,"suffix":""},{"dropping-particle":"","family":"Cournapeau","given":"David","non-dropping-particle":"","parse-names":false,"suffix":""},{"dropping-particle":"","family":"Wieser","given":"Eric","non-dropping-particle":"","parse-names":false,"suffix":""},{"dropping-particle":"","family":"Taylor","given":"Julian","non-dropping-particle":"","parse-names":false,"suffix":""},{"dropping-particle":"","family":"Berg","given":"Sebastian","non-dropping-particle":"","parse-names":false,"suffix":""},{"dropping-particle":"","family":"Smith","given":"Nathaniel J","non-dropping-particle":"","parse-names":false,"suffix":""},{"dropping-particle":"","family":"Kern","given":"Robert","non-dropping-particle":"","parse-names":false,"suffix":""},{"dropping-particle":"","family":"Picus","given":"Matti","non-dropping-particle":"","parse-names":false,"suffix":""},{"dropping-particle":"","family":"Hoyer","given":"Stephan","non-dropping-particle":"","parse-names":false,"suffix":""},{"dropping-particle":"Van","family":"Kerkwijk","given":"Marten H","non-dropping-particle":"","parse-names":false,"suffix":""},{"dropping-particle":"","family":"Brett","given":"Matthew","non-dropping-particle":"","parse-names":false,"suffix":""},{"dropping-particle":"","family":"Haldane","given":"Allan","non-dropping-particle":"","parse-names":false,"suffix":""},{"dropping-particle":"","family":"Fernández del Río","given":"Jaime","non-dropping-particle":"","parse-names":false,"suffix":""},{"dropping-particle":"","family":"Wiebe","given":"Mark","non-dropping-particle":"","parse-names":false,"suffix":""},{"dropping-particle":"","family":"Peterson","given":"Pearu","non-dropping-particle":"","parse-names":false,"suffix":""},{"dropping-particle":"","family":"Gérard-Marchant","given":"Pierre","non-dropping-particle":"","parse-names":false,"suffix":""},{"dropping-particle":"","family":"Sheppard","given":"Kevin","non-dropping-particle":"","parse-names":false,"suffix":""},{"dropping-particle":"","family":"Reddy","given":"Tyler","non-dropping-particle":"","parse-names":false,"suffix":""},{"dropping-particle":"","family":"Weckesser","given":"Warren","non-dropping-particle":"","parse-names":false,"suffix":""},{"dropping-particle":"","family":"Abbasi","given":"Hameer","non-dropping-particle":"","parse-names":false,"suffix":""},{"dropping-particle":"","family":"Gohlke","given":"Christoph","non-dropping-particle":"","parse-names":false,"suffix":""},{"dropping-particle":"","family":"Oliphant","given":"Travis E.","non-dropping-particle":"","parse-names":false,"suffix":""}],"container-title":"Nature","id":"ITEM-1","issue":"7825","issued":{"date-parts":[["2020"]]},"page":"357-362","publisher":"Springer US","title":"Array programming with NumPy","type":"article-journal","volume":"585"},"uris":["http://www.mendeley.com/documents/?uuid=563db1e0-b640-40fd-8e1d-5eb35169b5f1"]}],"mendeley":{"formattedCitation":"&lt;sup&gt;193&lt;/sup&gt;","plainTextFormattedCitation":"193","previouslyFormattedCitation":"&lt;sup&gt;193&lt;/sup&gt;"},"properties":{"noteIndex":0},"schema":"https://github.com/citation-style-language/schema/raw/master/csl-citation.json"}</w:instrText>
      </w:r>
      <w:r w:rsidR="0049679E" w:rsidRPr="00901194">
        <w:rPr>
          <w:rFonts w:cs="Times New Roman"/>
        </w:rPr>
        <w:fldChar w:fldCharType="separate"/>
      </w:r>
      <w:r w:rsidR="000D0072" w:rsidRPr="00901194">
        <w:rPr>
          <w:rFonts w:cs="Times New Roman"/>
          <w:noProof/>
          <w:vertAlign w:val="superscript"/>
        </w:rPr>
        <w:t>193</w:t>
      </w:r>
      <w:r w:rsidR="0049679E" w:rsidRPr="00901194">
        <w:rPr>
          <w:rFonts w:cs="Times New Roman"/>
        </w:rPr>
        <w:fldChar w:fldCharType="end"/>
      </w:r>
      <w:r w:rsidRPr="00901194">
        <w:rPr>
          <w:rFonts w:cs="Times New Roman"/>
        </w:rPr>
        <w:t xml:space="preserve">. All R and Python code used for Kruskal-Wallis tests, median fold change calculations, file formatting, and UpSet plot generation are available at: </w:t>
      </w:r>
      <w:hyperlink r:id="rId30" w:history="1">
        <w:r w:rsidRPr="00901194">
          <w:rPr>
            <w:rStyle w:val="Hyperlink"/>
            <w:rFonts w:cs="Times New Roman"/>
          </w:rPr>
          <w:t>https://github.com/jhaffner09/Wisconsin_Diet_Project</w:t>
        </w:r>
      </w:hyperlink>
      <w:r w:rsidRPr="00901194">
        <w:rPr>
          <w:rFonts w:cs="Times New Roman"/>
        </w:rPr>
        <w:t xml:space="preserve">. </w:t>
      </w:r>
    </w:p>
    <w:p w14:paraId="7B28559B" w14:textId="233C59D3" w:rsidR="001A0742" w:rsidRPr="00901194" w:rsidRDefault="001A0742" w:rsidP="001A0742">
      <w:pPr>
        <w:pStyle w:val="Subsub-chapterHeading"/>
      </w:pPr>
      <w:bookmarkStart w:id="74" w:name="_Toc134185973"/>
      <w:r w:rsidRPr="00901194">
        <w:t>Data availability</w:t>
      </w:r>
      <w:bookmarkEnd w:id="74"/>
    </w:p>
    <w:p w14:paraId="7AFB2C02" w14:textId="7A923A4F" w:rsidR="000471C6" w:rsidRPr="00901194" w:rsidRDefault="001A0742" w:rsidP="001A0742">
      <w:pPr>
        <w:ind w:firstLine="720"/>
        <w:rPr>
          <w:rFonts w:cs="Times New Roman"/>
        </w:rPr>
      </w:pPr>
      <w:r w:rsidRPr="00901194">
        <w:rPr>
          <w:rFonts w:cs="Times New Roman"/>
        </w:rPr>
        <w:t xml:space="preserve">Metabolomics data have been deposited in MassIVE, accession number MSV000087045. Molecular networking analysis can be accessed here: </w:t>
      </w:r>
      <w:hyperlink r:id="rId31" w:history="1">
        <w:r w:rsidRPr="00901194">
          <w:rPr>
            <w:rStyle w:val="Hyperlink"/>
            <w:rFonts w:cs="Times New Roman"/>
          </w:rPr>
          <w:t>https://gnps.ucsd.edu/ProteoSAFe/status.jsp?task=3a3e85a2a63043d7a505547233ea9a91</w:t>
        </w:r>
      </w:hyperlink>
      <w:r w:rsidRPr="00901194">
        <w:rPr>
          <w:rFonts w:cs="Times New Roman"/>
        </w:rPr>
        <w:t xml:space="preserve"> (full dataset, including food constituents); </w:t>
      </w:r>
      <w:hyperlink r:id="rId32" w:history="1">
        <w:r w:rsidRPr="00901194">
          <w:rPr>
            <w:rStyle w:val="Hyperlink"/>
            <w:rFonts w:cs="Times New Roman"/>
          </w:rPr>
          <w:t>https://gnps.ucsd.edu/ProteoSAFe/status.jsp?task=1b1f02ddb16743d091801ca17b83a386</w:t>
        </w:r>
      </w:hyperlink>
      <w:r w:rsidR="005225EC" w:rsidRPr="00901194">
        <w:rPr>
          <w:rFonts w:cs="Times New Roman"/>
        </w:rPr>
        <w:t xml:space="preserve"> </w:t>
      </w:r>
      <w:r w:rsidRPr="00901194">
        <w:rPr>
          <w:rFonts w:cs="Times New Roman"/>
        </w:rPr>
        <w:t xml:space="preserve">(feature-based molecular networking, microbiota-elevated and microbiota-depleted metabolite features combined); </w:t>
      </w:r>
      <w:hyperlink r:id="rId33" w:history="1">
        <w:r w:rsidRPr="00901194">
          <w:rPr>
            <w:rStyle w:val="Hyperlink"/>
            <w:rFonts w:cs="Times New Roman"/>
          </w:rPr>
          <w:t>https://gnps.ucsd.edu/ProteoSAFe/status.jsp?task=00be111fe8a4480286ba1e1a24dcc814</w:t>
        </w:r>
      </w:hyperlink>
      <w:r w:rsidRPr="00901194">
        <w:rPr>
          <w:rFonts w:cs="Times New Roman"/>
        </w:rPr>
        <w:t xml:space="preserve"> (MolNetEnhancer). Representative code has been deposited on GitHub, </w:t>
      </w:r>
      <w:hyperlink r:id="rId34" w:history="1">
        <w:r w:rsidRPr="00901194">
          <w:rPr>
            <w:rStyle w:val="Hyperlink"/>
            <w:rFonts w:cs="Times New Roman"/>
          </w:rPr>
          <w:t>https://github.com/camilgosmanov/GNPS</w:t>
        </w:r>
      </w:hyperlink>
      <w:r w:rsidRPr="00901194">
        <w:rPr>
          <w:rFonts w:cs="Times New Roman"/>
        </w:rPr>
        <w:t xml:space="preserve"> (for automated feature annotation via GNPS) and </w:t>
      </w:r>
      <w:hyperlink r:id="rId35" w:history="1">
        <w:r w:rsidRPr="00901194">
          <w:rPr>
            <w:rStyle w:val="Hyperlink"/>
            <w:rFonts w:cs="Times New Roman"/>
          </w:rPr>
          <w:t>https://github.com/camilgosmanov/Wisconsin-Diet-Project/blob/main/Diet_Project.R</w:t>
        </w:r>
      </w:hyperlink>
      <w:r w:rsidRPr="00901194">
        <w:rPr>
          <w:rFonts w:cs="Times New Roman"/>
        </w:rPr>
        <w:t xml:space="preserve"> (to filter metabolites depleted in colonized mice).</w:t>
      </w:r>
    </w:p>
    <w:p w14:paraId="6260D68C" w14:textId="4A6B7568" w:rsidR="004A25BA" w:rsidRPr="00901194" w:rsidRDefault="004A25BA" w:rsidP="004A25BA">
      <w:pPr>
        <w:pStyle w:val="Sub-ChapterHading"/>
        <w:ind w:left="0" w:firstLine="0"/>
      </w:pPr>
      <w:bookmarkStart w:id="75" w:name="_Toc134185974"/>
      <w:r w:rsidRPr="00901194">
        <w:lastRenderedPageBreak/>
        <w:t>3.4 RESULTS AND DISCUSSION</w:t>
      </w:r>
      <w:bookmarkEnd w:id="75"/>
    </w:p>
    <w:p w14:paraId="219A96D2" w14:textId="6589BCEE" w:rsidR="00433996" w:rsidRPr="00901194" w:rsidRDefault="00433996" w:rsidP="00433996">
      <w:pPr>
        <w:pStyle w:val="Subsub-chapterHeading"/>
      </w:pPr>
      <w:bookmarkStart w:id="76" w:name="_Toc134185975"/>
      <w:r w:rsidRPr="00901194">
        <w:t>Diet and gut community differentially modulate cecal metabolites</w:t>
      </w:r>
      <w:bookmarkEnd w:id="76"/>
    </w:p>
    <w:p w14:paraId="32BF6E2D" w14:textId="47431EF6" w:rsidR="00850FA0" w:rsidRPr="00901194" w:rsidRDefault="00674D9A" w:rsidP="00674D9A">
      <w:pPr>
        <w:ind w:firstLine="720"/>
        <w:rPr>
          <w:rFonts w:cs="Times New Roman"/>
        </w:rPr>
      </w:pPr>
      <w:r w:rsidRPr="00901194">
        <w:rPr>
          <w:rFonts w:cs="Times New Roman"/>
        </w:rPr>
        <w:t xml:space="preserve">We focused specifically on metabolites modulated by the microbiome, indicated as elevation or depletion (&gt;10-fold) compared to GF controls exposed to the same diet (see Methods), representing ~40% of all metabolite features detected in the cecum. We refer to this dataset as microbiome-modulated metabolite features, below. </w:t>
      </w:r>
      <w:r w:rsidR="0063284A" w:rsidRPr="00901194">
        <w:rPr>
          <w:rFonts w:cs="Times New Roman"/>
        </w:rPr>
        <w:t xml:space="preserve">A significant fraction of the microbiome-modulated cecal metabolite features were only detected in a given donor or a given diet (16% and 19%, respectively). The greatest proportion of uniquely elicited metabolites for a given donor was observed in mice fed the whole grain diet (Fisher’s exact test, </w:t>
      </w:r>
      <w:r w:rsidR="0063284A" w:rsidRPr="00901194">
        <w:rPr>
          <w:rFonts w:cs="Times New Roman"/>
          <w:i/>
          <w:iCs/>
        </w:rPr>
        <w:t>p</w:t>
      </w:r>
      <w:r w:rsidR="0063284A" w:rsidRPr="00901194">
        <w:rPr>
          <w:rFonts w:cs="Times New Roman"/>
        </w:rPr>
        <w:t xml:space="preserve"> &lt; 0.05 for all pairwise comparisons between whole grain diet and other diets, for a given donor, except for legume </w:t>
      </w:r>
      <w:r w:rsidR="0063284A" w:rsidRPr="00901194">
        <w:rPr>
          <w:rFonts w:cs="Times New Roman"/>
          <w:i/>
          <w:iCs/>
        </w:rPr>
        <w:t xml:space="preserve">vs. </w:t>
      </w:r>
      <w:r w:rsidR="0063284A" w:rsidRPr="00901194">
        <w:rPr>
          <w:rFonts w:cs="Times New Roman"/>
        </w:rPr>
        <w:t>whole grain in SubB, Fig</w:t>
      </w:r>
      <w:r w:rsidR="00AC1688" w:rsidRPr="00901194">
        <w:rPr>
          <w:rFonts w:cs="Times New Roman"/>
        </w:rPr>
        <w:t>ure</w:t>
      </w:r>
      <w:r w:rsidR="0063284A" w:rsidRPr="00901194">
        <w:rPr>
          <w:rFonts w:cs="Times New Roman"/>
        </w:rPr>
        <w:t xml:space="preserve"> </w:t>
      </w:r>
      <w:r w:rsidR="00AC1688" w:rsidRPr="00901194">
        <w:rPr>
          <w:rFonts w:cs="Times New Roman"/>
        </w:rPr>
        <w:t>3.2</w:t>
      </w:r>
      <w:r w:rsidR="0063284A" w:rsidRPr="00901194">
        <w:rPr>
          <w:rFonts w:cs="Times New Roman"/>
        </w:rPr>
        <w:t xml:space="preserve">E-G). </w:t>
      </w:r>
    </w:p>
    <w:p w14:paraId="56DBD33B" w14:textId="77777777" w:rsidR="00AC1688" w:rsidRPr="00901194" w:rsidRDefault="00AC1688" w:rsidP="00AC1688">
      <w:pPr>
        <w:pStyle w:val="CaptionJH"/>
        <w:spacing w:line="240" w:lineRule="auto"/>
        <w:rPr>
          <w:b/>
          <w:bCs w:val="0"/>
        </w:rPr>
      </w:pPr>
      <w:bookmarkStart w:id="77" w:name="_Toc131186554"/>
      <w:r w:rsidRPr="00901194">
        <w:rPr>
          <w:b/>
          <w:bCs w:val="0"/>
          <w:noProof/>
        </w:rPr>
        <w:lastRenderedPageBreak/>
        <w:drawing>
          <wp:anchor distT="0" distB="0" distL="114300" distR="114300" simplePos="0" relativeHeight="251726848" behindDoc="0" locked="0" layoutInCell="1" allowOverlap="1" wp14:anchorId="7BEB53CB" wp14:editId="55BF6307">
            <wp:simplePos x="0" y="0"/>
            <wp:positionH relativeFrom="column">
              <wp:posOffset>0</wp:posOffset>
            </wp:positionH>
            <wp:positionV relativeFrom="paragraph">
              <wp:posOffset>-2540</wp:posOffset>
            </wp:positionV>
            <wp:extent cx="5791200" cy="7210425"/>
            <wp:effectExtent l="0" t="0" r="0" b="0"/>
            <wp:wrapTopAndBottom/>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5791200" cy="7210425"/>
                    </a:xfrm>
                    <a:prstGeom prst="rect">
                      <a:avLst/>
                    </a:prstGeom>
                  </pic:spPr>
                </pic:pic>
              </a:graphicData>
            </a:graphic>
          </wp:anchor>
        </w:drawing>
      </w:r>
      <w:r w:rsidRPr="00901194">
        <w:rPr>
          <w:b/>
          <w:bCs w:val="0"/>
        </w:rPr>
        <w:t>Figure 3.2: Gut microbial community and diet modulate cecal metabolites.</w:t>
      </w:r>
      <w:bookmarkEnd w:id="77"/>
      <w:r w:rsidRPr="00901194">
        <w:rPr>
          <w:b/>
          <w:bCs w:val="0"/>
        </w:rPr>
        <w:t xml:space="preserve"> </w:t>
      </w:r>
    </w:p>
    <w:p w14:paraId="7140489B" w14:textId="7D0AE56C" w:rsidR="00850FA0" w:rsidRPr="00901194" w:rsidRDefault="00AC1688" w:rsidP="00716E48">
      <w:pPr>
        <w:spacing w:line="240" w:lineRule="auto"/>
        <w:rPr>
          <w:rFonts w:cs="Times New Roman"/>
          <w:i/>
          <w:iCs/>
        </w:rPr>
      </w:pPr>
      <w:r w:rsidRPr="00901194">
        <w:rPr>
          <w:rFonts w:cs="Times New Roman"/>
          <w:i/>
          <w:iCs/>
        </w:rPr>
        <w:t xml:space="preserve">(A) PCoA of Bray-Curtis </w:t>
      </w:r>
      <w:r w:rsidR="001A0F34" w:rsidRPr="00901194">
        <w:rPr>
          <w:rFonts w:cs="Times New Roman"/>
          <w:i/>
          <w:iCs/>
        </w:rPr>
        <w:t xml:space="preserve">dissimilarities between </w:t>
      </w:r>
      <w:r w:rsidRPr="00901194">
        <w:rPr>
          <w:rFonts w:cs="Times New Roman"/>
          <w:i/>
          <w:iCs/>
        </w:rPr>
        <w:t xml:space="preserve">cecum microbial metabolites for all three donors. (B-D) PCoA of Bray-Curtis </w:t>
      </w:r>
      <w:r w:rsidR="001A0F34" w:rsidRPr="00901194">
        <w:rPr>
          <w:rFonts w:cs="Times New Roman"/>
          <w:i/>
          <w:iCs/>
        </w:rPr>
        <w:t xml:space="preserve">dissimilarities between </w:t>
      </w:r>
      <w:r w:rsidRPr="00901194">
        <w:rPr>
          <w:rFonts w:cs="Times New Roman"/>
          <w:i/>
          <w:iCs/>
        </w:rPr>
        <w:t xml:space="preserve">cecum microbial metabolites for each donor. SubA(B), SubB(C) and SubC(D). Color legend from (A) applies to B-G. (E-G) Numbers of elevated/depleted metabolites present in different diets in each donor.  SubA (E), </w:t>
      </w:r>
      <w:r w:rsidRPr="00901194">
        <w:rPr>
          <w:rFonts w:cs="Times New Roman"/>
          <w:i/>
          <w:iCs/>
        </w:rPr>
        <w:lastRenderedPageBreak/>
        <w:t>SubB (F), and SubC (G). (H-J) Numbers of elevated/depleted metabolites present in different donors in each diet. SubA colored red, SubB colored blue, SubC colored orange. Legume (H), vegetable (I), and whole grain (J).</w:t>
      </w:r>
    </w:p>
    <w:p w14:paraId="2316178A" w14:textId="77777777" w:rsidR="00AC1688" w:rsidRPr="00901194" w:rsidRDefault="00AC1688" w:rsidP="00AC1688">
      <w:pPr>
        <w:rPr>
          <w:rFonts w:cs="Times New Roman"/>
        </w:rPr>
      </w:pPr>
    </w:p>
    <w:p w14:paraId="331AB75B" w14:textId="5A008DE3" w:rsidR="0063284A" w:rsidRPr="00901194" w:rsidRDefault="0063284A" w:rsidP="00850FA0">
      <w:pPr>
        <w:rPr>
          <w:rFonts w:cs="Times New Roman"/>
        </w:rPr>
      </w:pPr>
      <w:r w:rsidRPr="00901194">
        <w:rPr>
          <w:rFonts w:cs="Times New Roman"/>
        </w:rPr>
        <w:t xml:space="preserve">The community with the largest number of unique microbiome-modulated metabolites was variable depending on the diet: SubC for vegetables and whole grain, and SubB for legume diet (Fisher’s exact test, </w:t>
      </w:r>
      <w:r w:rsidRPr="00901194">
        <w:rPr>
          <w:rFonts w:cs="Times New Roman"/>
          <w:i/>
          <w:iCs/>
        </w:rPr>
        <w:t>p</w:t>
      </w:r>
      <w:r w:rsidRPr="00901194">
        <w:rPr>
          <w:rFonts w:cs="Times New Roman"/>
        </w:rPr>
        <w:t xml:space="preserve"> &lt; 0.05 for all pairwise comparisons except SubB-SubA for the legume diet, </w:t>
      </w:r>
      <w:r w:rsidR="00AC1688" w:rsidRPr="00901194">
        <w:rPr>
          <w:rFonts w:cs="Times New Roman"/>
        </w:rPr>
        <w:t>Figure 3.2</w:t>
      </w:r>
      <w:r w:rsidRPr="00901194">
        <w:rPr>
          <w:rFonts w:cs="Times New Roman"/>
        </w:rPr>
        <w:t xml:space="preserve">H-J).  Across whole grain and vegetable diets, SubA had the least number of unique microbiome-modulated metabolite features (Fisher’s exact test, </w:t>
      </w:r>
      <w:r w:rsidRPr="00901194">
        <w:rPr>
          <w:rFonts w:cs="Times New Roman"/>
          <w:i/>
          <w:iCs/>
        </w:rPr>
        <w:t>p</w:t>
      </w:r>
      <w:r w:rsidRPr="00901194">
        <w:rPr>
          <w:rFonts w:cs="Times New Roman"/>
        </w:rPr>
        <w:t xml:space="preserve"> &lt; 0.05 for all pairwise comparisons except SubA-SubB for vegetable diet, </w:t>
      </w:r>
      <w:r w:rsidR="00E81DE2" w:rsidRPr="00901194">
        <w:rPr>
          <w:rFonts w:cs="Times New Roman"/>
        </w:rPr>
        <w:t>Figure 3.2H</w:t>
      </w:r>
      <w:r w:rsidRPr="00901194">
        <w:rPr>
          <w:rFonts w:cs="Times New Roman"/>
        </w:rPr>
        <w:t xml:space="preserve">-J). The total number of observed microbiome-modulated metabolites (alpha diversity) only differed by diet for SubB, with the lowest number of observed metabolite features in the vegetable diet (Kruskal-Wallis </w:t>
      </w:r>
      <w:r w:rsidRPr="00901194">
        <w:rPr>
          <w:rFonts w:cs="Times New Roman"/>
          <w:i/>
          <w:iCs/>
        </w:rPr>
        <w:t>q</w:t>
      </w:r>
      <w:r w:rsidRPr="00901194">
        <w:rPr>
          <w:rFonts w:cs="Times New Roman"/>
        </w:rPr>
        <w:t xml:space="preserve">-value &lt; 0.05 for legume to vegetable and whole grains to vegetable diets, </w:t>
      </w:r>
      <w:r w:rsidR="00020D13" w:rsidRPr="00901194">
        <w:rPr>
          <w:rFonts w:cs="Times New Roman"/>
        </w:rPr>
        <w:t>Figure S3.1</w:t>
      </w:r>
      <w:r w:rsidRPr="00901194">
        <w:rPr>
          <w:rFonts w:cs="Times New Roman"/>
        </w:rPr>
        <w:t xml:space="preserve">). Differences between diets were not significant for SubA and SubC, and neither were differences between donors for any given single diet (Kruskal-Wallis </w:t>
      </w:r>
      <w:r w:rsidRPr="00901194">
        <w:rPr>
          <w:rFonts w:cs="Times New Roman"/>
          <w:i/>
          <w:iCs/>
        </w:rPr>
        <w:t>q</w:t>
      </w:r>
      <w:r w:rsidRPr="00901194">
        <w:rPr>
          <w:rFonts w:cs="Times New Roman"/>
        </w:rPr>
        <w:t>-value &gt; 0.05, Fig</w:t>
      </w:r>
      <w:r w:rsidR="00020D13" w:rsidRPr="00901194">
        <w:rPr>
          <w:rFonts w:cs="Times New Roman"/>
        </w:rPr>
        <w:t>ureS3.1)</w:t>
      </w:r>
      <w:r w:rsidRPr="00901194">
        <w:rPr>
          <w:rFonts w:cs="Times New Roman"/>
        </w:rPr>
        <w:t xml:space="preserve">.  </w:t>
      </w:r>
    </w:p>
    <w:p w14:paraId="408AEF6C" w14:textId="0BDD583E" w:rsidR="00656FC5" w:rsidRPr="00901194" w:rsidRDefault="0063284A" w:rsidP="00433996">
      <w:pPr>
        <w:ind w:firstLine="720"/>
        <w:rPr>
          <w:rFonts w:cs="Times New Roman"/>
        </w:rPr>
      </w:pPr>
      <w:r w:rsidRPr="00901194">
        <w:rPr>
          <w:rFonts w:cs="Times New Roman"/>
        </w:rPr>
        <w:t xml:space="preserve">In contrast, we observed substantial variation in microbially-modulated metabolite abundance between mice colonized with different communities and diets (Bray-Curtis </w:t>
      </w:r>
      <w:r w:rsidR="001A0F34" w:rsidRPr="00901194">
        <w:rPr>
          <w:rFonts w:cs="Times New Roman"/>
        </w:rPr>
        <w:t xml:space="preserve">dissimilarity </w:t>
      </w:r>
      <w:r w:rsidRPr="00901194">
        <w:rPr>
          <w:rFonts w:cs="Times New Roman"/>
        </w:rPr>
        <w:t xml:space="preserve">metric; PERMANOVA </w:t>
      </w:r>
      <w:r w:rsidRPr="00901194">
        <w:rPr>
          <w:rFonts w:cs="Times New Roman"/>
          <w:i/>
          <w:iCs/>
        </w:rPr>
        <w:t>p</w:t>
      </w:r>
      <w:r w:rsidRPr="00901194">
        <w:rPr>
          <w:rFonts w:cs="Times New Roman"/>
        </w:rPr>
        <w:t>=0.001 R</w:t>
      </w:r>
      <w:r w:rsidRPr="00901194">
        <w:rPr>
          <w:rFonts w:cs="Times New Roman"/>
          <w:vertAlign w:val="superscript"/>
        </w:rPr>
        <w:t>2</w:t>
      </w:r>
      <w:r w:rsidRPr="00901194">
        <w:rPr>
          <w:rFonts w:cs="Times New Roman"/>
        </w:rPr>
        <w:t xml:space="preserve">=0.196 for diet; </w:t>
      </w:r>
      <w:r w:rsidRPr="00901194">
        <w:rPr>
          <w:rFonts w:cs="Times New Roman"/>
          <w:i/>
          <w:iCs/>
        </w:rPr>
        <w:t>p</w:t>
      </w:r>
      <w:r w:rsidRPr="00901194">
        <w:rPr>
          <w:rFonts w:cs="Times New Roman"/>
        </w:rPr>
        <w:t>=0.001 R</w:t>
      </w:r>
      <w:r w:rsidRPr="00901194">
        <w:rPr>
          <w:rFonts w:cs="Times New Roman"/>
          <w:vertAlign w:val="superscript"/>
        </w:rPr>
        <w:t>2</w:t>
      </w:r>
      <w:r w:rsidRPr="00901194">
        <w:rPr>
          <w:rFonts w:cs="Times New Roman"/>
        </w:rPr>
        <w:t xml:space="preserve">=0.174 for donor; </w:t>
      </w:r>
      <w:r w:rsidRPr="00901194">
        <w:rPr>
          <w:rFonts w:cs="Times New Roman"/>
          <w:i/>
          <w:iCs/>
        </w:rPr>
        <w:t>p</w:t>
      </w:r>
      <w:r w:rsidRPr="00901194">
        <w:rPr>
          <w:rFonts w:cs="Times New Roman"/>
        </w:rPr>
        <w:t>=0.001 R</w:t>
      </w:r>
      <w:r w:rsidRPr="00901194">
        <w:rPr>
          <w:rFonts w:cs="Times New Roman"/>
          <w:vertAlign w:val="superscript"/>
        </w:rPr>
        <w:t>2</w:t>
      </w:r>
      <w:r w:rsidRPr="00901194">
        <w:rPr>
          <w:rFonts w:cs="Times New Roman"/>
        </w:rPr>
        <w:t xml:space="preserve">=0.0783 for the interaction between diet and donor, </w:t>
      </w:r>
      <w:r w:rsidR="00561F12" w:rsidRPr="00901194">
        <w:rPr>
          <w:rFonts w:cs="Times New Roman"/>
        </w:rPr>
        <w:t>Figure 3.2</w:t>
      </w:r>
      <w:r w:rsidRPr="00901194">
        <w:rPr>
          <w:rFonts w:cs="Times New Roman"/>
        </w:rPr>
        <w:t xml:space="preserve">A). The vegetable diet was the most divergent (pairwise PERMANOVA pseudo-F of 10.0 for legumes vs vegetable and 12.0 for whole grains vs vegetable; pseudo-F of 8.4 for legumes vs whole grains; all q-values=0.001). SubB was the most divergent overall, with SubA closer to SubC (pairwise PERMANOVA pseudo-F of 9.4 for SubB vs SubA and of 13.6 for SubB vs SubC, both q-value=0.0015; pseudo-F of 3.2 for SubA vs SubC, q-value=0.003). Within each donor, all diets </w:t>
      </w:r>
      <w:r w:rsidRPr="00901194">
        <w:rPr>
          <w:rFonts w:cs="Times New Roman"/>
        </w:rPr>
        <w:lastRenderedPageBreak/>
        <w:t>differed significantly from each other (pairwise PERMANOVA q-value&lt;0.05), with the most divergent diet varying by donor: whole grain for SubA and SubC, legume for SubB (Fig</w:t>
      </w:r>
      <w:r w:rsidR="00561F12" w:rsidRPr="00901194">
        <w:rPr>
          <w:rFonts w:cs="Times New Roman"/>
        </w:rPr>
        <w:t>ure 3.2</w:t>
      </w:r>
      <w:r w:rsidRPr="00901194">
        <w:rPr>
          <w:rFonts w:cs="Times New Roman"/>
        </w:rPr>
        <w:t xml:space="preserve">B-D). </w:t>
      </w:r>
    </w:p>
    <w:p w14:paraId="06FC3D4D" w14:textId="4B03C178" w:rsidR="00656FC5" w:rsidRPr="00901194" w:rsidRDefault="00656FC5">
      <w:pPr>
        <w:spacing w:line="259" w:lineRule="auto"/>
        <w:rPr>
          <w:rFonts w:cs="Times New Roman"/>
        </w:rPr>
      </w:pPr>
      <w:r w:rsidRPr="00901194">
        <w:rPr>
          <w:rFonts w:cs="Times New Roman"/>
        </w:rPr>
        <w:lastRenderedPageBreak/>
        <w:br w:type="page"/>
      </w:r>
      <w:r w:rsidRPr="00901194">
        <w:rPr>
          <w:rFonts w:cs="Times New Roman"/>
          <w:b/>
          <w:bCs/>
          <w:noProof/>
        </w:rPr>
        <w:drawing>
          <wp:anchor distT="0" distB="0" distL="114300" distR="114300" simplePos="0" relativeHeight="251739136" behindDoc="0" locked="0" layoutInCell="1" allowOverlap="1" wp14:anchorId="16F78397" wp14:editId="307FFDC4">
            <wp:simplePos x="0" y="0"/>
            <wp:positionH relativeFrom="column">
              <wp:posOffset>0</wp:posOffset>
            </wp:positionH>
            <wp:positionV relativeFrom="paragraph">
              <wp:posOffset>293370</wp:posOffset>
            </wp:positionV>
            <wp:extent cx="5743575" cy="7858125"/>
            <wp:effectExtent l="0" t="0" r="9525" b="9525"/>
            <wp:wrapTopAndBottom/>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5743575" cy="7858125"/>
                    </a:xfrm>
                    <a:prstGeom prst="rect">
                      <a:avLst/>
                    </a:prstGeom>
                  </pic:spPr>
                </pic:pic>
              </a:graphicData>
            </a:graphic>
          </wp:anchor>
        </w:drawing>
      </w:r>
    </w:p>
    <w:p w14:paraId="28F20AF6" w14:textId="77777777" w:rsidR="00656FC5" w:rsidRPr="00901194" w:rsidRDefault="00656FC5" w:rsidP="00656FC5">
      <w:pPr>
        <w:pStyle w:val="CaptionJH"/>
        <w:spacing w:line="240" w:lineRule="auto"/>
        <w:rPr>
          <w:b/>
          <w:bCs w:val="0"/>
        </w:rPr>
      </w:pPr>
      <w:bookmarkStart w:id="78" w:name="_Toc131186555"/>
      <w:r w:rsidRPr="00901194">
        <w:rPr>
          <w:b/>
          <w:bCs w:val="0"/>
        </w:rPr>
        <w:lastRenderedPageBreak/>
        <w:t>Figure 3.3: Unique and overlapping metabolite features with differential abundance between donor and diet combinations in cecal contents (UpSet plot).</w:t>
      </w:r>
      <w:bookmarkEnd w:id="78"/>
      <w:r w:rsidRPr="00901194">
        <w:rPr>
          <w:b/>
          <w:bCs w:val="0"/>
        </w:rPr>
        <w:t xml:space="preserve"> </w:t>
      </w:r>
    </w:p>
    <w:p w14:paraId="689B57C8" w14:textId="77777777" w:rsidR="00656FC5" w:rsidRPr="00901194" w:rsidRDefault="00656FC5" w:rsidP="00716E48">
      <w:pPr>
        <w:spacing w:line="240" w:lineRule="auto"/>
        <w:rPr>
          <w:rFonts w:cs="Times New Roman"/>
          <w:i/>
          <w:iCs/>
        </w:rPr>
      </w:pPr>
      <w:r w:rsidRPr="00901194">
        <w:rPr>
          <w:rFonts w:cs="Times New Roman"/>
          <w:i/>
          <w:iCs/>
        </w:rPr>
        <w:t>Kruskal-Wallis, FDR-corrected, p&lt;0.05 and fold change ≥ 2 between donor-diet combinations. Connected black circles represent experimental diet-donor pairs that had significantly modulated metabolite features in common (intersections between groups). Figure subset to only include overlaps containing ten or more features. Colored columns represent the number of microbiome-modulated metabolite features in each intersection, colored by ClassyFire</w:t>
      </w:r>
      <w:r w:rsidRPr="00901194">
        <w:rPr>
          <w:rFonts w:cs="Times New Roman"/>
          <w:i/>
          <w:iCs/>
        </w:rPr>
        <w:fldChar w:fldCharType="begin" w:fldLock="1"/>
      </w:r>
      <w:r w:rsidRPr="00901194">
        <w:rPr>
          <w:rFonts w:cs="Times New Roman"/>
          <w:i/>
          <w:iCs/>
        </w:rPr>
        <w:instrText>ADDIN CSL_CITATION {"citationItems":[{"id":"ITEM-1","itemData":{"DOI":"10.1186/s13321-016-0174-y","ISSN":"17582946","abstract":"Background: Scientists have long been driven by the desire to describe, organize, classify, and compare objects using taxonomies and/or ontologies. In contrast to biology, geology, and many other scientific disciplines, the world of chemistry still lacks a standardized chemical ontology or taxonomy. Several attempts at chemical classification have been made; but they have mostly been limited to either manual, or semi-automated proof-of-principle applications. This is regrettable as comprehensive chemical classification and description tools could not only improve our understanding of chemistry but also improve the linkage between chemistry and many other fields. For instance, the chemical classification of a compound could help predict its metabolic fate in humans, its druggability or potential hazards associated with it, among others. However, the sheer number (tens of millions of compounds) and complexity of chemical structures is such that any manual classification effort would prove to be near impossible. Results: We have developed a comprehensive, flexible, and computable, purely structure-based chemical taxonomy (ChemOnt), along with a computer program (ClassyFire) that uses only chemical structures and structural features to automatically assign all known chemical compounds to a taxonomy consisting of &gt;4800 different categories. This new chemical taxonomy consists of up to 11 different levels (Kingdom, SuperClass, Class, SubClass, etc.) with each of the categories defined by unambiguous, computable structural rules. Furthermore each category is named using a consensus-based nomenclature and described (in English) based on the characteristic common structural properties of the compounds it contains. The ClassyFire webserver is freely accessible at http://classyfire.wishartlab.com/ . Moreover, a Ruby API version is available at https://bitbucket.org/wishartlab/classyfire_api , which provides programmatic access to the ClassyFire server and database. ClassyFire has been used to annotate over 77 million compounds and has already been integrated into other software packages to automatically generate textual descriptions for, and/or infer biological properties of over 100,000 compounds. Additional examples and applications are provided in this paper. Conclusion: ClassyFire, in combination with ChemOnt (ClassyFire's comprehensive chemical taxonomy), now allows chemists and cheminformaticians to perform large-scale, rapid and automated chemical classific…","author":[{"dropping-particle":"","family":"Djoumbou Feunang","given":"Yannick","non-dropping-particle":"","parse-names":false,"suffix":""},{"dropping-particle":"","family":"Eisner","given":"Roman","non-dropping-particle":"","parse-names":false,"suffix":""},{"dropping-particle":"","family":"Knox","given":"Craig","non-dropping-particle":"","parse-names":false,"suffix":""},{"dropping-particle":"","family":"Chepelev","given":"Leonid","non-dropping-particle":"","parse-names":false,"suffix":""},{"dropping-particle":"","family":"Hastings","given":"Janna","non-dropping-particle":"","parse-names":false,"suffix":""},{"dropping-particle":"","family":"Owen","given":"Gareth","non-dropping-particle":"","parse-names":false,"suffix":""},{"dropping-particle":"","family":"Fahy","given":"Eoin","non-dropping-particle":"","parse-names":false,"suffix":""},{"dropping-particle":"","family":"Steinbeck","given":"Christoph","non-dropping-particle":"","parse-names":false,"suffix":""},{"dropping-particle":"","family":"Subramanian","given":"Shankar","non-dropping-particle":"","parse-names":false,"suffix":""},{"dropping-particle":"","family":"Bolton","given":"Evan","non-dropping-particle":"","parse-names":false,"suffix":""},{"dropping-particle":"","family":"Greiner","given":"Russell","non-dropping-particle":"","parse-names":false,"suffix":""},{"dropping-particle":"","family":"Wishart","given":"David S.","non-dropping-particle":"","parse-names":false,"suffix":""}],"container-title":"Journal of Cheminformatics","id":"ITEM-1","issue":"1","issued":{"date-parts":[["2016"]]},"page":"1-20","publisher":"Springer International Publishing","title":"ClassyFire: automated chemical classification with a comprehensive, computable taxonomy","type":"article-journal","volume":"8"},"uris":["http://www.mendeley.com/documents/?uuid=d55f0c48-9474-4c41-a9bf-4b7a92dc6877"]}],"mendeley":{"formattedCitation":"&lt;sup&gt;104&lt;/sup&gt;","plainTextFormattedCitation":"104","previouslyFormattedCitation":"&lt;sup&gt;104&lt;/sup&gt;"},"properties":{"noteIndex":0},"schema":"https://github.com/citation-style-language/schema/raw/master/csl-citation.json"}</w:instrText>
      </w:r>
      <w:r w:rsidRPr="00901194">
        <w:rPr>
          <w:rFonts w:cs="Times New Roman"/>
          <w:i/>
          <w:iCs/>
        </w:rPr>
        <w:fldChar w:fldCharType="separate"/>
      </w:r>
      <w:r w:rsidRPr="00901194">
        <w:rPr>
          <w:rFonts w:cs="Times New Roman"/>
          <w:i/>
          <w:iCs/>
          <w:noProof/>
          <w:vertAlign w:val="superscript"/>
        </w:rPr>
        <w:t>104</w:t>
      </w:r>
      <w:r w:rsidRPr="00901194">
        <w:rPr>
          <w:rFonts w:cs="Times New Roman"/>
          <w:i/>
          <w:iCs/>
        </w:rPr>
        <w:fldChar w:fldCharType="end"/>
      </w:r>
      <w:r w:rsidRPr="00901194">
        <w:rPr>
          <w:rFonts w:cs="Times New Roman"/>
          <w:i/>
          <w:iCs/>
        </w:rPr>
        <w:t xml:space="preserve"> superclass. For example, 73 metabolite features differed in abundance by at least two-fold between SubB under the legume diet and all other diet-donor combinations, in a pairwise fashion. Row bars represent the number of metabolite features in a given set, for example 704 metabolite features that met our cutoff criteria when comparing SubC-colonized mice consuming vegetable diet (SubC-V) to SubC-colonized counterparts consuming the whole grain diet (SubC-WG). Features whose differential abundance was characteristic of a given donor-diet combination are marked by a gold box. Features whose differential abundance was characteristic of specific diets are marked by red and blue boxes (red box, characteristic of the whole grain diet; blue box, characteristic of the vegetable diet). V, vegetable; L, legume; WG, whole grain diets.</w:t>
      </w:r>
    </w:p>
    <w:p w14:paraId="53B71F5E" w14:textId="4CCA5276" w:rsidR="0063284A" w:rsidRPr="00901194" w:rsidRDefault="0063284A" w:rsidP="00433996">
      <w:pPr>
        <w:ind w:firstLine="720"/>
        <w:rPr>
          <w:rFonts w:cs="Times New Roman"/>
        </w:rPr>
      </w:pPr>
      <w:r w:rsidRPr="00901194">
        <w:rPr>
          <w:rFonts w:cs="Times New Roman"/>
        </w:rPr>
        <w:t xml:space="preserve">Consistent with the considerable beta diversity changes observed, 59% of microbiota-modulated metabolite features significantly differed between donor-diet combinations (Kruskal-Wallis </w:t>
      </w:r>
      <w:r w:rsidRPr="00901194">
        <w:rPr>
          <w:rFonts w:cs="Times New Roman"/>
          <w:i/>
          <w:iCs/>
        </w:rPr>
        <w:t>p</w:t>
      </w:r>
      <w:r w:rsidRPr="00901194">
        <w:rPr>
          <w:rFonts w:cs="Times New Roman"/>
        </w:rPr>
        <w:t xml:space="preserve"> &lt; 0.05, FDR-corrected). Differential metabolites were characteristic of a given donor + diet combination (Fig</w:t>
      </w:r>
      <w:r w:rsidR="00E3771D" w:rsidRPr="00901194">
        <w:rPr>
          <w:rFonts w:cs="Times New Roman"/>
        </w:rPr>
        <w:t>ure 3.3</w:t>
      </w:r>
      <w:r w:rsidRPr="00901194">
        <w:rPr>
          <w:rFonts w:cs="Times New Roman"/>
        </w:rPr>
        <w:t>; gold box, first eight largest intersections), then to a given diet across donors (Fig</w:t>
      </w:r>
      <w:r w:rsidR="00E3771D" w:rsidRPr="00901194">
        <w:rPr>
          <w:rFonts w:cs="Times New Roman"/>
        </w:rPr>
        <w:t>ure 3.3</w:t>
      </w:r>
      <w:r w:rsidRPr="00901194">
        <w:rPr>
          <w:rFonts w:cs="Times New Roman"/>
        </w:rPr>
        <w:t>, whole grain diet, highlighted in red box and vegetable diet, highlighted in blue box). Most microbially-modulated features could not be annotated, but of those with annotations were mainly lipids (glycerophosphocholines, acylcarnitines, linoleic acid derivatives, bile acids), small peptides, and plant-derived metabolites (triterpenoids, hydroxycinnamic acids) (</w:t>
      </w:r>
      <w:r w:rsidR="00656FC5" w:rsidRPr="00901194">
        <w:rPr>
          <w:rFonts w:cs="Times New Roman"/>
        </w:rPr>
        <w:t>Figures 3.4-3.6</w:t>
      </w:r>
      <w:r w:rsidRPr="00901194">
        <w:rPr>
          <w:rFonts w:cs="Times New Roman"/>
        </w:rPr>
        <w:t xml:space="preserve">). </w:t>
      </w:r>
    </w:p>
    <w:p w14:paraId="19F4992C" w14:textId="776E2A96" w:rsidR="00E3771D" w:rsidRPr="00901194" w:rsidRDefault="0063284A" w:rsidP="00E3771D">
      <w:pPr>
        <w:ind w:firstLine="720"/>
        <w:rPr>
          <w:rFonts w:cs="Times New Roman"/>
        </w:rPr>
      </w:pPr>
      <w:r w:rsidRPr="00901194">
        <w:rPr>
          <w:rFonts w:cs="Times New Roman"/>
        </w:rPr>
        <w:t>With regards to these plant-derived metabolites, hydroxycinnamic acids (</w:t>
      </w:r>
      <w:r w:rsidR="00656FC5" w:rsidRPr="00901194">
        <w:rPr>
          <w:rFonts w:cs="Times New Roman"/>
        </w:rPr>
        <w:t>Figure 3.4</w:t>
      </w:r>
      <w:r w:rsidRPr="00901194">
        <w:rPr>
          <w:rFonts w:cs="Times New Roman"/>
        </w:rPr>
        <w:t>, top left), for example, were observed in cecal contents, mainly in animals consuming whole grain and vegetable diets, as well as in the whole grain, vegetable and legume foods consumed by the animals.</w:t>
      </w:r>
      <w:r w:rsidRPr="00901194">
        <w:rPr>
          <w:rFonts w:cs="Times New Roman"/>
          <w:i/>
          <w:iCs/>
        </w:rPr>
        <w:t xml:space="preserve"> </w:t>
      </w:r>
      <w:r w:rsidRPr="00901194">
        <w:rPr>
          <w:rFonts w:cs="Times New Roman"/>
        </w:rPr>
        <w:t xml:space="preserve">Ferulic acid (both adducts combined) significantly differed in abundance between whole grain diets and the other two diets in all donors (except in SubC where a significant </w:t>
      </w:r>
      <w:r w:rsidRPr="00901194">
        <w:rPr>
          <w:rFonts w:cs="Times New Roman"/>
        </w:rPr>
        <w:lastRenderedPageBreak/>
        <w:t xml:space="preserve">difference was only observed between the whole grain and vegetable diet, Kruskal-Wallis </w:t>
      </w:r>
      <w:r w:rsidRPr="00901194">
        <w:rPr>
          <w:rFonts w:cs="Times New Roman"/>
          <w:i/>
          <w:iCs/>
        </w:rPr>
        <w:t>p</w:t>
      </w:r>
      <w:r w:rsidRPr="00901194">
        <w:rPr>
          <w:rFonts w:cs="Times New Roman"/>
        </w:rPr>
        <w:t xml:space="preserve"> &lt; 0.05, FDR-corrected). Ferulic acid also differed between SubC and the other two donors consuming both a vegetable and a whole grain diet (Kruskal-Wallis </w:t>
      </w:r>
      <w:r w:rsidRPr="00901194">
        <w:rPr>
          <w:rFonts w:cs="Times New Roman"/>
          <w:i/>
          <w:iCs/>
        </w:rPr>
        <w:t>p</w:t>
      </w:r>
      <w:r w:rsidRPr="00901194">
        <w:rPr>
          <w:rFonts w:cs="Times New Roman"/>
        </w:rPr>
        <w:t xml:space="preserve"> &lt; 0.05, FDR-corrected). Triterpene saponins were detected only in the legume diet and in the cecal contents of animals fed a legume diet (</w:t>
      </w:r>
      <w:r w:rsidR="00656FC5" w:rsidRPr="00901194">
        <w:rPr>
          <w:rFonts w:cs="Times New Roman"/>
        </w:rPr>
        <w:t>Figure 3.4</w:t>
      </w:r>
      <w:r w:rsidRPr="00901194">
        <w:rPr>
          <w:rFonts w:cs="Times New Roman"/>
        </w:rPr>
        <w:t>, top right). Triterpenoids likewise were found in whole grain and legume foods, and mainly in the ceca of animals consuming these two diets (</w:t>
      </w:r>
      <w:r w:rsidR="00656FC5" w:rsidRPr="00901194">
        <w:rPr>
          <w:rFonts w:cs="Times New Roman"/>
        </w:rPr>
        <w:t>Figure 3.4</w:t>
      </w:r>
      <w:r w:rsidRPr="00901194">
        <w:rPr>
          <w:rFonts w:cs="Times New Roman"/>
        </w:rPr>
        <w:t xml:space="preserve">, bottom). </w:t>
      </w:r>
    </w:p>
    <w:p w14:paraId="0120A407" w14:textId="5864A1CB" w:rsidR="00E3771D" w:rsidRPr="00901194" w:rsidRDefault="00656FC5" w:rsidP="00E3771D">
      <w:pPr>
        <w:pStyle w:val="CaptionJH"/>
        <w:spacing w:line="240" w:lineRule="auto"/>
        <w:rPr>
          <w:b/>
          <w:bCs w:val="0"/>
        </w:rPr>
      </w:pPr>
      <w:bookmarkStart w:id="79" w:name="_Toc131186556"/>
      <w:r w:rsidRPr="00901194">
        <w:rPr>
          <w:b/>
          <w:bCs w:val="0"/>
          <w:noProof/>
        </w:rPr>
        <w:drawing>
          <wp:anchor distT="0" distB="0" distL="114300" distR="114300" simplePos="0" relativeHeight="251741184" behindDoc="0" locked="0" layoutInCell="1" allowOverlap="1" wp14:anchorId="277043CF" wp14:editId="3A4B9FE2">
            <wp:simplePos x="0" y="0"/>
            <wp:positionH relativeFrom="column">
              <wp:posOffset>462280</wp:posOffset>
            </wp:positionH>
            <wp:positionV relativeFrom="paragraph">
              <wp:posOffset>235585</wp:posOffset>
            </wp:positionV>
            <wp:extent cx="4933950" cy="5181600"/>
            <wp:effectExtent l="0" t="0" r="0" b="0"/>
            <wp:wrapTopAndBottom/>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4933950" cy="5181600"/>
                    </a:xfrm>
                    <a:prstGeom prst="rect">
                      <a:avLst/>
                    </a:prstGeom>
                  </pic:spPr>
                </pic:pic>
              </a:graphicData>
            </a:graphic>
          </wp:anchor>
        </w:drawing>
      </w:r>
      <w:bookmarkEnd w:id="79"/>
    </w:p>
    <w:p w14:paraId="6D5AB52E" w14:textId="77777777" w:rsidR="00656FC5" w:rsidRPr="00901194" w:rsidRDefault="00656FC5" w:rsidP="00656FC5">
      <w:pPr>
        <w:pStyle w:val="CaptionJH"/>
        <w:spacing w:line="240" w:lineRule="auto"/>
        <w:rPr>
          <w:b/>
          <w:bCs w:val="0"/>
        </w:rPr>
      </w:pPr>
      <w:bookmarkStart w:id="80" w:name="_Toc131186557"/>
      <w:r w:rsidRPr="00901194">
        <w:rPr>
          <w:b/>
          <w:bCs w:val="0"/>
        </w:rPr>
        <w:t>Figure 3.4: Plant-derived metabolite families differentially impacted by microbiome and diet.</w:t>
      </w:r>
      <w:bookmarkEnd w:id="80"/>
    </w:p>
    <w:p w14:paraId="4BE58EE9" w14:textId="77777777" w:rsidR="00656FC5" w:rsidRPr="00901194" w:rsidRDefault="00656FC5" w:rsidP="00716E48">
      <w:pPr>
        <w:spacing w:line="240" w:lineRule="auto"/>
        <w:rPr>
          <w:rFonts w:cs="Times New Roman"/>
          <w:i/>
          <w:iCs/>
        </w:rPr>
      </w:pPr>
      <w:r w:rsidRPr="00901194">
        <w:rPr>
          <w:rFonts w:cs="Times New Roman"/>
          <w:i/>
          <w:iCs/>
        </w:rPr>
        <w:t xml:space="preserve">Node color background indicates the food in which the node was detected. Clear backgrounds indicate that the node was not detected in food. Node pie charts indicate relative abundance in </w:t>
      </w:r>
      <w:r w:rsidRPr="00901194">
        <w:rPr>
          <w:rFonts w:cs="Times New Roman"/>
          <w:i/>
          <w:iCs/>
        </w:rPr>
        <w:lastRenderedPageBreak/>
        <w:t>mouse samples, irrespective of sample source (cecum or serum). Black labels indicate node m/z. Node annotations and discussed node chemical mass differences are indicated in brown.  Connected nodes indicate MS2 similarity (cosine score &gt;0.7), an indicator of shared chemical substructures. Top left, hydroxycinnamic acids; top right, triterpene saponins; bottom, triterpenoids.</w:t>
      </w:r>
    </w:p>
    <w:p w14:paraId="191BE001" w14:textId="71994529" w:rsidR="00F1075D" w:rsidRPr="00901194" w:rsidRDefault="00F1075D" w:rsidP="00656FC5">
      <w:pPr>
        <w:spacing w:line="259" w:lineRule="auto"/>
        <w:rPr>
          <w:rFonts w:cs="Times New Roman"/>
        </w:rPr>
      </w:pPr>
    </w:p>
    <w:p w14:paraId="6768E0F5" w14:textId="6D92F9A2" w:rsidR="008C63E5" w:rsidRPr="00901194" w:rsidRDefault="0063284A" w:rsidP="00656FC5">
      <w:pPr>
        <w:ind w:firstLine="720"/>
        <w:rPr>
          <w:rFonts w:cs="Times New Roman"/>
        </w:rPr>
      </w:pPr>
      <w:r w:rsidRPr="00901194">
        <w:rPr>
          <w:rFonts w:cs="Times New Roman"/>
        </w:rPr>
        <w:t>Furthermore, through molecular networking</w:t>
      </w:r>
      <w:r w:rsidR="00EF7CAC" w:rsidRPr="00901194">
        <w:rPr>
          <w:rFonts w:cs="Times New Roman"/>
        </w:rPr>
        <w:fldChar w:fldCharType="begin" w:fldLock="1"/>
      </w:r>
      <w:r w:rsidR="009D364B" w:rsidRPr="00901194">
        <w:rPr>
          <w:rFonts w:cs="Times New Roman"/>
        </w:rPr>
        <w:instrText>ADDIN CSL_CITATION {"citationItems":[{"id":"ITEM-1","itemData":{"DOI":"10.1038/s41592-020-0933-6","ISSN":"15487105","PMID":"32839597","abstract":"Molecular networking has become a key method to visualize and annotate the chemical space in non-targeted mass spectrometry data. We present feature-based molecular networking (FBMN) as an analysis method in the Global Natural Products Social Molecular Networking (GNPS) infrastructure that builds on chromatographic feature detection and alignment tools. FBMN enables quantitative analysis and resolution of isomers, including from ion mobility spectrometry.","author":[{"dropping-particle":"","family":"Nothias","given":"Louis Félix","non-dropping-particle":"","parse-names":false,"suffix":""},{"dropping-particle":"","family":"Petras","given":"Daniel","non-dropping-particle":"","parse-names":false,"suffix":""},{"dropping-particle":"","family":"Schmid","given":"Robin","non-dropping-particle":"","parse-names":false,"suffix":""},{"dropping-particle":"","family":"Dührkop","given":"Kai","non-dropping-particle":"","parse-names":false,"suffix":""},{"dropping-particle":"","family":"Rainer","given":"Johannes","non-dropping-particle":"","parse-names":false,"suffix":""},{"dropping-particle":"","family":"Sarvepalli","given":"Abinesh","non-dropping-particle":"","parse-names":false,"suffix":""},{"dropping-particle":"","family":"Protsyuk","given":"Ivan","non-dropping-particle":"","parse-names":false,"suffix":""},{"dropping-particle":"","family":"Ernst","given":"Madeleine","non-dropping-particle":"","parse-names":false,"suffix":""},{"dropping-particle":"","family":"Tsugawa","given":"Hiroshi","non-dropping-particle":"","parse-names":false,"suffix":""},{"dropping-particle":"","family":"Fleischauer","given":"Markus","non-dropping-particle":"","parse-names":false,"suffix":""},{"dropping-particle":"","family":"Aicheler","given":"Fabian","non-dropping-particle":"","parse-names":false,"suffix":""},{"dropping-particle":"","family":"Aksenov","given":"Alexander A.","non-dropping-particle":"","parse-names":false,"suffix":""},{"dropping-particle":"","family":"Alka","given":"Oliver","non-dropping-particle":"","parse-names":false,"suffix":""},{"dropping-particle":"","family":"Allard","given":"Pierre Marie","non-dropping-particle":"","parse-names":false,"suffix":""},{"dropping-particle":"","family":"Barsch","given":"Aiko","non-dropping-particle":"","parse-names":false,"suffix":""},{"dropping-particle":"","family":"Cachet","given":"Xavier","non-dropping-particle":"","parse-names":false,"suffix":""},{"dropping-particle":"","family":"Caraballo-Rodriguez","given":"Andres Mauricio","non-dropping-particle":"","parse-names":false,"suffix":""},{"dropping-particle":"","family":"Silva","given":"Ricardo R.","non-dropping-particle":"Da","parse-names":false,"suffix":""},{"dropping-particle":"","family":"Dang","given":"Tam","non-dropping-particle":"","parse-names":false,"suffix":""},{"dropping-particle":"","family":"Garg","given":"Neha","non-dropping-particle":"","parse-names":false,"suffix":""},{"dropping-particle":"","family":"Gauglitz","given":"Julia M.","non-dropping-particle":"","parse-names":false,"suffix":""},{"dropping-particle":"","family":"Gurevich","given":"Alexey","non-dropping-particle":"","parse-names":false,"suffix":""},{"dropping-particle":"","family":"Isaac","given":"Giorgis","non-dropping-particle":"","parse-names":false,"suffix":""},{"dropping-particle":"","family":"Jarmusch","given":"Alan K.","non-dropping-particle":"","parse-names":false,"suffix":""},{"dropping-particle":"","family":"Kameník","given":"Zdeněk","non-dropping-particle":"","parse-names":false,"suffix":""},{"dropping-particle":"Bin","family":"Kang","given":"Kyo","non-dropping-particle":"","parse-names":false,"suffix":""},{"dropping-particle":"","family":"Kessler","given":"Nikolas","non-dropping-particle":"","parse-names":false,"suffix":""},{"dropping-particle":"","family":"Koester","given":"Irina","non-dropping-particle":"","parse-names":false,"suffix":""},{"dropping-particle":"","family":"Korf","given":"Ansgar","non-dropping-particle":"","parse-names":false,"suffix":""},{"dropping-particle":"","family":"Gouellec","given":"Audrey","non-dropping-particle":"Le","parse-names":false,"suffix":""},{"dropping-particle":"","family":"Ludwig","given":"Marcus","non-dropping-particle":"","parse-names":false,"suffix":""},{"dropping-particle":"","family":"Martin H","given":"Christian","non-dropping-particle":"","parse-names":false,"suffix":""},{"dropping-particle":"","family":"McCall","given":"Laura Isobel","non-dropping-particle":"","parse-names":false,"suffix":""},{"dropping-particle":"","family":"McSayles","given":"Jonathan","non-dropping-particle":"","parse-names":false,"suffix":""},{"dropping-particle":"","family":"Meyer","given":"Sven W.","non-dropping-particle":"","parse-names":false,"suffix":""},{"dropping-particle":"","family":"Mohimani","given":"Hosein","non-dropping-particle":"","parse-names":false,"suffix":""},{"dropping-particle":"","family":"Morsy","given":"Mustafa","non-dropping-particle":"","parse-names":false,"suffix":""},{"dropping-particle":"","family":"Moyne","given":"Oriane","non-dropping-particle":"","parse-names":false,"suffix":""},{"dropping-particle":"","family":"Neumann","given":"Steffen","non-dropping-particle":"","parse-names":false,"suffix":""},{"dropping-particle":"","family":"Neuweger","given":"Heiko","non-dropping-particle":"","parse-names":false,"suffix":""},{"dropping-particle":"","family":"Nguyen","given":"Ngoc Hung","non-dropping-particle":"","parse-names":false,"suffix":""},{"dropping-particle":"","family":"Nothias-Esposito","given":"Melissa","non-dropping-particle":"","parse-names":false,"suffix":""},{"dropping-particle":"","family":"Paolini","given":"Julien","non-dropping-particle":"","parse-names":false,"suffix":""},{"dropping-particle":"V.","family":"Phelan","given":"Vanessa","non-dropping-particle":"","parse-names":false,"suffix":""},{"dropping-particle":"","family":"Pluskal","given":"Tomáš","non-dropping-particle":"","parse-names":false,"suffix":""},{"dropping-particle":"","family":"Quinn","given":"Robert A.","non-dropping-particle":"","parse-names":false,"suffix":""},{"dropping-particle":"","family":"Rogers","given":"Simon","non-dropping-particle":"","parse-names":false,"suffix":""},{"dropping-particle":"","family":"Shrestha","given":"Bindesh","non-dropping-particle":"","parse-names":false,"suffix":""},{"dropping-particle":"","family":"Tripathi","given":"Anupriya","non-dropping-particle":"","parse-names":false,"suffix":""},{"dropping-particle":"","family":"Hooft","given":"Justin J.J.","non-dropping-particle":"van der","parse-names":false,"suffix":""},{"dropping-particle":"","family":"Vargas","given":"Fernando","non-dropping-particle":"","parse-names":false,"suffix":""},{"dropping-particle":"","family":"Weldon","given":"Kelly C.","non-dropping-particle":"","parse-names":false,"suffix":""},{"dropping-particle":"","family":"Witting","given":"Michael","non-dropping-particle":"","parse-names":false,"suffix":""},{"dropping-particle":"","family":"Yang","given":"Heejung","non-dropping-particle":"","parse-names":false,"suffix":""},{"dropping-particle":"","family":"Zhang","given":"Zheng","non-dropping-particle":"","parse-names":false,"suffix":""},{"dropping-particle":"","family":"Zubeil","given":"Florian","non-dropping-particle":"","parse-names":false,"suffix":""},{"dropping-particle":"","family":"Kohlbacher","given":"Oliver","non-dropping-particle":"","parse-names":false,"suffix":""},{"dropping-particle":"","family":"Böcker","given":"Sebastian","non-dropping-particle":"","parse-names":false,"suffix":""},{"dropping-particle":"","family":"Alexandrov","given":"Theodore","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C.","non-dropping-particle":"","parse-names":false,"suffix":""}],"container-title":"Nature Methods","id":"ITEM-1","issue":"9","issued":{"date-parts":[["2020"]]},"note":"Summary: Outlines FBMN and compares it with classical MN, which focuses on spectral count or summed precursor ion count while FBMN uses feature abundance from aligned features. FBMN enables distinguishing isomers producing similar MS2 spectra, facilitates spectra annotation, and incorporates relative quantitative info for downsteam mtbms analyses. Limitations of FBMN compared to classical MN are: greater computational power, more time needed for analysis, and limitations with feature detection/alignment software needed to generate files for FBMN (e.g., mzmine).","page":"905-908","publisher":"Springer US","title":"Feature-based molecular networking in the GNPS analysis environment","type":"article-journal","volume":"17"},"uris":["http://www.mendeley.com/documents/?uuid=d19e788b-2778-4354-8c94-1b790a5a9b5d"]},{"id":"ITEM-2","itemData":{"DOI":"10.1038/nbt.3597.Sharing","ISBN":"1088-9051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Biotechnology","id":"ITEM-2","issue":"8","issued":{"date-parts":[["2016"]]},"note":"Summary: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45,190&lt;/sup&gt;","plainTextFormattedCitation":"45,190","previouslyFormattedCitation":"&lt;sup&gt;45,190&lt;/sup&gt;"},"properties":{"noteIndex":0},"schema":"https://github.com/citation-style-language/schema/raw/master/csl-citation.json"}</w:instrText>
      </w:r>
      <w:r w:rsidR="00EF7CAC" w:rsidRPr="00901194">
        <w:rPr>
          <w:rFonts w:cs="Times New Roman"/>
        </w:rPr>
        <w:fldChar w:fldCharType="separate"/>
      </w:r>
      <w:r w:rsidR="000D0072" w:rsidRPr="00901194">
        <w:rPr>
          <w:rFonts w:cs="Times New Roman"/>
          <w:noProof/>
          <w:vertAlign w:val="superscript"/>
        </w:rPr>
        <w:t>45,190</w:t>
      </w:r>
      <w:r w:rsidR="00EF7CAC" w:rsidRPr="00901194">
        <w:rPr>
          <w:rFonts w:cs="Times New Roman"/>
        </w:rPr>
        <w:fldChar w:fldCharType="end"/>
      </w:r>
      <w:r w:rsidR="00EF7CAC" w:rsidRPr="00901194">
        <w:rPr>
          <w:rFonts w:cs="Times New Roman"/>
        </w:rPr>
        <w:t>,</w:t>
      </w:r>
      <w:r w:rsidRPr="00901194">
        <w:rPr>
          <w:rFonts w:cs="Times New Roman"/>
        </w:rPr>
        <w:t xml:space="preserve"> we were able to observe differential metabolism of these constituents between donors and diets (</w:t>
      </w:r>
      <w:r w:rsidR="004C6028" w:rsidRPr="00901194">
        <w:rPr>
          <w:rFonts w:cs="Times New Roman"/>
        </w:rPr>
        <w:t>Figure 3.4</w:t>
      </w:r>
      <w:r w:rsidRPr="00901194">
        <w:rPr>
          <w:rFonts w:cs="Times New Roman"/>
        </w:rPr>
        <w:t>). Molecular networking connects metabolite features with similar MS2 fragmentation patterns, indicating shared chemical substructures, which can indicate metabolism of one metabolite feature into a product metabolite</w:t>
      </w:r>
      <w:r w:rsidR="004C6028" w:rsidRPr="00901194">
        <w:rPr>
          <w:rFonts w:cs="Times New Roman"/>
        </w:rPr>
        <w:fldChar w:fldCharType="begin" w:fldLock="1"/>
      </w:r>
      <w:r w:rsidR="009D364B" w:rsidRPr="00901194">
        <w:rPr>
          <w:rFonts w:cs="Times New Roman"/>
        </w:rPr>
        <w:instrText>ADDIN CSL_CITATION {"citationItems":[{"id":"ITEM-1","itemData":{"DOI":"10.1038/s41592-020-0933-6","ISSN":"15487105","PMID":"32839597","abstract":"Molecular networking has become a key method to visualize and annotate the chemical space in non-targeted mass spectrometry data. We present feature-based molecular networking (FBMN) as an analysis method in the Global Natural Products Social Molecular Networking (GNPS) infrastructure that builds on chromatographic feature detection and alignment tools. FBMN enables quantitative analysis and resolution of isomers, including from ion mobility spectrometry.","author":[{"dropping-particle":"","family":"Nothias","given":"Louis Félix","non-dropping-particle":"","parse-names":false,"suffix":""},{"dropping-particle":"","family":"Petras","given":"Daniel","non-dropping-particle":"","parse-names":false,"suffix":""},{"dropping-particle":"","family":"Schmid","given":"Robin","non-dropping-particle":"","parse-names":false,"suffix":""},{"dropping-particle":"","family":"Dührkop","given":"Kai","non-dropping-particle":"","parse-names":false,"suffix":""},{"dropping-particle":"","family":"Rainer","given":"Johannes","non-dropping-particle":"","parse-names":false,"suffix":""},{"dropping-particle":"","family":"Sarvepalli","given":"Abinesh","non-dropping-particle":"","parse-names":false,"suffix":""},{"dropping-particle":"","family":"Protsyuk","given":"Ivan","non-dropping-particle":"","parse-names":false,"suffix":""},{"dropping-particle":"","family":"Ernst","given":"Madeleine","non-dropping-particle":"","parse-names":false,"suffix":""},{"dropping-particle":"","family":"Tsugawa","given":"Hiroshi","non-dropping-particle":"","parse-names":false,"suffix":""},{"dropping-particle":"","family":"Fleischauer","given":"Markus","non-dropping-particle":"","parse-names":false,"suffix":""},{"dropping-particle":"","family":"Aicheler","given":"Fabian","non-dropping-particle":"","parse-names":false,"suffix":""},{"dropping-particle":"","family":"Aksenov","given":"Alexander A.","non-dropping-particle":"","parse-names":false,"suffix":""},{"dropping-particle":"","family":"Alka","given":"Oliver","non-dropping-particle":"","parse-names":false,"suffix":""},{"dropping-particle":"","family":"Allard","given":"Pierre Marie","non-dropping-particle":"","parse-names":false,"suffix":""},{"dropping-particle":"","family":"Barsch","given":"Aiko","non-dropping-particle":"","parse-names":false,"suffix":""},{"dropping-particle":"","family":"Cachet","given":"Xavier","non-dropping-particle":"","parse-names":false,"suffix":""},{"dropping-particle":"","family":"Caraballo-Rodriguez","given":"Andres Mauricio","non-dropping-particle":"","parse-names":false,"suffix":""},{"dropping-particle":"","family":"Silva","given":"Ricardo R.","non-dropping-particle":"Da","parse-names":false,"suffix":""},{"dropping-particle":"","family":"Dang","given":"Tam","non-dropping-particle":"","parse-names":false,"suffix":""},{"dropping-particle":"","family":"Garg","given":"Neha","non-dropping-particle":"","parse-names":false,"suffix":""},{"dropping-particle":"","family":"Gauglitz","given":"Julia M.","non-dropping-particle":"","parse-names":false,"suffix":""},{"dropping-particle":"","family":"Gurevich","given":"Alexey","non-dropping-particle":"","parse-names":false,"suffix":""},{"dropping-particle":"","family":"Isaac","given":"Giorgis","non-dropping-particle":"","parse-names":false,"suffix":""},{"dropping-particle":"","family":"Jarmusch","given":"Alan K.","non-dropping-particle":"","parse-names":false,"suffix":""},{"dropping-particle":"","family":"Kameník","given":"Zdeněk","non-dropping-particle":"","parse-names":false,"suffix":""},{"dropping-particle":"Bin","family":"Kang","given":"Kyo","non-dropping-particle":"","parse-names":false,"suffix":""},{"dropping-particle":"","family":"Kessler","given":"Nikolas","non-dropping-particle":"","parse-names":false,"suffix":""},{"dropping-particle":"","family":"Koester","given":"Irina","non-dropping-particle":"","parse-names":false,"suffix":""},{"dropping-particle":"","family":"Korf","given":"Ansgar","non-dropping-particle":"","parse-names":false,"suffix":""},{"dropping-particle":"","family":"Gouellec","given":"Audrey","non-dropping-particle":"Le","parse-names":false,"suffix":""},{"dropping-particle":"","family":"Ludwig","given":"Marcus","non-dropping-particle":"","parse-names":false,"suffix":""},{"dropping-particle":"","family":"Martin H","given":"Christian","non-dropping-particle":"","parse-names":false,"suffix":""},{"dropping-particle":"","family":"McCall","given":"Laura Isobel","non-dropping-particle":"","parse-names":false,"suffix":""},{"dropping-particle":"","family":"McSayles","given":"Jonathan","non-dropping-particle":"","parse-names":false,"suffix":""},{"dropping-particle":"","family":"Meyer","given":"Sven W.","non-dropping-particle":"","parse-names":false,"suffix":""},{"dropping-particle":"","family":"Mohimani","given":"Hosein","non-dropping-particle":"","parse-names":false,"suffix":""},{"dropping-particle":"","family":"Morsy","given":"Mustafa","non-dropping-particle":"","parse-names":false,"suffix":""},{"dropping-particle":"","family":"Moyne","given":"Oriane","non-dropping-particle":"","parse-names":false,"suffix":""},{"dropping-particle":"","family":"Neumann","given":"Steffen","non-dropping-particle":"","parse-names":false,"suffix":""},{"dropping-particle":"","family":"Neuweger","given":"Heiko","non-dropping-particle":"","parse-names":false,"suffix":""},{"dropping-particle":"","family":"Nguyen","given":"Ngoc Hung","non-dropping-particle":"","parse-names":false,"suffix":""},{"dropping-particle":"","family":"Nothias-Esposito","given":"Melissa","non-dropping-particle":"","parse-names":false,"suffix":""},{"dropping-particle":"","family":"Paolini","given":"Julien","non-dropping-particle":"","parse-names":false,"suffix":""},{"dropping-particle":"V.","family":"Phelan","given":"Vanessa","non-dropping-particle":"","parse-names":false,"suffix":""},{"dropping-particle":"","family":"Pluskal","given":"Tomáš","non-dropping-particle":"","parse-names":false,"suffix":""},{"dropping-particle":"","family":"Quinn","given":"Robert A.","non-dropping-particle":"","parse-names":false,"suffix":""},{"dropping-particle":"","family":"Rogers","given":"Simon","non-dropping-particle":"","parse-names":false,"suffix":""},{"dropping-particle":"","family":"Shrestha","given":"Bindesh","non-dropping-particle":"","parse-names":false,"suffix":""},{"dropping-particle":"","family":"Tripathi","given":"Anupriya","non-dropping-particle":"","parse-names":false,"suffix":""},{"dropping-particle":"","family":"Hooft","given":"Justin J.J.","non-dropping-particle":"van der","parse-names":false,"suffix":""},{"dropping-particle":"","family":"Vargas","given":"Fernando","non-dropping-particle":"","parse-names":false,"suffix":""},{"dropping-particle":"","family":"Weldon","given":"Kelly C.","non-dropping-particle":"","parse-names":false,"suffix":""},{"dropping-particle":"","family":"Witting","given":"Michael","non-dropping-particle":"","parse-names":false,"suffix":""},{"dropping-particle":"","family":"Yang","given":"Heejung","non-dropping-particle":"","parse-names":false,"suffix":""},{"dropping-particle":"","family":"Zhang","given":"Zheng","non-dropping-particle":"","parse-names":false,"suffix":""},{"dropping-particle":"","family":"Zubeil","given":"Florian","non-dropping-particle":"","parse-names":false,"suffix":""},{"dropping-particle":"","family":"Kohlbacher","given":"Oliver","non-dropping-particle":"","parse-names":false,"suffix":""},{"dropping-particle":"","family":"Böcker","given":"Sebastian","non-dropping-particle":"","parse-names":false,"suffix":""},{"dropping-particle":"","family":"Alexandrov","given":"Theodore","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C.","non-dropping-particle":"","parse-names":false,"suffix":""}],"container-title":"Nature Methods","id":"ITEM-1","issue":"9","issued":{"date-parts":[["2020"]]},"note":"Summary: Outlines FBMN and compares it with classical MN, which focuses on spectral count or summed precursor ion count while FBMN uses feature abundance from aligned features. FBMN enables distinguishing isomers producing similar MS2 spectra, facilitates spectra annotation, and incorporates relative quantitative info for downsteam mtbms analyses. Limitations of FBMN compared to classical MN are: greater computational power, more time needed for analysis, and limitations with feature detection/alignment software needed to generate files for FBMN (e.g., mzmine).","page":"905-908","publisher":"Springer US","title":"Feature-based molecular networking in the GNPS analysis environment","type":"article-journal","volume":"17"},"uris":["http://www.mendeley.com/documents/?uuid=d19e788b-2778-4354-8c94-1b790a5a9b5d"]},{"id":"ITEM-2","itemData":{"DOI":"10.1038/nbt.3597.Sharing","ISBN":"1088-9051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Biotechnology","id":"ITEM-2","issue":"8","issued":{"date-parts":[["2016"]]},"note":"Summary: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45,190&lt;/sup&gt;","plainTextFormattedCitation":"45,190","previouslyFormattedCitation":"&lt;sup&gt;45,190&lt;/sup&gt;"},"properties":{"noteIndex":0},"schema":"https://github.com/citation-style-language/schema/raw/master/csl-citation.json"}</w:instrText>
      </w:r>
      <w:r w:rsidR="004C6028" w:rsidRPr="00901194">
        <w:rPr>
          <w:rFonts w:cs="Times New Roman"/>
        </w:rPr>
        <w:fldChar w:fldCharType="separate"/>
      </w:r>
      <w:r w:rsidR="000D0072" w:rsidRPr="00901194">
        <w:rPr>
          <w:rFonts w:cs="Times New Roman"/>
          <w:noProof/>
          <w:vertAlign w:val="superscript"/>
        </w:rPr>
        <w:t>45,190</w:t>
      </w:r>
      <w:r w:rsidR="004C6028" w:rsidRPr="00901194">
        <w:rPr>
          <w:rFonts w:cs="Times New Roman"/>
        </w:rPr>
        <w:fldChar w:fldCharType="end"/>
      </w:r>
      <w:r w:rsidRPr="00901194">
        <w:rPr>
          <w:rFonts w:cs="Times New Roman"/>
        </w:rPr>
        <w:t xml:space="preserve">. For example, the triterpenoid metabolite </w:t>
      </w:r>
      <w:r w:rsidRPr="00901194">
        <w:rPr>
          <w:rFonts w:cs="Times New Roman"/>
          <w:i/>
          <w:iCs/>
        </w:rPr>
        <w:t xml:space="preserve">m/z </w:t>
      </w:r>
      <w:r w:rsidRPr="00901194">
        <w:rPr>
          <w:rFonts w:cs="Times New Roman"/>
        </w:rPr>
        <w:t xml:space="preserve">439.355 RT 2.78 min (brown arrowhead) was detected in the whole grain food samples and in cecum contents of legume- and whole grain-fed animals. This metabolite feature was directly connected through molecular networking to a deoxygenated metabolite, </w:t>
      </w:r>
      <w:r w:rsidRPr="00901194">
        <w:rPr>
          <w:rFonts w:cs="Times New Roman"/>
          <w:i/>
          <w:iCs/>
        </w:rPr>
        <w:t xml:space="preserve">m/z </w:t>
      </w:r>
      <w:r w:rsidRPr="00901194">
        <w:rPr>
          <w:rFonts w:cs="Times New Roman"/>
        </w:rPr>
        <w:t>423.3602 RT 3.05 min, annotated as the triterpenoid glochidone, only detected in cecal contents for legume-fed animals, at comparable levels between donors (</w:t>
      </w:r>
      <w:r w:rsidRPr="00901194">
        <w:rPr>
          <w:rFonts w:cs="Times New Roman"/>
          <w:i/>
          <w:iCs/>
        </w:rPr>
        <w:t>p</w:t>
      </w:r>
      <w:r w:rsidRPr="00901194">
        <w:rPr>
          <w:rFonts w:cs="Times New Roman"/>
        </w:rPr>
        <w:t xml:space="preserve"> &gt; 0.05, Kruskal-Wallis with post-hoc Dunn’s test, FDR-corrected, for comparisons between the different legume-fed donors). This could indicate expression of dehydroxylase specifically in legume-fed animals, or a hydroxylase under both legumes and whole grain diets. Dehydroxylation of diet-derived phenols is a known enzymatic activity of the gut microbiome</w:t>
      </w:r>
      <w:r w:rsidR="004C6028" w:rsidRPr="00901194">
        <w:rPr>
          <w:rFonts w:cs="Times New Roman"/>
        </w:rPr>
        <w:fldChar w:fldCharType="begin" w:fldLock="1"/>
      </w:r>
      <w:r w:rsidR="009D364B" w:rsidRPr="00901194">
        <w:rPr>
          <w:rFonts w:cs="Times New Roman"/>
        </w:rPr>
        <w:instrText>ADDIN CSL_CITATION {"citationItems":[{"id":"ITEM-1","itemData":{"DOI":"10.1016/j.freeradbiomed.2003.09.022","author":[{"dropping-particle":"","family":"Rechner","given":"Andreas R","non-dropping-particle":"","parse-names":false,"suffix":""},{"dropping-particle":"","family":"Smith","given":"Martin A","non-dropping-particle":"","parse-names":false,"suffix":""},{"dropping-particle":"","family":"Kuhnle","given":"Gunter","non-dropping-particle":"","parse-names":false,"suffix":""},{"dropping-particle":"","family":"Gibson","given":"Glenn R","non-dropping-particle":"","parse-names":false,"suffix":""},{"dropping-particle":"","family":"Debnam","given":"Edward S","non-dropping-particle":"","parse-names":false,"suffix":""},{"dropping-particle":"","family":"Srai","given":"S Kaila S","non-dropping-particle":"","parse-names":false,"suffix":""},{"dropping-particle":"","family":"Moore","given":"Kevin P","non-dropping-particle":"","parse-names":false,"suffix":""},{"dropping-particle":"","family":"Rice-Evans","given":"Catherine A","non-dropping-particle":"","parse-names":false,"suffix":""}],"container-title":"Free Radical Biology and Medicine","id":"ITEM-1","issue":"2","issued":{"date-parts":[["2004"]]},"page":"212-225","title":"Colonic metabolism of dietary polyphenols: influence of structure on microbial fermentation products","type":"article-journal","volume":"36"},"uris":["http://www.mendeley.com/documents/?uuid=c964aed7-98c9-484c-b9fd-9b1a1eda3df1"]}],"mendeley":{"formattedCitation":"&lt;sup&gt;194&lt;/sup&gt;","plainTextFormattedCitation":"194","previouslyFormattedCitation":"&lt;sup&gt;194&lt;/sup&gt;"},"properties":{"noteIndex":0},"schema":"https://github.com/citation-style-language/schema/raw/master/csl-citation.json"}</w:instrText>
      </w:r>
      <w:r w:rsidR="004C6028" w:rsidRPr="00901194">
        <w:rPr>
          <w:rFonts w:cs="Times New Roman"/>
        </w:rPr>
        <w:fldChar w:fldCharType="separate"/>
      </w:r>
      <w:r w:rsidR="000D0072" w:rsidRPr="00901194">
        <w:rPr>
          <w:rFonts w:cs="Times New Roman"/>
          <w:noProof/>
          <w:vertAlign w:val="superscript"/>
        </w:rPr>
        <w:t>194</w:t>
      </w:r>
      <w:r w:rsidR="004C6028" w:rsidRPr="00901194">
        <w:rPr>
          <w:rFonts w:cs="Times New Roman"/>
        </w:rPr>
        <w:fldChar w:fldCharType="end"/>
      </w:r>
      <w:r w:rsidRPr="00901194">
        <w:rPr>
          <w:rFonts w:cs="Times New Roman"/>
        </w:rPr>
        <w:t xml:space="preserve">. Multiple other metabolites related to </w:t>
      </w:r>
      <w:r w:rsidRPr="00901194">
        <w:rPr>
          <w:rFonts w:cs="Times New Roman"/>
          <w:i/>
          <w:iCs/>
        </w:rPr>
        <w:t xml:space="preserve">m/z </w:t>
      </w:r>
      <w:r w:rsidRPr="00901194">
        <w:rPr>
          <w:rFonts w:cs="Times New Roman"/>
        </w:rPr>
        <w:t xml:space="preserve">439.355 RT 2.78 min by oxidation/hydroxylation were also detected across donors, in legume and whole grain-fed animals. An oxidized metabolite related to the triterpenoid soyaspongenol C, </w:t>
      </w:r>
      <w:r w:rsidRPr="00901194">
        <w:rPr>
          <w:rFonts w:cs="Times New Roman"/>
          <w:i/>
          <w:iCs/>
        </w:rPr>
        <w:t>m/z</w:t>
      </w:r>
      <w:r w:rsidRPr="00901194">
        <w:rPr>
          <w:rFonts w:cs="Times New Roman"/>
        </w:rPr>
        <w:t xml:space="preserve">  457.3655 RT 2.88 min (brown arrowhead), was likewise specifically detected in the cecum of legume-fed animals only with no significant difference in abundance between donors. This could indicate expression of an oxidase enzyme specifically in legume-fed animals. In contrast, a demethylated analog of glochidone was observed at significantly higher levels in SubA compared to other </w:t>
      </w:r>
      <w:r w:rsidRPr="00901194">
        <w:rPr>
          <w:rFonts w:cs="Times New Roman"/>
        </w:rPr>
        <w:lastRenderedPageBreak/>
        <w:t>donors (</w:t>
      </w:r>
      <w:r w:rsidR="00AD7E45" w:rsidRPr="00901194">
        <w:rPr>
          <w:rFonts w:cs="Times New Roman"/>
        </w:rPr>
        <w:t>Figure 3.4</w:t>
      </w:r>
      <w:r w:rsidRPr="00901194">
        <w:rPr>
          <w:rFonts w:cs="Times New Roman"/>
        </w:rPr>
        <w:t xml:space="preserve">; p &lt; 0.05, Kruskal-Wallis with post-hoc Dunn’s test, FDR-corrected, for comparisons between the different legume-fed donors). This may reflect a demethylase enzyme </w:t>
      </w:r>
      <w:r w:rsidR="00656FC5" w:rsidRPr="00901194">
        <w:rPr>
          <w:rFonts w:cs="Times New Roman"/>
          <w:noProof/>
        </w:rPr>
        <w:drawing>
          <wp:anchor distT="0" distB="0" distL="114300" distR="114300" simplePos="0" relativeHeight="251731968" behindDoc="0" locked="0" layoutInCell="1" allowOverlap="1" wp14:anchorId="295281A2" wp14:editId="7B717DB7">
            <wp:simplePos x="0" y="0"/>
            <wp:positionH relativeFrom="column">
              <wp:posOffset>303388</wp:posOffset>
            </wp:positionH>
            <wp:positionV relativeFrom="paragraph">
              <wp:posOffset>1326797</wp:posOffset>
            </wp:positionV>
            <wp:extent cx="4933950" cy="5534025"/>
            <wp:effectExtent l="0" t="0" r="0" b="9525"/>
            <wp:wrapTopAndBottom/>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4933950" cy="5534025"/>
                    </a:xfrm>
                    <a:prstGeom prst="rect">
                      <a:avLst/>
                    </a:prstGeom>
                  </pic:spPr>
                </pic:pic>
              </a:graphicData>
            </a:graphic>
          </wp:anchor>
        </w:drawing>
      </w:r>
      <w:r w:rsidRPr="00901194">
        <w:rPr>
          <w:rFonts w:cs="Times New Roman"/>
        </w:rPr>
        <w:t>unique to microbes present in the SubA community.</w:t>
      </w:r>
    </w:p>
    <w:p w14:paraId="4FC6EB5E" w14:textId="77777777" w:rsidR="008E1E74" w:rsidRPr="00901194" w:rsidRDefault="008E6389" w:rsidP="001E4610">
      <w:pPr>
        <w:pStyle w:val="CaptionJH"/>
        <w:spacing w:line="240" w:lineRule="auto"/>
        <w:rPr>
          <w:rFonts w:eastAsia="DengXian"/>
        </w:rPr>
      </w:pPr>
      <w:bookmarkStart w:id="81" w:name="_Toc131186558"/>
      <w:r w:rsidRPr="00901194">
        <w:rPr>
          <w:b/>
          <w:bCs w:val="0"/>
        </w:rPr>
        <w:t>Figure 3.5</w:t>
      </w:r>
      <w:r w:rsidR="008E1E74" w:rsidRPr="00901194">
        <w:rPr>
          <w:b/>
          <w:bCs w:val="0"/>
        </w:rPr>
        <w:t>:</w:t>
      </w:r>
      <w:r w:rsidR="008E1E74" w:rsidRPr="00901194">
        <w:t xml:space="preserve"> </w:t>
      </w:r>
      <w:r w:rsidR="008E1E74" w:rsidRPr="00901194">
        <w:rPr>
          <w:rFonts w:eastAsia="DengXian"/>
          <w:b/>
        </w:rPr>
        <w:t>Impact of donor and diet on bile acid relative abundance.</w:t>
      </w:r>
      <w:bookmarkEnd w:id="81"/>
      <w:r w:rsidR="008E1E74" w:rsidRPr="00901194">
        <w:rPr>
          <w:rFonts w:eastAsia="DengXian"/>
        </w:rPr>
        <w:t xml:space="preserve"> </w:t>
      </w:r>
    </w:p>
    <w:p w14:paraId="55AB6EEB" w14:textId="6210159E" w:rsidR="008E1E74" w:rsidRPr="00901194" w:rsidRDefault="008E1E74" w:rsidP="009A7116">
      <w:pPr>
        <w:spacing w:line="240" w:lineRule="auto"/>
        <w:rPr>
          <w:rFonts w:cs="Times New Roman"/>
          <w:i/>
          <w:iCs/>
        </w:rPr>
      </w:pPr>
      <w:r w:rsidRPr="00901194">
        <w:rPr>
          <w:rFonts w:cs="Times New Roman"/>
          <w:i/>
          <w:iCs/>
        </w:rPr>
        <w:t>Node pie charts indicate relative abundance in mouse samples, irrespective of sample source (cecum or serum). Labels indicate node m/z. Connected nodes indicate MS2 similarity (cosine score &gt;0.7).  *, p&lt;0.05 by Kruskal-Wallis with post-hoc Dunn’s test, FDR-corrected.</w:t>
      </w:r>
    </w:p>
    <w:p w14:paraId="7A094A03" w14:textId="77777777" w:rsidR="008E1E74" w:rsidRPr="00901194" w:rsidRDefault="008E1E74" w:rsidP="008E1E74">
      <w:pPr>
        <w:pStyle w:val="CaptionJH"/>
        <w:spacing w:line="276" w:lineRule="auto"/>
        <w:rPr>
          <w:rFonts w:eastAsia="DengXian"/>
        </w:rPr>
      </w:pPr>
    </w:p>
    <w:p w14:paraId="18EFA17E" w14:textId="2D55B0BC" w:rsidR="0063284A" w:rsidRPr="00901194" w:rsidRDefault="0063284A" w:rsidP="008E1E74">
      <w:pPr>
        <w:ind w:firstLine="720"/>
        <w:rPr>
          <w:rFonts w:cs="Times New Roman"/>
        </w:rPr>
      </w:pPr>
      <w:r w:rsidRPr="00901194">
        <w:rPr>
          <w:rFonts w:cs="Times New Roman"/>
        </w:rPr>
        <w:lastRenderedPageBreak/>
        <w:t>Other known microbiota metabolites also differed as a function of donor and diet, with considerable variation in primary and secondary bile acid family members. Lysine-conjugated cholic acid, for instance, was significantly lower in SubB compared to SubA and SubC and glycocholic acid was significantly higher in SubC (</w:t>
      </w:r>
      <w:r w:rsidRPr="00901194">
        <w:rPr>
          <w:rFonts w:cs="Times New Roman"/>
          <w:i/>
          <w:iCs/>
        </w:rPr>
        <w:t>p</w:t>
      </w:r>
      <w:r w:rsidRPr="00901194">
        <w:rPr>
          <w:rFonts w:cs="Times New Roman"/>
        </w:rPr>
        <w:t xml:space="preserve"> &lt; 0.05, Kruskal-Wallis with post-hoc Dunn’s test, FDR-corrected, </w:t>
      </w:r>
      <w:r w:rsidR="008E1E74" w:rsidRPr="00901194">
        <w:rPr>
          <w:rFonts w:cs="Times New Roman"/>
        </w:rPr>
        <w:t>Figure 3.5</w:t>
      </w:r>
      <w:r w:rsidRPr="00901194">
        <w:rPr>
          <w:rFonts w:cs="Times New Roman"/>
        </w:rPr>
        <w:t>). Of particular interest is commendamide, which is a known G-protein coupled receptor (GPCR) agonist produced by the human microbiome</w:t>
      </w:r>
      <w:r w:rsidR="0089683D" w:rsidRPr="00901194">
        <w:rPr>
          <w:rFonts w:cs="Times New Roman"/>
        </w:rPr>
        <w:fldChar w:fldCharType="begin" w:fldLock="1"/>
      </w:r>
      <w:r w:rsidR="009D364B" w:rsidRPr="00901194">
        <w:rPr>
          <w:rFonts w:cs="Times New Roman"/>
        </w:rPr>
        <w:instrText>ADDIN CSL_CITATION {"citationItems":[{"id":"ITEM-1","itemData":{"DOI":"10.1073/pnas.1508737112","author":[{"dropping-particle":"","family":"Cohen","given":"Louis J","non-dropping-particle":"","parse-names":false,"suffix":""},{"dropping-particle":"","family":"Kang","given":"Hahk-soo","non-dropping-particle":"","parse-names":false,"suffix":""},{"dropping-particle":"","family":"Chu","given":"John","non-dropping-particle":"","parse-names":false,"suffix":""},{"dropping-particle":"","family":"Huang","given":"Yun-han","non-dropping-particle":"","parse-names":false,"suffix":""},{"dropping-particle":"","family":"Gordon","given":"Emma A","non-dropping-particle":"","parse-names":false,"suffix":""},{"dropping-particle":"","family":"Reddy","given":"Boojala Vijay B","non-dropping-particle":"","parse-names":false,"suffix":""},{"dropping-particle":"","family":"Ternei","given":"Melinda A","non-dropping-particle":"","parse-names":false,"suffix":""},{"dropping-particle":"","family":"Craig","given":"Jeffrey W","non-dropping-particle":"","parse-names":false,"suffix":""},{"dropping-particle":"","family":"Brady","given":"Sean F","non-dropping-particle":"","parse-names":false,"suffix":""}],"container-title":"Proceedings of the National Academy of Sciences","id":"ITEM-1","issue":"35","issued":{"date-parts":[["2015"]]},"page":"E4825-E4834","title":"Functional metagenomic discovery of bacterial effectors in the human microbiome and isolation of commendamide, a GPCR G2A/132 agonist","type":"article-journal","volume":"112"},"uris":["http://www.mendeley.com/documents/?uuid=a202543c-fc2d-4ab9-a348-6d3ca9859036"]}],"mendeley":{"formattedCitation":"&lt;sup&gt;195&lt;/sup&gt;","plainTextFormattedCitation":"195","previouslyFormattedCitation":"&lt;sup&gt;195&lt;/sup&gt;"},"properties":{"noteIndex":0},"schema":"https://github.com/citation-style-language/schema/raw/master/csl-citation.json"}</w:instrText>
      </w:r>
      <w:r w:rsidR="0089683D" w:rsidRPr="00901194">
        <w:rPr>
          <w:rFonts w:cs="Times New Roman"/>
        </w:rPr>
        <w:fldChar w:fldCharType="separate"/>
      </w:r>
      <w:r w:rsidR="000D0072" w:rsidRPr="00901194">
        <w:rPr>
          <w:rFonts w:cs="Times New Roman"/>
          <w:noProof/>
          <w:vertAlign w:val="superscript"/>
        </w:rPr>
        <w:t>195</w:t>
      </w:r>
      <w:r w:rsidR="0089683D" w:rsidRPr="00901194">
        <w:rPr>
          <w:rFonts w:cs="Times New Roman"/>
        </w:rPr>
        <w:fldChar w:fldCharType="end"/>
      </w:r>
      <w:r w:rsidRPr="00901194">
        <w:rPr>
          <w:rFonts w:cs="Times New Roman"/>
        </w:rPr>
        <w:t xml:space="preserve"> and was elevated across multiple diets in SubA-colonized mice compared to SubB counterparts (</w:t>
      </w:r>
      <w:r w:rsidRPr="00901194">
        <w:rPr>
          <w:rFonts w:cs="Times New Roman"/>
          <w:i/>
          <w:iCs/>
        </w:rPr>
        <w:t>p</w:t>
      </w:r>
      <w:r w:rsidRPr="00901194">
        <w:rPr>
          <w:rFonts w:cs="Times New Roman"/>
        </w:rPr>
        <w:t xml:space="preserve"> &lt;0.05, Kruskal-Wallis with post-hoc Dunn’s test, FDR-corrected; </w:t>
      </w:r>
      <w:r w:rsidR="00864EF8" w:rsidRPr="00901194">
        <w:rPr>
          <w:rFonts w:cs="Times New Roman"/>
        </w:rPr>
        <w:t>Figure 3.6</w:t>
      </w:r>
      <w:r w:rsidRPr="00901194">
        <w:rPr>
          <w:rFonts w:cs="Times New Roman"/>
        </w:rPr>
        <w:t>, top).</w:t>
      </w:r>
    </w:p>
    <w:p w14:paraId="45BAEFE0" w14:textId="7D976AB7" w:rsidR="00B57DA9" w:rsidRPr="00901194" w:rsidRDefault="0063284A" w:rsidP="00433996">
      <w:pPr>
        <w:ind w:firstLine="720"/>
        <w:rPr>
          <w:rFonts w:cs="Times New Roman"/>
        </w:rPr>
      </w:pPr>
      <w:r w:rsidRPr="00901194">
        <w:rPr>
          <w:rFonts w:cs="Times New Roman"/>
        </w:rPr>
        <w:t>Kynurenic acid, which is produced under inflammatory conditions and regulates immune responses</w:t>
      </w:r>
      <w:r w:rsidR="005B5728" w:rsidRPr="00901194">
        <w:rPr>
          <w:rFonts w:cs="Times New Roman"/>
        </w:rPr>
        <w:fldChar w:fldCharType="begin" w:fldLock="1"/>
      </w:r>
      <w:r w:rsidR="009D364B" w:rsidRPr="00901194">
        <w:rPr>
          <w:rFonts w:cs="Times New Roman"/>
        </w:rPr>
        <w:instrText>ADDIN CSL_CITATION {"citationItems":[{"id":"ITEM-1","itemData":{"DOI":"10.1016/j.chom.2018.05.003","ISSN":"1931-3128","abstract":"The gut microbiota is a crucial actor in human physiology. Many of these effects are mediated by metabolites that are either produced by the microbes or derived from the transformation of environmental or host molecules. Among the array of metabolites at the interface between these microorganisms and the host is the essential aromatic amino acid tryptophan (Trp). In the gut, the three major Trp metabolism pathways leading to serotonin (5-hydroxytryptamine), kynurenine (Kyn), and indole derivatives are under the direct or indirect control of the microbiota. In this review, we gather the most recent advances concerning the central role of Trp metabolism in microbiota-host crosstalk in health and disease. Deciphering the complex equilibrium between these pathways will facilitate a better understanding of the pathogenesis of human diseases and open therapeutic opportunities. Introduction","author":[{"dropping-particle":"","family":"Agus","given":"Allison","non-dropping-particle":"","parse-names":false,"suffix":""},{"dropping-particle":"","family":"Planchais","given":"Julien","non-dropping-particle":"","parse-names":false,"suffix":""},{"dropping-particle":"","family":"Sokol","given":"Harry","non-dropping-particle":"","parse-names":false,"suffix":""}],"container-title":"Cell Host and Microbe","id":"ITEM-1","issue":"6","issued":{"date-parts":[["2018"]]},"page":"716-724","publisher":"Elsevier Inc.","title":"Gut microbiota regulation of tryptophan metabolism in health and disease","type":"article-journal","volume":"23"},"uris":["http://www.mendeley.com/documents/?uuid=42f64135-263f-40b3-bc39-311228aa01ce"]}],"mendeley":{"formattedCitation":"&lt;sup&gt;196&lt;/sup&gt;","plainTextFormattedCitation":"196","previouslyFormattedCitation":"&lt;sup&gt;196&lt;/sup&gt;"},"properties":{"noteIndex":0},"schema":"https://github.com/citation-style-language/schema/raw/master/csl-citation.json"}</w:instrText>
      </w:r>
      <w:r w:rsidR="005B5728" w:rsidRPr="00901194">
        <w:rPr>
          <w:rFonts w:cs="Times New Roman"/>
        </w:rPr>
        <w:fldChar w:fldCharType="separate"/>
      </w:r>
      <w:r w:rsidR="000D0072" w:rsidRPr="00901194">
        <w:rPr>
          <w:rFonts w:cs="Times New Roman"/>
          <w:noProof/>
          <w:vertAlign w:val="superscript"/>
        </w:rPr>
        <w:t>196</w:t>
      </w:r>
      <w:r w:rsidR="005B5728" w:rsidRPr="00901194">
        <w:rPr>
          <w:rFonts w:cs="Times New Roman"/>
        </w:rPr>
        <w:fldChar w:fldCharType="end"/>
      </w:r>
      <w:r w:rsidRPr="00901194">
        <w:rPr>
          <w:rFonts w:cs="Times New Roman"/>
        </w:rPr>
        <w:t>, was significantly higher in SubB-colonized mice consuming legumes and vegetable diets compared to SubC- and to SubA-colonized animals (except for SubA legume diet). Kynurenic acid levels were also higher in SubA-colonized mice consuming the legume diet compared to mice other diets and to mice colonized with SubC community consuming all diets (</w:t>
      </w:r>
      <w:r w:rsidRPr="00901194">
        <w:rPr>
          <w:rFonts w:cs="Times New Roman"/>
          <w:i/>
          <w:iCs/>
        </w:rPr>
        <w:t>p</w:t>
      </w:r>
      <w:r w:rsidRPr="00901194">
        <w:rPr>
          <w:rFonts w:cs="Times New Roman"/>
        </w:rPr>
        <w:t xml:space="preserve"> &lt; 0.05, Kruskal-Wallis with post-hoc Dunn’s test, FDR-corrected, </w:t>
      </w:r>
      <w:r w:rsidR="00864EF8" w:rsidRPr="00901194">
        <w:rPr>
          <w:rFonts w:cs="Times New Roman"/>
        </w:rPr>
        <w:t>Figure 3.6</w:t>
      </w:r>
      <w:r w:rsidRPr="00901194">
        <w:rPr>
          <w:rFonts w:cs="Times New Roman"/>
        </w:rPr>
        <w:t>, bottom).</w:t>
      </w:r>
    </w:p>
    <w:p w14:paraId="3FA75513" w14:textId="640A87A9" w:rsidR="00B57DA9" w:rsidRPr="00901194" w:rsidRDefault="00B57DA9">
      <w:pPr>
        <w:spacing w:line="259" w:lineRule="auto"/>
        <w:rPr>
          <w:rFonts w:cs="Times New Roman"/>
        </w:rPr>
      </w:pPr>
    </w:p>
    <w:p w14:paraId="32D6386C" w14:textId="68EEECCE" w:rsidR="00B57DA9" w:rsidRPr="00901194" w:rsidRDefault="00B57DA9">
      <w:pPr>
        <w:spacing w:line="259" w:lineRule="auto"/>
        <w:rPr>
          <w:rFonts w:cs="Times New Roman"/>
        </w:rPr>
      </w:pPr>
    </w:p>
    <w:p w14:paraId="1B0943C5" w14:textId="1D164B3D" w:rsidR="00B57DA9" w:rsidRPr="00901194" w:rsidRDefault="00B57DA9">
      <w:pPr>
        <w:spacing w:line="259" w:lineRule="auto"/>
        <w:rPr>
          <w:rFonts w:cs="Times New Roman"/>
        </w:rPr>
      </w:pPr>
    </w:p>
    <w:p w14:paraId="4DEDACC5" w14:textId="2A24D98F" w:rsidR="00B57DA9" w:rsidRPr="00901194" w:rsidRDefault="00B57DA9">
      <w:pPr>
        <w:spacing w:line="259" w:lineRule="auto"/>
        <w:rPr>
          <w:rFonts w:cs="Times New Roman"/>
        </w:rPr>
      </w:pPr>
    </w:p>
    <w:p w14:paraId="3D27CDFE" w14:textId="7B5126E4" w:rsidR="00B57DA9" w:rsidRPr="00901194" w:rsidRDefault="00F33FC1">
      <w:pPr>
        <w:spacing w:line="259" w:lineRule="auto"/>
        <w:rPr>
          <w:rFonts w:cs="Times New Roman"/>
        </w:rPr>
      </w:pPr>
      <w:r w:rsidRPr="00901194">
        <w:rPr>
          <w:rFonts w:cs="Times New Roman"/>
          <w:noProof/>
        </w:rPr>
        <w:lastRenderedPageBreak/>
        <w:drawing>
          <wp:anchor distT="0" distB="0" distL="114300" distR="114300" simplePos="0" relativeHeight="251732992" behindDoc="0" locked="0" layoutInCell="1" allowOverlap="1" wp14:anchorId="62F124CB" wp14:editId="53F8B2F0">
            <wp:simplePos x="0" y="0"/>
            <wp:positionH relativeFrom="column">
              <wp:posOffset>330200</wp:posOffset>
            </wp:positionH>
            <wp:positionV relativeFrom="paragraph">
              <wp:posOffset>0</wp:posOffset>
            </wp:positionV>
            <wp:extent cx="4762500" cy="4552950"/>
            <wp:effectExtent l="0" t="0" r="0" b="0"/>
            <wp:wrapTopAndBottom/>
            <wp:docPr id="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4762500" cy="4552950"/>
                    </a:xfrm>
                    <a:prstGeom prst="rect">
                      <a:avLst/>
                    </a:prstGeom>
                  </pic:spPr>
                </pic:pic>
              </a:graphicData>
            </a:graphic>
          </wp:anchor>
        </w:drawing>
      </w:r>
    </w:p>
    <w:p w14:paraId="76877452" w14:textId="564F8C56" w:rsidR="003767E3" w:rsidRPr="00901194" w:rsidRDefault="003767E3" w:rsidP="003767E3">
      <w:pPr>
        <w:pStyle w:val="CaptionJH"/>
        <w:spacing w:line="240" w:lineRule="auto"/>
      </w:pPr>
      <w:bookmarkStart w:id="82" w:name="_Toc131186559"/>
      <w:r w:rsidRPr="00901194">
        <w:rPr>
          <w:b/>
        </w:rPr>
        <w:t>Figure 3.6: Impact of donor and diet on commendamide and kynurenic acid.</w:t>
      </w:r>
      <w:bookmarkEnd w:id="82"/>
      <w:r w:rsidRPr="00901194">
        <w:t xml:space="preserve"> </w:t>
      </w:r>
    </w:p>
    <w:p w14:paraId="167A3970" w14:textId="05A25246" w:rsidR="00227A29" w:rsidRPr="00901194" w:rsidRDefault="003767E3" w:rsidP="00227A29">
      <w:pPr>
        <w:pStyle w:val="CaptionJH"/>
        <w:spacing w:line="240" w:lineRule="auto"/>
      </w:pPr>
      <w:r w:rsidRPr="00901194">
        <w:t>Node pie charts indicate relative abundance in mouse samples, irrespective of sample source (cecum or serum). Labels indicate node m/z. Node annotations and discussed node chemical mass differences are indicated in brown. Connected nodes indicate MS2 similarity (cosine score &gt;0.7). *, p&lt;0.05 by Kruskal-Wallis with post-hoc Dunn’s test, FDR-corrected.</w:t>
      </w:r>
      <w:r w:rsidR="00B57DA9" w:rsidRPr="00901194">
        <w:br w:type="page"/>
      </w:r>
    </w:p>
    <w:p w14:paraId="416D4534" w14:textId="3AE1DB2E" w:rsidR="00227A29" w:rsidRPr="00901194" w:rsidRDefault="00227A29" w:rsidP="00227A29">
      <w:pPr>
        <w:pStyle w:val="Subsub-chapterHeading"/>
      </w:pPr>
      <w:bookmarkStart w:id="83" w:name="_Toc134185976"/>
      <w:r w:rsidRPr="00901194">
        <w:lastRenderedPageBreak/>
        <w:t>Diets and gut communities modulate serum metabolites</w:t>
      </w:r>
      <w:bookmarkEnd w:id="83"/>
    </w:p>
    <w:p w14:paraId="4481F1F2" w14:textId="532D9356" w:rsidR="0063284A" w:rsidRPr="00901194" w:rsidRDefault="0063284A" w:rsidP="00864EF8">
      <w:pPr>
        <w:ind w:firstLine="720"/>
        <w:rPr>
          <w:rFonts w:cs="Times New Roman"/>
        </w:rPr>
      </w:pPr>
      <w:r w:rsidRPr="00901194">
        <w:rPr>
          <w:rFonts w:cs="Times New Roman"/>
        </w:rPr>
        <w:t>Many of the systemic effects of the gut microbiome are mediated through metabolites that reach the circulation</w:t>
      </w:r>
      <w:r w:rsidR="00975A3E" w:rsidRPr="00901194">
        <w:rPr>
          <w:rFonts w:cs="Times New Roman"/>
        </w:rPr>
        <w:fldChar w:fldCharType="begin" w:fldLock="1"/>
      </w:r>
      <w:r w:rsidR="00CC184B" w:rsidRPr="00901194">
        <w:rPr>
          <w:rFonts w:cs="Times New Roman"/>
        </w:rPr>
        <w:instrText>ADDIN CSL_CITATION {"citationItems":[{"id":"ITEM-1","itemData":{"DOI":"10.1073/pnas.0812874106","author":[{"dropping-particle":"","family":"Wikoff","given":"William R","non-dropping-particle":"","parse-names":false,"suffix":""},{"dropping-particle":"","family":"Anfora","given":"Andrew T","non-dropping-particle":"","parse-names":false,"suffix":""},{"dropping-particle":"","family":"Liu","given":"Jun","non-dropping-particle":"","parse-names":false,"suffix":""},{"dropping-particle":"","family":"Schultz","given":"Peter G","non-dropping-particle":"","parse-names":false,"suffix":""},{"dropping-particle":"","family":"Lesley","given":"Scott A","non-dropping-particle":"","parse-names":false,"suffix":""},{"dropping-particle":"","family":"Peters","given":"Eric C","non-dropping-particle":"","parse-names":false,"suffix":""},{"dropping-particle":"","family":"Siuzdak","given":"Gary","non-dropping-particle":"","parse-names":false,"suffix":""}],"container-title":"Proceedings of the National Academy of Sciences","id":"ITEM-1","issue":"10","issued":{"date-parts":[["2009"]]},"page":"3698-3703","title":"Metabolomics analysis reveals large effects of gut microflora on mammalian blood metabolites","type":"article-journal","volume":"106"},"uris":["http://www.mendeley.com/documents/?uuid=3613ecff-93ba-45b8-a49b-020e3f3aa930"]},{"id":"ITEM-2","itemData":{"DOI":"10.1016/j.tifs.2017.07.010","abstract":"Recent studies demonstrate that fruits are rich in non-extractable polyphenols, macro-antioxidants, which have been underestimated. These are not absorbed and reach the colon where are catabolized by human gut microbiota releasing low molecular weight phenolics that are then absorbed efficiently. These metabolites persist in human plasma for extended times up to 3e4 days after the intake with significant concentrations. Preclinical studies with these metabolites at the concentrations that can be reached in plasma have reported anti-inflammatory and anti-oxidant effects that could be related to health benefits observed in vivo after the intake of the non-extractable macro-antioxidants.","author":[{"dropping-particle":"","family":"González-Sarrías","given":"","non-dropping-particle":"","parse-names":false,"suffix":""},{"dropping-particle":"","family":"Espín","given":"Juan Carlos","non-dropping-particle":"","parse-names":false,"suffix":""},{"dropping-particle":"","family":"Tomás-Barberán","given":"Francisco A","non-dropping-particle":"","parse-names":false,"suffix":""}],"container-title":"Trends in Food Science &amp; Technology","id":"ITEM-2","issued":{"date-parts":[["2017"]]},"page":"281-288","title":"Non-extractable polyphenols produce gut microbiota metabolites that persist in circulation and show anti-inflammatory and free radical-scavenging effects","type":"article-journal","volume":"69"},"uris":["http://www.mendeley.com/documents/?uuid=07f25574-94a5-4279-aeec-490c3c60f3f8"]}],"mendeley":{"formattedCitation":"&lt;sup&gt;197,198&lt;/sup&gt;","plainTextFormattedCitation":"197,198","previouslyFormattedCitation":"&lt;sup&gt;197,198&lt;/sup&gt;"},"properties":{"noteIndex":0},"schema":"https://github.com/citation-style-language/schema/raw/master/csl-citation.json"}</w:instrText>
      </w:r>
      <w:r w:rsidR="00975A3E" w:rsidRPr="00901194">
        <w:rPr>
          <w:rFonts w:cs="Times New Roman"/>
        </w:rPr>
        <w:fldChar w:fldCharType="separate"/>
      </w:r>
      <w:r w:rsidR="00975A3E" w:rsidRPr="00901194">
        <w:rPr>
          <w:rFonts w:cs="Times New Roman"/>
          <w:noProof/>
          <w:vertAlign w:val="superscript"/>
        </w:rPr>
        <w:t>197,198</w:t>
      </w:r>
      <w:r w:rsidR="00975A3E" w:rsidRPr="00901194">
        <w:rPr>
          <w:rFonts w:cs="Times New Roman"/>
        </w:rPr>
        <w:fldChar w:fldCharType="end"/>
      </w:r>
      <w:r w:rsidRPr="00901194">
        <w:rPr>
          <w:rFonts w:cs="Times New Roman"/>
        </w:rPr>
        <w:t xml:space="preserve">. We therefore supplemented the analysis of cecal contents and dietary constituents with metabolomic analysis of serum samples. Serum samples were processed using the same metabolite extraction and data acquisition methods as for food and cecal contents (see Methods). The resulting serum metabolomics dataset was likewise filtered to focus on metabolites modulated by the microbiome, either elevated or depleted compared to serum samples from germ-free controls exposed to the same diet (see Methods). This represented 19% of all metabolite features detected in the serum, a lower proportion than in the cecum. We refer to this dataset as microbiome-modulated metabolite features, and describe their relationship to donor and diet, below. </w:t>
      </w:r>
    </w:p>
    <w:p w14:paraId="4EC0FA18" w14:textId="2BEB918B" w:rsidR="0063284A" w:rsidRPr="00901194" w:rsidRDefault="0063284A" w:rsidP="00433996">
      <w:pPr>
        <w:ind w:firstLine="720"/>
        <w:rPr>
          <w:rFonts w:cs="Times New Roman"/>
          <w:b/>
          <w:bCs/>
        </w:rPr>
      </w:pPr>
      <w:r w:rsidRPr="00901194">
        <w:rPr>
          <w:rFonts w:cs="Times New Roman"/>
        </w:rPr>
        <w:t xml:space="preserve">Overall, the impact of donor community on microbiota-modulated metabolites in the serum was weaker than diet (PERMANOVA </w:t>
      </w:r>
      <w:r w:rsidRPr="00901194">
        <w:rPr>
          <w:rFonts w:cs="Times New Roman"/>
          <w:i/>
          <w:iCs/>
        </w:rPr>
        <w:t>p</w:t>
      </w:r>
      <w:r w:rsidRPr="00901194">
        <w:rPr>
          <w:rFonts w:cs="Times New Roman"/>
        </w:rPr>
        <w:t>=0.001 R</w:t>
      </w:r>
      <w:r w:rsidRPr="00901194">
        <w:rPr>
          <w:rFonts w:cs="Times New Roman"/>
          <w:vertAlign w:val="superscript"/>
        </w:rPr>
        <w:t>2</w:t>
      </w:r>
      <w:r w:rsidRPr="00901194">
        <w:rPr>
          <w:rFonts w:cs="Times New Roman"/>
        </w:rPr>
        <w:t xml:space="preserve">=0.129 for diet; </w:t>
      </w:r>
      <w:r w:rsidRPr="00901194">
        <w:rPr>
          <w:rFonts w:cs="Times New Roman"/>
          <w:i/>
          <w:iCs/>
        </w:rPr>
        <w:t>p</w:t>
      </w:r>
      <w:r w:rsidRPr="00901194">
        <w:rPr>
          <w:rFonts w:cs="Times New Roman"/>
        </w:rPr>
        <w:t>=0.003 R</w:t>
      </w:r>
      <w:r w:rsidRPr="00901194">
        <w:rPr>
          <w:rFonts w:cs="Times New Roman"/>
          <w:vertAlign w:val="superscript"/>
        </w:rPr>
        <w:t>2</w:t>
      </w:r>
      <w:r w:rsidRPr="00901194">
        <w:rPr>
          <w:rFonts w:cs="Times New Roman"/>
        </w:rPr>
        <w:t xml:space="preserve">=0.052 for donor; </w:t>
      </w:r>
      <w:r w:rsidRPr="00901194">
        <w:rPr>
          <w:rFonts w:cs="Times New Roman"/>
          <w:i/>
          <w:iCs/>
        </w:rPr>
        <w:t>p</w:t>
      </w:r>
      <w:r w:rsidRPr="00901194">
        <w:rPr>
          <w:rFonts w:cs="Times New Roman"/>
        </w:rPr>
        <w:t>=0.767 R</w:t>
      </w:r>
      <w:r w:rsidRPr="00901194">
        <w:rPr>
          <w:rFonts w:cs="Times New Roman"/>
          <w:vertAlign w:val="superscript"/>
        </w:rPr>
        <w:t>2</w:t>
      </w:r>
      <w:r w:rsidRPr="00901194">
        <w:rPr>
          <w:rFonts w:cs="Times New Roman"/>
        </w:rPr>
        <w:t>=0.034 for the interaction between diet and donor) (Fi</w:t>
      </w:r>
      <w:r w:rsidR="001E4610" w:rsidRPr="00901194">
        <w:rPr>
          <w:rFonts w:cs="Times New Roman"/>
        </w:rPr>
        <w:t>gure S3.2</w:t>
      </w:r>
      <w:r w:rsidRPr="00901194">
        <w:rPr>
          <w:rFonts w:cs="Times New Roman"/>
        </w:rPr>
        <w:t xml:space="preserve">A-D). As with cecal contents, there were far more unique microbiota-modulated metabolites observed under a whole grain diet (Fisher’s exact test, </w:t>
      </w:r>
      <w:r w:rsidRPr="00901194">
        <w:rPr>
          <w:rFonts w:cs="Times New Roman"/>
          <w:i/>
          <w:iCs/>
        </w:rPr>
        <w:t>p</w:t>
      </w:r>
      <w:r w:rsidRPr="00901194">
        <w:rPr>
          <w:rFonts w:cs="Times New Roman"/>
        </w:rPr>
        <w:t xml:space="preserve"> &lt; 0.05 for all pairwise comparisons between whole grain diet and other diets for a given donor, Fig</w:t>
      </w:r>
      <w:r w:rsidR="001E4610" w:rsidRPr="00901194">
        <w:rPr>
          <w:rFonts w:cs="Times New Roman"/>
        </w:rPr>
        <w:t>ure</w:t>
      </w:r>
      <w:r w:rsidR="00BC1C91" w:rsidRPr="00901194">
        <w:rPr>
          <w:rFonts w:cs="Times New Roman"/>
        </w:rPr>
        <w:t xml:space="preserve"> </w:t>
      </w:r>
      <w:r w:rsidR="001E4610" w:rsidRPr="00901194">
        <w:rPr>
          <w:rFonts w:cs="Times New Roman"/>
        </w:rPr>
        <w:t>S3.2</w:t>
      </w:r>
      <w:r w:rsidRPr="00901194">
        <w:rPr>
          <w:rFonts w:cs="Times New Roman"/>
        </w:rPr>
        <w:t>E-G). In contrast, the donors with the least unique metabolite features diverged between diets and did not mirror the observations in the cecum (Fi</w:t>
      </w:r>
      <w:r w:rsidR="001E4610" w:rsidRPr="00901194">
        <w:rPr>
          <w:rFonts w:cs="Times New Roman"/>
        </w:rPr>
        <w:t>gure S3.2</w:t>
      </w:r>
      <w:r w:rsidRPr="00901194">
        <w:rPr>
          <w:rFonts w:cs="Times New Roman"/>
        </w:rPr>
        <w:t xml:space="preserve">H-J). Similar to our observations in the cecum, there were no significant differences in observed metabolite numbers (alpha diversity) between donors, for any given diet (Kruskal-Wallis </w:t>
      </w:r>
      <w:r w:rsidRPr="00901194">
        <w:rPr>
          <w:rFonts w:cs="Times New Roman"/>
          <w:i/>
          <w:iCs/>
        </w:rPr>
        <w:t>q</w:t>
      </w:r>
      <w:r w:rsidRPr="00901194">
        <w:rPr>
          <w:rFonts w:cs="Times New Roman"/>
        </w:rPr>
        <w:t xml:space="preserve">-value&gt;0.05). With regards to the impact of diet for a given donor, unlike our observations in the cecum, here we observed greater alpha diversity in the serum of mice receiving whole grain diet for each donor (Kruskal-Wallis </w:t>
      </w:r>
      <w:r w:rsidRPr="00901194">
        <w:rPr>
          <w:rFonts w:cs="Times New Roman"/>
          <w:i/>
          <w:iCs/>
        </w:rPr>
        <w:t>q</w:t>
      </w:r>
      <w:r w:rsidRPr="00901194">
        <w:rPr>
          <w:rFonts w:cs="Times New Roman"/>
        </w:rPr>
        <w:t xml:space="preserve">-value&lt;0.05 for comparisons to both </w:t>
      </w:r>
      <w:r w:rsidRPr="00901194">
        <w:rPr>
          <w:rFonts w:cs="Times New Roman"/>
        </w:rPr>
        <w:lastRenderedPageBreak/>
        <w:t xml:space="preserve">vegetable and legume diets for SubA and SubC; </w:t>
      </w:r>
      <w:r w:rsidRPr="00901194">
        <w:rPr>
          <w:rFonts w:cs="Times New Roman"/>
          <w:i/>
          <w:iCs/>
        </w:rPr>
        <w:t>q</w:t>
      </w:r>
      <w:r w:rsidRPr="00901194">
        <w:rPr>
          <w:rFonts w:cs="Times New Roman"/>
        </w:rPr>
        <w:t xml:space="preserve">-value&lt;0.05 for comparison to vegetable diet only for SubB; </w:t>
      </w:r>
      <w:r w:rsidR="00380235" w:rsidRPr="00901194">
        <w:rPr>
          <w:rFonts w:cs="Times New Roman"/>
        </w:rPr>
        <w:t>Figure S3.3</w:t>
      </w:r>
      <w:r w:rsidRPr="00901194">
        <w:rPr>
          <w:rFonts w:cs="Times New Roman"/>
        </w:rPr>
        <w:t xml:space="preserve">). </w:t>
      </w:r>
    </w:p>
    <w:p w14:paraId="369F224B" w14:textId="6A4CD563" w:rsidR="0063284A" w:rsidRPr="00901194" w:rsidRDefault="0063284A" w:rsidP="00433996">
      <w:pPr>
        <w:ind w:firstLine="720"/>
        <w:rPr>
          <w:rFonts w:cs="Times New Roman"/>
        </w:rPr>
      </w:pPr>
      <w:r w:rsidRPr="00901194">
        <w:rPr>
          <w:rFonts w:cs="Times New Roman"/>
        </w:rPr>
        <w:t xml:space="preserve">In accordance with the lesser impact of donor and diet on the serum compared to the cecum, fewer microbiota-modulated metabolites significantly differed between donor-diet combinations (13% of serum metabolite features, Kruskal-Wallis </w:t>
      </w:r>
      <w:r w:rsidRPr="00901194">
        <w:rPr>
          <w:rFonts w:cs="Times New Roman"/>
          <w:i/>
          <w:iCs/>
        </w:rPr>
        <w:t>p</w:t>
      </w:r>
      <w:r w:rsidRPr="00901194">
        <w:rPr>
          <w:rFonts w:cs="Times New Roman"/>
        </w:rPr>
        <w:t xml:space="preserve"> &lt; 0.05, FDR-corrected, </w:t>
      </w:r>
      <w:r w:rsidR="00CC38C6" w:rsidRPr="00901194">
        <w:rPr>
          <w:rFonts w:cs="Times New Roman"/>
        </w:rPr>
        <w:t>Figure S3.4</w:t>
      </w:r>
      <w:r w:rsidRPr="00901194">
        <w:rPr>
          <w:rFonts w:cs="Times New Roman"/>
        </w:rPr>
        <w:t>). Annotatable differential molecules belonged to the same Classy</w:t>
      </w:r>
      <w:r w:rsidR="00D34F30" w:rsidRPr="00901194">
        <w:rPr>
          <w:rFonts w:cs="Times New Roman"/>
        </w:rPr>
        <w:t>F</w:t>
      </w:r>
      <w:r w:rsidRPr="00901194">
        <w:rPr>
          <w:rFonts w:cs="Times New Roman"/>
        </w:rPr>
        <w:t>ire</w:t>
      </w:r>
      <w:r w:rsidR="005B5728" w:rsidRPr="00901194">
        <w:rPr>
          <w:rFonts w:cs="Times New Roman"/>
        </w:rPr>
        <w:fldChar w:fldCharType="begin" w:fldLock="1"/>
      </w:r>
      <w:r w:rsidR="00B46EF3" w:rsidRPr="00901194">
        <w:rPr>
          <w:rFonts w:cs="Times New Roman"/>
        </w:rPr>
        <w:instrText>ADDIN CSL_CITATION {"citationItems":[{"id":"ITEM-1","itemData":{"DOI":"10.1186/s13321-016-0174-y","ISSN":"17582946","abstract":"Background: Scientists have long been driven by the desire to describe, organize, classify, and compare objects using taxonomies and/or ontologies. In contrast to biology, geology, and many other scientific disciplines, the world of chemistry still lacks a standardized chemical ontology or taxonomy. Several attempts at chemical classification have been made; but they have mostly been limited to either manual, or semi-automated proof-of-principle applications. This is regrettable as comprehensive chemical classification and description tools could not only improve our understanding of chemistry but also improve the linkage between chemistry and many other fields. For instance, the chemical classification of a compound could help predict its metabolic fate in humans, its druggability or potential hazards associated with it, among others. However, the sheer number (tens of millions of compounds) and complexity of chemical structures is such that any manual classification effort would prove to be near impossible. Results: We have developed a comprehensive, flexible, and computable, purely structure-based chemical taxonomy (ChemOnt), along with a computer program (ClassyFire) that uses only chemical structures and structural features to automatically assign all known chemical compounds to a taxonomy consisting of &gt;4800 different categories. This new chemical taxonomy consists of up to 11 different levels (Kingdom, SuperClass, Class, SubClass, etc.) with each of the categories defined by unambiguous, computable structural rules. Furthermore each category is named using a consensus-based nomenclature and described (in English) based on the characteristic common structural properties of the compounds it contains. The ClassyFire webserver is freely accessible at http://classyfire.wishartlab.com/ . Moreover, a Ruby API version is available at https://bitbucket.org/wishartlab/classyfire_api , which provides programmatic access to the ClassyFire server and database. ClassyFire has been used to annotate over 77 million compounds and has already been integrated into other software packages to automatically generate textual descriptions for, and/or infer biological properties of over 100,000 compounds. Additional examples and applications are provided in this paper. Conclusion: ClassyFire, in combination with ChemOnt (ClassyFire's comprehensive chemical taxonomy), now allows chemists and cheminformaticians to perform large-scale, rapid and automated chemical classific…","author":[{"dropping-particle":"","family":"Djoumbou Feunang","given":"Yannick","non-dropping-particle":"","parse-names":false,"suffix":""},{"dropping-particle":"","family":"Eisner","given":"Roman","non-dropping-particle":"","parse-names":false,"suffix":""},{"dropping-particle":"","family":"Knox","given":"Craig","non-dropping-particle":"","parse-names":false,"suffix":""},{"dropping-particle":"","family":"Chepelev","given":"Leonid","non-dropping-particle":"","parse-names":false,"suffix":""},{"dropping-particle":"","family":"Hastings","given":"Janna","non-dropping-particle":"","parse-names":false,"suffix":""},{"dropping-particle":"","family":"Owen","given":"Gareth","non-dropping-particle":"","parse-names":false,"suffix":""},{"dropping-particle":"","family":"Fahy","given":"Eoin","non-dropping-particle":"","parse-names":false,"suffix":""},{"dropping-particle":"","family":"Steinbeck","given":"Christoph","non-dropping-particle":"","parse-names":false,"suffix":""},{"dropping-particle":"","family":"Subramanian","given":"Shankar","non-dropping-particle":"","parse-names":false,"suffix":""},{"dropping-particle":"","family":"Bolton","given":"Evan","non-dropping-particle":"","parse-names":false,"suffix":""},{"dropping-particle":"","family":"Greiner","given":"Russell","non-dropping-particle":"","parse-names":false,"suffix":""},{"dropping-particle":"","family":"Wishart","given":"David S.","non-dropping-particle":"","parse-names":false,"suffix":""}],"container-title":"Journal of Cheminformatics","id":"ITEM-1","issue":"1","issued":{"date-parts":[["2016"]]},"page":"1-20","publisher":"Springer International Publishing","title":"ClassyFire: automated chemical classification with a comprehensive, computable taxonomy","type":"article-journal","volume":"8"},"uris":["http://www.mendeley.com/documents/?uuid=d55f0c48-9474-4c41-a9bf-4b7a92dc6877"]}],"mendeley":{"formattedCitation":"&lt;sup&gt;104&lt;/sup&gt;","plainTextFormattedCitation":"104","previouslyFormattedCitation":"&lt;sup&gt;104&lt;/sup&gt;"},"properties":{"noteIndex":0},"schema":"https://github.com/citation-style-language/schema/raw/master/csl-citation.json"}</w:instrText>
      </w:r>
      <w:r w:rsidR="005B5728" w:rsidRPr="00901194">
        <w:rPr>
          <w:rFonts w:cs="Times New Roman"/>
        </w:rPr>
        <w:fldChar w:fldCharType="separate"/>
      </w:r>
      <w:r w:rsidR="005B5728" w:rsidRPr="00901194">
        <w:rPr>
          <w:rFonts w:cs="Times New Roman"/>
          <w:noProof/>
          <w:vertAlign w:val="superscript"/>
        </w:rPr>
        <w:t>104</w:t>
      </w:r>
      <w:r w:rsidR="005B5728" w:rsidRPr="00901194">
        <w:rPr>
          <w:rFonts w:cs="Times New Roman"/>
        </w:rPr>
        <w:fldChar w:fldCharType="end"/>
      </w:r>
      <w:r w:rsidRPr="00901194">
        <w:rPr>
          <w:rFonts w:cs="Times New Roman"/>
        </w:rPr>
        <w:t xml:space="preserve"> subclasses as in the cecum, including lipids (bile acids, phospholipids, acylcarnitines) and amino acids, peptides and analogs. Likewise, as in the cecum, many differential metabolites were characteristic of a given donor + diet combination (</w:t>
      </w:r>
      <w:r w:rsidR="00CC38C6" w:rsidRPr="00901194">
        <w:rPr>
          <w:rFonts w:cs="Times New Roman"/>
        </w:rPr>
        <w:t>Figure S3.4</w:t>
      </w:r>
      <w:r w:rsidRPr="00901194">
        <w:rPr>
          <w:rFonts w:cs="Times New Roman"/>
        </w:rPr>
        <w:t>, gold boxes). However, only 12 metabolite features met our significance cutoff for both serum and cecum, including glu-val dipeptide (</w:t>
      </w:r>
      <w:r w:rsidRPr="00901194">
        <w:rPr>
          <w:rFonts w:cs="Times New Roman"/>
          <w:i/>
          <w:iCs/>
        </w:rPr>
        <w:t xml:space="preserve">m/z </w:t>
      </w:r>
      <w:r w:rsidRPr="00901194">
        <w:rPr>
          <w:rFonts w:cs="Times New Roman"/>
        </w:rPr>
        <w:t>247.1282 RT 0.5 min), a structural analog of curcumol (</w:t>
      </w:r>
      <w:r w:rsidRPr="00901194">
        <w:rPr>
          <w:rFonts w:cs="Times New Roman"/>
          <w:i/>
          <w:iCs/>
        </w:rPr>
        <w:t xml:space="preserve">m/z </w:t>
      </w:r>
      <w:r w:rsidRPr="00901194">
        <w:rPr>
          <w:rFonts w:cs="Times New Roman"/>
        </w:rPr>
        <w:t xml:space="preserve">181.158 RT 3.28 min), and </w:t>
      </w:r>
      <w:r w:rsidRPr="00901194">
        <w:rPr>
          <w:rFonts w:cs="Times New Roman"/>
          <w:i/>
          <w:iCs/>
        </w:rPr>
        <w:t xml:space="preserve">m/z </w:t>
      </w:r>
      <w:r w:rsidRPr="00901194">
        <w:rPr>
          <w:rFonts w:cs="Times New Roman"/>
        </w:rPr>
        <w:t xml:space="preserve">471.3449 RT 2.75 min, structurally related to glochidone (triterpenoid). For most of these overlapping features, however, the impact of diet differed between serum and cecum. Exceptions included: </w:t>
      </w:r>
      <w:r w:rsidRPr="00901194">
        <w:rPr>
          <w:rFonts w:cs="Times New Roman"/>
          <w:i/>
          <w:iCs/>
        </w:rPr>
        <w:t xml:space="preserve">m/z </w:t>
      </w:r>
      <w:r w:rsidRPr="00901194">
        <w:rPr>
          <w:rFonts w:cs="Times New Roman"/>
        </w:rPr>
        <w:t xml:space="preserve">471.3449 RT 2.75 min, which was associated with the legume diet in both sample types; </w:t>
      </w:r>
      <w:r w:rsidRPr="00901194">
        <w:rPr>
          <w:rFonts w:cs="Times New Roman"/>
          <w:i/>
          <w:iCs/>
        </w:rPr>
        <w:t xml:space="preserve">m/z </w:t>
      </w:r>
      <w:r w:rsidRPr="00901194">
        <w:rPr>
          <w:rFonts w:cs="Times New Roman"/>
        </w:rPr>
        <w:t>445.2936 RT 2.97</w:t>
      </w:r>
      <w:r w:rsidR="000705F4" w:rsidRPr="00901194">
        <w:rPr>
          <w:rFonts w:cs="Times New Roman"/>
        </w:rPr>
        <w:t xml:space="preserve"> min</w:t>
      </w:r>
      <w:r w:rsidRPr="00901194">
        <w:rPr>
          <w:rFonts w:cs="Times New Roman"/>
        </w:rPr>
        <w:t xml:space="preserve">, which was associated with whole grain diets for both cecum and serum; </w:t>
      </w:r>
      <w:r w:rsidRPr="00901194">
        <w:rPr>
          <w:rFonts w:cs="Times New Roman"/>
          <w:i/>
          <w:iCs/>
        </w:rPr>
        <w:t xml:space="preserve">m/z </w:t>
      </w:r>
      <w:r w:rsidRPr="00901194">
        <w:rPr>
          <w:rFonts w:cs="Times New Roman"/>
        </w:rPr>
        <w:t xml:space="preserve">447.309 RT 3 min, which was also associated with whole grain diet for both sample types; and glu-val dipeptide, which was lower in the whole grain diet compared to the legume diet for SubA and SubC (Kruskal-Wallis with post-hoc Dunn’s test, FDR corrected, </w:t>
      </w:r>
      <w:r w:rsidRPr="00901194">
        <w:rPr>
          <w:rFonts w:cs="Times New Roman"/>
          <w:i/>
          <w:iCs/>
        </w:rPr>
        <w:t>p</w:t>
      </w:r>
      <w:r w:rsidRPr="00901194">
        <w:rPr>
          <w:rFonts w:cs="Times New Roman"/>
        </w:rPr>
        <w:t xml:space="preserve"> &lt; 0.05).</w:t>
      </w:r>
      <w:r w:rsidRPr="00901194">
        <w:rPr>
          <w:rFonts w:cs="Times New Roman"/>
          <w:b/>
          <w:bCs/>
        </w:rPr>
        <w:t xml:space="preserve"> </w:t>
      </w:r>
      <w:r w:rsidRPr="00901194">
        <w:rPr>
          <w:rFonts w:cs="Times New Roman"/>
        </w:rPr>
        <w:t>This indicates the importance of considering local tissue metabolism when analyzing dietary and microbiome composition consequences.</w:t>
      </w:r>
    </w:p>
    <w:p w14:paraId="16244233" w14:textId="5F5C11D7" w:rsidR="00A55025" w:rsidRPr="00901194" w:rsidRDefault="00A55025" w:rsidP="00A55025">
      <w:pPr>
        <w:pStyle w:val="Sub-ChapterHading"/>
      </w:pPr>
      <w:bookmarkStart w:id="84" w:name="_Toc134185977"/>
      <w:r w:rsidRPr="00901194">
        <w:t>3.5 CONCLUSIONS</w:t>
      </w:r>
      <w:bookmarkEnd w:id="84"/>
    </w:p>
    <w:p w14:paraId="14AA471B" w14:textId="0E5D6856" w:rsidR="00383C83" w:rsidRPr="00901194" w:rsidRDefault="00F6629E" w:rsidP="00F6629E">
      <w:pPr>
        <w:rPr>
          <w:rFonts w:eastAsiaTheme="majorEastAsia" w:cs="Times New Roman"/>
          <w:b/>
          <w:bCs/>
          <w:sz w:val="26"/>
          <w:szCs w:val="24"/>
        </w:rPr>
      </w:pPr>
      <w:r w:rsidRPr="00901194">
        <w:rPr>
          <w:rFonts w:cs="Times New Roman"/>
        </w:rPr>
        <w:tab/>
        <w:t xml:space="preserve">Our results demonstrate varying </w:t>
      </w:r>
      <w:r w:rsidR="002F7483" w:rsidRPr="00901194">
        <w:rPr>
          <w:rFonts w:cs="Times New Roman"/>
        </w:rPr>
        <w:t xml:space="preserve">mouse </w:t>
      </w:r>
      <w:r w:rsidR="00050D80" w:rsidRPr="00901194">
        <w:rPr>
          <w:rFonts w:cs="Times New Roman"/>
        </w:rPr>
        <w:t xml:space="preserve">serum and cecum metabolomic consequences </w:t>
      </w:r>
      <w:r w:rsidR="00477BB2" w:rsidRPr="00901194">
        <w:rPr>
          <w:rFonts w:cs="Times New Roman"/>
        </w:rPr>
        <w:t xml:space="preserve">of </w:t>
      </w:r>
      <w:r w:rsidR="00050D80" w:rsidRPr="00901194">
        <w:rPr>
          <w:rFonts w:cs="Times New Roman"/>
        </w:rPr>
        <w:t xml:space="preserve">diet-caused microbial responses. Through an emphasis on the molecules modulated by the gut </w:t>
      </w:r>
      <w:r w:rsidR="00050D80" w:rsidRPr="00901194">
        <w:rPr>
          <w:rFonts w:cs="Times New Roman"/>
        </w:rPr>
        <w:lastRenderedPageBreak/>
        <w:t xml:space="preserve">microbiome, specific diet- and/or microbiome community donor- effects on these metabolomes can be examined. Specific diets, such as the whole grain diet, exhibited </w:t>
      </w:r>
      <w:r w:rsidR="002F7483" w:rsidRPr="00901194">
        <w:rPr>
          <w:rFonts w:cs="Times New Roman"/>
        </w:rPr>
        <w:t>strong influences over both metabolomes and resulted in the greatest number of metabolites across donors. Meanwhile, specific donor effects were mixed and were often informed by diet</w:t>
      </w:r>
      <w:r w:rsidR="00EE088F" w:rsidRPr="00901194">
        <w:rPr>
          <w:rFonts w:cs="Times New Roman"/>
        </w:rPr>
        <w:t xml:space="preserve">. These investigations of donor-diet effects show the strong influence of individual behaviors, especially diet, in shaping metabolomes. Furthermore, the </w:t>
      </w:r>
      <w:r w:rsidR="00581C88">
        <w:rPr>
          <w:rFonts w:cs="Times New Roman"/>
        </w:rPr>
        <w:t xml:space="preserve">specific diet-driven metabolomes </w:t>
      </w:r>
      <w:r w:rsidR="00EE088F" w:rsidRPr="00901194">
        <w:rPr>
          <w:rFonts w:cs="Times New Roman"/>
        </w:rPr>
        <w:t>reveal how diet type, quality, and origin result in different metabolomic phenotypes</w:t>
      </w:r>
      <w:r w:rsidR="00BF76DB" w:rsidRPr="00901194">
        <w:rPr>
          <w:rFonts w:cs="Times New Roman"/>
        </w:rPr>
        <w:t xml:space="preserve"> and illustrate potential pathways for exploring diet-health relationship</w:t>
      </w:r>
      <w:r w:rsidR="00581C88">
        <w:rPr>
          <w:rFonts w:cs="Times New Roman"/>
        </w:rPr>
        <w:t>s</w:t>
      </w:r>
      <w:r w:rsidR="00BF76DB" w:rsidRPr="00901194">
        <w:rPr>
          <w:rFonts w:cs="Times New Roman"/>
        </w:rPr>
        <w:t xml:space="preserve">. </w:t>
      </w:r>
      <w:r w:rsidR="00FA26BE" w:rsidRPr="00901194">
        <w:rPr>
          <w:rFonts w:cs="Times New Roman"/>
        </w:rPr>
        <w:t xml:space="preserve">Together, these results illustrate specific, individualized responses to high fat and high fiber diets through the gut microbiome, subsequent cecum and serum metabolomic reactions, and how these layers of biology relate together. </w:t>
      </w:r>
      <w:r w:rsidR="00B92DF9" w:rsidRPr="00901194">
        <w:rPr>
          <w:rFonts w:cs="Times New Roman"/>
        </w:rPr>
        <w:t>By conducting this study under controlled settings with mice</w:t>
      </w:r>
      <w:r w:rsidR="00FA26BE" w:rsidRPr="00901194">
        <w:rPr>
          <w:rFonts w:cs="Times New Roman"/>
        </w:rPr>
        <w:t>, the results gleaned from this project represent promising avenues for exploring diet, microbiome, and metabolome relationships in humans. Overall, this project offers a systematic approach for investigating personalized health and metabolomic responses to diets.</w:t>
      </w:r>
      <w:r w:rsidR="00383C83" w:rsidRPr="00901194">
        <w:rPr>
          <w:rFonts w:cs="Times New Roman"/>
        </w:rPr>
        <w:br w:type="page"/>
      </w:r>
    </w:p>
    <w:p w14:paraId="6A2B376C" w14:textId="423B1561" w:rsidR="00383C83" w:rsidRPr="00901194" w:rsidRDefault="00383C83" w:rsidP="00383C83">
      <w:pPr>
        <w:pStyle w:val="ChapterHeading1"/>
      </w:pPr>
      <w:bookmarkStart w:id="85" w:name="_Toc134185978"/>
      <w:r w:rsidRPr="00901194">
        <w:lastRenderedPageBreak/>
        <w:t>Chapter 4 - Mass Spectrometry Database of Archaeologically Relevant Plants</w:t>
      </w:r>
      <w:bookmarkEnd w:id="85"/>
    </w:p>
    <w:p w14:paraId="1691DC39" w14:textId="09A6B11C" w:rsidR="00005504" w:rsidRPr="00901194" w:rsidRDefault="00383C83" w:rsidP="00383C83">
      <w:pPr>
        <w:pStyle w:val="ChapterHeading1"/>
        <w:rPr>
          <w:vertAlign w:val="superscript"/>
        </w:rPr>
      </w:pPr>
      <w:bookmarkStart w:id="86" w:name="_Toc134185979"/>
      <w:r w:rsidRPr="00901194">
        <w:t>for Organic Residue Analysis</w:t>
      </w:r>
      <w:r w:rsidR="00005504" w:rsidRPr="00901194">
        <w:rPr>
          <w:rStyle w:val="FootnoteReference"/>
        </w:rPr>
        <w:footnoteReference w:id="4"/>
      </w:r>
      <w:bookmarkEnd w:id="86"/>
    </w:p>
    <w:p w14:paraId="258B6D07" w14:textId="40F9EABE" w:rsidR="00005504" w:rsidRPr="00901194" w:rsidRDefault="00005504" w:rsidP="00005504">
      <w:pPr>
        <w:pStyle w:val="Sub-ChapterHading"/>
      </w:pPr>
      <w:bookmarkStart w:id="87" w:name="_Toc134185980"/>
      <w:r w:rsidRPr="00901194">
        <w:t>4.1 ABSTRACT</w:t>
      </w:r>
      <w:bookmarkEnd w:id="87"/>
    </w:p>
    <w:p w14:paraId="6D298377" w14:textId="5642BBA4" w:rsidR="00F17A42" w:rsidRPr="00901194" w:rsidRDefault="00F17A42" w:rsidP="00F17A42">
      <w:pPr>
        <w:ind w:firstLine="720"/>
        <w:rPr>
          <w:rFonts w:cs="Times New Roman"/>
          <w:b/>
          <w:bCs/>
        </w:rPr>
      </w:pPr>
      <w:r w:rsidRPr="00901194">
        <w:rPr>
          <w:rFonts w:cs="Times New Roman"/>
        </w:rPr>
        <w:t xml:space="preserve">Organic residue analysis in archaeology using mass spectrometry (MS) is a robust technique to detect and discuss ancient biomolecules for reconstructing past cultural behavior, such as diet composition and even specific recipes. Studies often involve targeted MS analyses of known or suspected substances, while untargeted analyses characterizing broad ranges of molecules are less common despite their potential to identify unexpected compounds. Regardless of approach, residue studies depend on the quality of reference samples in metabolomics databases, especially with regards to dietary substances like plants, but such reference collections are rarely accessible. This project bridges this gap by generating an untargeted MS-based metabolomics dataset of wild and domesticated plant species from the Americas with significance to </w:t>
      </w:r>
      <w:r w:rsidR="001A2367" w:rsidRPr="00901194">
        <w:rPr>
          <w:rFonts w:cs="Times New Roman"/>
        </w:rPr>
        <w:t>archaeological studies</w:t>
      </w:r>
      <w:r w:rsidRPr="00901194">
        <w:rPr>
          <w:rFonts w:cs="Times New Roman"/>
        </w:rPr>
        <w:t>, as well as Old World plants. Through generating novel high-quality public plant references from different spatial and temporal contexts, other researchers can compare their unknown samples against our data, increasing molecules identified from plant residues. Moreover, the multi-regional structuring of the plant database allows archaeologists to provide more contextualization to analyses without biasing results to a single region. These data also create opportunities for researchers to explore deeper questions about past and present plant use, regardless of experimental conditions or archaeological context.</w:t>
      </w:r>
    </w:p>
    <w:p w14:paraId="7C5DCA1C" w14:textId="5623BEC0" w:rsidR="00F17A42" w:rsidRPr="00901194" w:rsidRDefault="00005504" w:rsidP="00005504">
      <w:pPr>
        <w:pStyle w:val="Sub-ChapterHading"/>
      </w:pPr>
      <w:bookmarkStart w:id="88" w:name="_Toc134185981"/>
      <w:r w:rsidRPr="00901194">
        <w:lastRenderedPageBreak/>
        <w:t>4.2 INTRODUCTION</w:t>
      </w:r>
      <w:bookmarkEnd w:id="88"/>
    </w:p>
    <w:p w14:paraId="247ABF16" w14:textId="0DB01CA3" w:rsidR="00C93323" w:rsidRPr="00901194" w:rsidRDefault="00F856A7" w:rsidP="005D1A3D">
      <w:pPr>
        <w:ind w:firstLine="360"/>
        <w:rPr>
          <w:rFonts w:cs="Times New Roman"/>
        </w:rPr>
      </w:pPr>
      <w:r w:rsidRPr="00901194">
        <w:rPr>
          <w:rFonts w:cs="Times New Roman"/>
        </w:rPr>
        <w:t xml:space="preserve">Archaeological residue analysis is a robust technique for exploring past human cultural behavior. This </w:t>
      </w:r>
      <w:r w:rsidR="00F810D1" w:rsidRPr="00901194">
        <w:rPr>
          <w:rFonts w:cs="Times New Roman"/>
        </w:rPr>
        <w:t xml:space="preserve">technique </w:t>
      </w:r>
      <w:r w:rsidRPr="00901194">
        <w:rPr>
          <w:rFonts w:cs="Times New Roman"/>
        </w:rPr>
        <w:t>involves any series of biomolecular analyses of organic residues preserved on archaeological samples</w:t>
      </w:r>
      <w:r w:rsidRPr="00901194">
        <w:rPr>
          <w:rFonts w:cs="Times New Roman"/>
        </w:rPr>
        <w:fldChar w:fldCharType="begin" w:fldLock="1"/>
      </w:r>
      <w:r w:rsidR="005D1A3D" w:rsidRPr="00901194">
        <w:rPr>
          <w:rFonts w:cs="Times New Roman"/>
        </w:rPr>
        <w:instrText>ADDIN CSL_CITATION {"citationItems":[{"id":"ITEM-1","itemData":{"DOI":"10.1111/j.1475-4754.2008.00446.x","ISBN":"0003-813X","ISSN":"0003813X","PMID":"18787261","abstract":"Organic residue analysis utilizes analytical organic chemical techniques to identify the nature and origins of organic remains that cannot be characterized using traditional techniques of archaeological investigation (because they are either amorphous or invisible). The field is founded upon the principle that the biomolecular, or biochemical, components of organic materials associated with human activity survive in a wide variety of locations and deposits at archaeological sites. The archaeological information contained in organic residues is represented by the biomolecular components of the natural products that contribute to the formation of a given residue. By applying appropriate separation (chromatographic) and identification (mass spectrometric) techniques, the preserved, and altered, biomolecular components of such residues can be revealed. Once identified, the Archaeological Biomarker Concept can be applied, wherein the structure and even isotopic composition(s) of a given biomolecule or suite of biomolecules (the ‘chemical fingerprint’) can be related to the compositions of organisms exploited by humans in the past. As the organic residue field emerges from its pre-paradigmatic phase, and the organic residue revolution gathers pace, the way is open for challenging many long-held archaeological hypotheses and offering new perspectives on the study of human activity in the past.","author":[{"dropping-particle":"","family":"Evershed","given":"R. P.","non-dropping-particle":"","parse-names":false,"suffix":""}],"container-title":"Archaeometry","id":"ITEM-1","issue":"6","issued":{"date-parts":[["2008"]]},"note":"Good review of residue analysis\n\nCovers different sample types/materials and the common biomarkers and chemical classes associated w/ these different materials\n\nReview article discussing archaeological organic residue analysis, focusing on major approaches (biomarker approach and metabolic fingerprinting), molecular preservation, and variations across different archaeological materials/environments. Emphasis the biomarker approach should be driven by specific hypotheses and used to complement other archaeological evidence","page":"895-924","title":"Organic residue analysis in archaeology: The archaeological biomarker revolution","type":"article-journal","volume":"50"},"uris":["http://www.mendeley.com/documents/?uuid=c1e02908-6139-42c6-856d-c0c20d1e6141"]},{"id":"ITEM-2","itemData":{"DOI":"10.1007/s10816-015-9253-z","ISBN":"1072-5369 1573-7764","ISSN":"15737764","abstract":"Working hypotheses, which draw upon as many relevant disciplines as possible to derive the maximum information from a very limited database, are key to the highly interdisciplinary field of organic residue analysis in archaeology, a branch of biomolecular archaeology. Archaeology and chemistry are most important for effectively developing and testing such hypotheses, but botany, zoology, geology, etc. also need to be taken into account. Archaeologically, the goal is to obtain as many relevant samples as possible from the best preserved and dated contexts, which have been subjected to the least degradation and disturbance by later natural processes and human handling, including washing and conservation treatment. Chemically, molecular biomarkers of natural products need to be defined and identified by the best and most appropriate techniques, together with bioinformatics searches and assessment of degradation. With ever-improving techniques and new data, previously analyzed samples need to be retested and hypotheses possibly reformulated. Consideration of three case studies illustrates this holistic approach to inductive hypothesis generation and deductive testing: (1) new chemical findings that attest to grape wine in amphoras on board the 14th c. B.C. Uluburun ship, the earliest recorded Mediterranean wreck; (2) recently published research on beeswax/mead in Chalcolithic Israel and Neolithic China and Poland; and (3) recent articles on milk products from 2nd millennium B.C. Central Asia and Neolithic Poland. Potential pitfalls leading to weak hypotheses and mistaken conclusions are described, and a more productive approach is proposed.","author":[{"dropping-particle":"","family":"McGovern","given":"Patrick E.","non-dropping-particle":"","parse-names":false,"suffix":""},{"dropping-particle":"","family":"Hall","given":"Gretchen R.","non-dropping-particle":"","parse-names":false,"suffix":""}],"container-title":"Journal of Archaeological Method and Theory","id":"ITEM-2","issue":"2","issued":{"date-parts":[["2016"]]},"note":"Summary: Part review and part case study, covering where the field of residue analysis is in terms of theories, methods, and challenges. Emphasize that data must be re-examined with specific working hypotheses, the biomarker approach is useful in some contexts and not others, and some best practices for methods (specific hypotheses, use controls/standards and multiple samples, be wary of database matches, etc.). Present 3 case studies highlighting the strengths and pitfalls of current residue analysis: 1. Wine residues in amphora from Uluburun shipwreck (bad); 2. Determining beeswax, honey, and/or mead in Chalcolithic Israeli pottery (decent); 3. Ancient milk and cheese bomarkers in mummies from ancient China (mixed feelings)\nAssessment: Good for background about approaches and methods -- present good critiques of the biomarker approach and efficacy of different methods, and their case studies demonstrate the necessity of clear research-oriented hypotheses from the ground-up in a project.\n\n\nProvides an update with where organic residue analysis is at in the field, and uses 3 case studies as examples of how to generate inductive hypotheses and deductive testing\n\nOutlines 12 specific criteria for dvlp'ing and testing working hypotheses for residue analysis: 1. Utilize other arch data (oral traditions, geography, ewritten text, etc.); 2. Experimental arch; 3. Absolute certainty or rejection of a hypothesis is impossible; 4. Must consider how residues are altered by humans; 5. Artifacts/residues should be dated as precisely as possible; 6. Large databases are good, but only if data is high quality; 7. Working hypotheses should be constantly reevaluated; 8. Method dvlp't is crucial; 9 Discovering unique, well-preserved biomarkers is crucial; 10. Biomarkers should be specific to their context; 11. Control samples must be used; 12. Use multiple techniques if possible","page":"592-622","title":"Charting a Future Course for Organic Residue Analysis in Archaeology","type":"article-journal","volume":"23"},"uris":["http://www.mendeley.com/documents/?uuid=eb26e7ea-f518-4644-b884-6cbad51f33db"]}],"mendeley":{"formattedCitation":"&lt;sup&gt;21,57&lt;/sup&gt;","plainTextFormattedCitation":"21,57","previouslyFormattedCitation":"&lt;sup&gt;21,57&lt;/sup&gt;"},"properties":{"noteIndex":0},"schema":"https://github.com/citation-style-language/schema/raw/master/csl-citation.json"}</w:instrText>
      </w:r>
      <w:r w:rsidRPr="00901194">
        <w:rPr>
          <w:rFonts w:cs="Times New Roman"/>
        </w:rPr>
        <w:fldChar w:fldCharType="separate"/>
      </w:r>
      <w:r w:rsidRPr="00901194">
        <w:rPr>
          <w:rFonts w:cs="Times New Roman"/>
          <w:noProof/>
          <w:vertAlign w:val="superscript"/>
        </w:rPr>
        <w:t>21,57</w:t>
      </w:r>
      <w:r w:rsidRPr="00901194">
        <w:rPr>
          <w:rFonts w:cs="Times New Roman"/>
        </w:rPr>
        <w:fldChar w:fldCharType="end"/>
      </w:r>
      <w:r w:rsidR="00F810D1" w:rsidRPr="00901194">
        <w:rPr>
          <w:rFonts w:cs="Times New Roman"/>
        </w:rPr>
        <w:t>, usually focused on identifying chemical compounds within the preserved residue that might indicate the original residue’s identity and contents</w:t>
      </w:r>
      <w:r w:rsidR="005D1A3D" w:rsidRPr="00901194">
        <w:rPr>
          <w:rFonts w:cs="Times New Roman"/>
        </w:rPr>
        <w:fldChar w:fldCharType="begin" w:fldLock="1"/>
      </w:r>
      <w:r w:rsidR="005D1A3D" w:rsidRPr="00901194">
        <w:rPr>
          <w:rFonts w:cs="Times New Roman"/>
        </w:rPr>
        <w:instrText>ADDIN CSL_CITATION {"citationItems":[{"id":"ITEM-1","itemData":{"DOI":"10.1007/s10816-015-9253-z","ISBN":"1072-5369 1573-7764","ISSN":"15737764","abstract":"Working hypotheses, which draw upon as many relevant disciplines as possible to derive the maximum information from a very limited database, are key to the highly interdisciplinary field of organic residue analysis in archaeology, a branch of biomolecular archaeology. Archaeology and chemistry are most important for effectively developing and testing such hypotheses, but botany, zoology, geology, etc. also need to be taken into account. Archaeologically, the goal is to obtain as many relevant samples as possible from the best preserved and dated contexts, which have been subjected to the least degradation and disturbance by later natural processes and human handling, including washing and conservation treatment. Chemically, molecular biomarkers of natural products need to be defined and identified by the best and most appropriate techniques, together with bioinformatics searches and assessment of degradation. With ever-improving techniques and new data, previously analyzed samples need to be retested and hypotheses possibly reformulated. Consideration of three case studies illustrates this holistic approach to inductive hypothesis generation and deductive testing: (1) new chemical findings that attest to grape wine in amphoras on board the 14th c. B.C. Uluburun ship, the earliest recorded Mediterranean wreck; (2) recently published research on beeswax/mead in Chalcolithic Israel and Neolithic China and Poland; and (3) recent articles on milk products from 2nd millennium B.C. Central Asia and Neolithic Poland. Potential pitfalls leading to weak hypotheses and mistaken conclusions are described, and a more productive approach is proposed.","author":[{"dropping-particle":"","family":"McGovern","given":"Patrick E.","non-dropping-particle":"","parse-names":false,"suffix":""},{"dropping-particle":"","family":"Hall","given":"Gretchen R.","non-dropping-particle":"","parse-names":false,"suffix":""}],"container-title":"Journal of Archaeological Method and Theory","id":"ITEM-1","issue":"2","issued":{"date-parts":[["2016"]]},"note":"Summary: Part review and part case study, covering where the field of residue analysis is in terms of theories, methods, and challenges. Emphasize that data must be re-examined with specific working hypotheses, the biomarker approach is useful in some contexts and not others, and some best practices for methods (specific hypotheses, use controls/standards and multiple samples, be wary of database matches, etc.). Present 3 case studies highlighting the strengths and pitfalls of current residue analysis: 1. Wine residues in amphora from Uluburun shipwreck (bad); 2. Determining beeswax, honey, and/or mead in Chalcolithic Israeli pottery (decent); 3. Ancient milk and cheese bomarkers in mummies from ancient China (mixed feelings)\nAssessment: Good for background about approaches and methods -- present good critiques of the biomarker approach and efficacy of different methods, and their case studies demonstrate the necessity of clear research-oriented hypotheses from the ground-up in a project.\n\n\nProvides an update with where organic residue analysis is at in the field, and uses 3 case studies as examples of how to generate inductive hypotheses and deductive testing\n\nOutlines 12 specific criteria for dvlp'ing and testing working hypotheses for residue analysis: 1. Utilize other arch data (oral traditions, geography, ewritten text, etc.); 2. Experimental arch; 3. Absolute certainty or rejection of a hypothesis is impossible; 4. Must consider how residues are altered by humans; 5. Artifacts/residues should be dated as precisely as possible; 6. Large databases are good, but only if data is high quality; 7. Working hypotheses should be constantly reevaluated; 8. Method dvlp't is crucial; 9 Discovering unique, well-preserved biomarkers is crucial; 10. Biomarkers should be specific to their context; 11. Control samples must be used; 12. Use multiple techniques if possible","page":"592-622","title":"Charting a Future Course for Organic Residue Analysis in Archaeology","type":"article-journal","volume":"23"},"uris":["http://www.mendeley.com/documents/?uuid=eb26e7ea-f518-4644-b884-6cbad51f33db"]},{"id":"ITEM-2","itemData":{"DOI":"10.1016/j.jas.2021.105397","ISSN":"10959238","abstract":"The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Science","id":"ITEM-2","issue":"August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mendeley":{"formattedCitation":"&lt;sup&gt;23,57&lt;/sup&gt;","plainTextFormattedCitation":"23,57","previouslyFormattedCitation":"&lt;sup&gt;23,57&lt;/sup&gt;"},"properties":{"noteIndex":0},"schema":"https://github.com/citation-style-language/schema/raw/master/csl-citation.json"}</w:instrText>
      </w:r>
      <w:r w:rsidR="005D1A3D" w:rsidRPr="00901194">
        <w:rPr>
          <w:rFonts w:cs="Times New Roman"/>
        </w:rPr>
        <w:fldChar w:fldCharType="separate"/>
      </w:r>
      <w:r w:rsidR="005D1A3D" w:rsidRPr="00901194">
        <w:rPr>
          <w:rFonts w:cs="Times New Roman"/>
          <w:noProof/>
          <w:vertAlign w:val="superscript"/>
        </w:rPr>
        <w:t>23,57</w:t>
      </w:r>
      <w:r w:rsidR="005D1A3D" w:rsidRPr="00901194">
        <w:rPr>
          <w:rFonts w:cs="Times New Roman"/>
        </w:rPr>
        <w:fldChar w:fldCharType="end"/>
      </w:r>
      <w:r w:rsidR="005D1A3D" w:rsidRPr="00901194">
        <w:rPr>
          <w:rFonts w:cs="Times New Roman"/>
        </w:rPr>
        <w:t xml:space="preserve">. </w:t>
      </w:r>
      <w:r w:rsidR="00A26A35" w:rsidRPr="00901194">
        <w:rPr>
          <w:rFonts w:cs="Times New Roman"/>
        </w:rPr>
        <w:t>Sample types vary in residue analyses can include bone</w:t>
      </w:r>
      <w:r w:rsidR="00A26A35" w:rsidRPr="00901194">
        <w:rPr>
          <w:rFonts w:cs="Times New Roman"/>
        </w:rPr>
        <w:fldChar w:fldCharType="begin" w:fldLock="1"/>
      </w:r>
      <w:r w:rsidR="00CC184B" w:rsidRPr="00901194">
        <w:rPr>
          <w:rFonts w:cs="Times New Roman"/>
        </w:rPr>
        <w:instrText>ADDIN CSL_CITATION {"citationItems":[{"id":"ITEM-1","itemData":{"DOI":"10.14237/ebl.6.1.2015.294.","ISBN":"2159-8126","ISSN":"2159-8126","abstract":"Identification of protein residues from prehistoric cooking pottery using mass spectrometry is challenging because proteins are removed from original tissues, are degraded from cooking, may be poorly preserved due to diagenesis, and occur in a palimpsest of exogenous soil proteins. In contrast, bone proteins are abundant and well preserved. This research is part of a larger method-development project for innovation and improvement of liquid chromatography – mass spectrometry analysis of protein residues from cooking pottery; here we validate the potential of our extraction and characterization approach via application to ancient bone proteins. Because of its preservation potential for proteins and given that our approach is destructive, ancient bone identified via skeletal morphology represents an appropriate verification target. Proteins were identified from zooarchaeological turkey (Meleagris gallopavo Linnaeus Phasianidae), rabbit (Lagomorpha), and squirrel (Sciuridae) remains excavated from ancient pueblo archaeological sites in southwestern Colorado using a non-targeted LC-MS/MS approach. The data have been deposited to the ProteomeXchange Consortium with the dataset identifier PXD002440. Improvement of highly sensitive targeted LC-MS/MS approaches is an avenue for future method development related to the study of protein residues from artifacts such as stone tools and pottery.","author":[{"dropping-particle":"","family":"Barker","given":"Andrew","non-dropping-particle":"","parse-names":false,"suffix":""},{"dropping-particle":"","family":"Dombrosky","given":"Jonathan","non-dropping-particle":"","parse-names":false,"suffix":""},{"dropping-particle":"","family":"Chaput","given":"Dale","non-dropping-particle":"","parse-names":false,"suffix":""},{"dropping-particle":"","family":"Venables","given":"Barney","non-dropping-particle":"","parse-names":false,"suffix":""},{"dropping-particle":"","family":"Wolverton","given":"Steve","non-dropping-particle":"","parse-names":false,"suffix":""},{"dropping-particle":"","family":"Stevens","given":"Stanley M","non-dropping-particle":"","parse-names":false,"suffix":""}],"container-title":"Ethnobiology Letters","id":"ITEM-1","issue":"1","issued":{"date-parts":[["2015"]]},"note":"Untargeted LC-MS/MS\nMethods development advocating LC-MS/MS\n\nExamined bone, not ceramics\n\nDeveloped an untargeted LC-MS/MS method for analyzing proteins from bone. Works for this situation, but it does not immediately apply to our research of metabolites from ceramics. They plan to test the method on ceramics, but I do not believe this has been published yet","page":"162-174","title":"Validation of a Non - Targeted LC - MS Approach for Identifying Ancient Proteins : Method Development on Bone to Improve Artifact Residue Analysis","type":"article-journal","volume":"6"},"uris":["http://www.mendeley.com/documents/?uuid=64cd4e35-ccde-4562-9ef5-f308079202fb"]}],"mendeley":{"formattedCitation":"&lt;sup&gt;199&lt;/sup&gt;","plainTextFormattedCitation":"199","previouslyFormattedCitation":"&lt;sup&gt;199&lt;/sup&gt;"},"properties":{"noteIndex":0},"schema":"https://github.com/citation-style-language/schema/raw/master/csl-citation.json"}</w:instrText>
      </w:r>
      <w:r w:rsidR="00A26A35" w:rsidRPr="00901194">
        <w:rPr>
          <w:rFonts w:cs="Times New Roman"/>
        </w:rPr>
        <w:fldChar w:fldCharType="separate"/>
      </w:r>
      <w:r w:rsidR="00975A3E" w:rsidRPr="00901194">
        <w:rPr>
          <w:rFonts w:cs="Times New Roman"/>
          <w:noProof/>
          <w:vertAlign w:val="superscript"/>
        </w:rPr>
        <w:t>199</w:t>
      </w:r>
      <w:r w:rsidR="00A26A35" w:rsidRPr="00901194">
        <w:rPr>
          <w:rFonts w:cs="Times New Roman"/>
        </w:rPr>
        <w:fldChar w:fldCharType="end"/>
      </w:r>
      <w:r w:rsidR="00A26A35" w:rsidRPr="00901194">
        <w:rPr>
          <w:rFonts w:cs="Times New Roman"/>
        </w:rPr>
        <w:t>, soil</w:t>
      </w:r>
      <w:r w:rsidR="00A26A35" w:rsidRPr="00901194">
        <w:rPr>
          <w:rFonts w:cs="Times New Roman"/>
        </w:rPr>
        <w:fldChar w:fldCharType="begin" w:fldLock="1"/>
      </w:r>
      <w:r w:rsidR="00CC184B" w:rsidRPr="00901194">
        <w:rPr>
          <w:rFonts w:cs="Times New Roman"/>
        </w:rPr>
        <w:instrText>ADDIN CSL_CITATION {"citationItems":[{"id":"ITEM-1","itemData":{"DOI":"10.2307/972114","ISBN":"10456635","ISSN":"10456635","abstract":"JSTOR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Society for American Archaeology is collaborating with JSTOR to digitize, preserve and extend access to Latin American Antiquity.","author":[{"dropping-particle":"","family":"Parnell","given":"J Jacob","non-dropping-particle":"","parse-names":false,"suffix":""},{"dropping-particle":"","family":"Terry","given":"Richard E","non-dropping-particle":"","parse-names":false,"suffix":""}],"container-title":"Latin American Antiquity","id":"ITEM-1","issue":"3","issued":{"date-parts":[["2002"]]},"note":"Did NOT use ceramic samples - just soil\n\nSay soil residue analysis can complement artifact residue analysis\n\nActivities in same place leave chemicals after enough time and continual use that can be identified - remains intact","page":"331-342","title":"Soil Chemical Analysis of Ancient Activities in Cerén, El Salvador: A Case Study of a Rapidly Abandoned Site","type":"article-journal","volume":"13"},"uris":["http://www.mendeley.com/documents/?uuid=730b277f-35d7-486a-b41f-f743c388e320"]},{"id":"ITEM-2","itemData":{"DOI":"10.1038/s41598-021-82831-y","ISBN":"0123456789","ISSN":"20452322","PMID":"33574393","abstract":"Small organic molecules, lipids, proteins, and DNA fragments can remain stable over centuries. Powerful and sensitive chemical analysis can therefore be used to characterize ancient remains for classical archaeological studies. This bio-ecological dimension of archaeology can contribute knowledge about several aspects of ancient life, including social organization, daily habits, nutrition, and food storage. Faecal remains (i.e. coprolites) are particularly interesting in this regard, with scientists seeking to identify new faecal markers. Here, we report the analysis of faecal samples from modern-day humans and faecal samples from a discharge pit on the site of the ruins of ancient Pompeii. We propose that bile acids and their gut microbiota oxo-metabolites are the most specific steroid markers for detecting faecal inputs. This is due to their extreme chemical stability and their exclusive occurrence in vertebrate faeces, compared to other ubiquitous sterols and steroids.","author":[{"dropping-particle":"","family":"Porru","given":"Emanuele","non-dropping-particle":"","parse-names":false,"suffix":""},{"dropping-particle":"","family":"Giorgi","given":"Enrico","non-dropping-particle":"","parse-names":false,"suffix":""},{"dropping-particle":"","family":"Turroni","given":"Silvia","non-dropping-particle":"","parse-names":false,"suffix":""},{"dropping-particle":"","family":"Helg","given":"Riccardo","non-dropping-particle":"","parse-names":false,"suffix":""},{"dropping-particle":"","family":"Silani","given":"Michele","non-dropping-particle":"","parse-names":false,"suffix":""},{"dropping-particle":"","family":"Candela","given":"Marco","non-dropping-particle":"","parse-names":false,"suffix":""},{"dropping-particle":"","family":"Fiori","given":"Jessica","non-dropping-particle":"","parse-names":false,"suffix":""},{"dropping-particle":"","family":"Roda","given":"Aldo","non-dropping-particle":"","parse-names":false,"suffix":""}],"container-title":"Scientific Reports","id":"ITEM-2","issue":"1","issued":{"date-parts":[["2021"]]},"note":"Summary: Case study using LC-MS to test for bile acid presence, composition, and ratios in human coprolites from Pompeii compared with modern Italian feces. Study was using this method to demonstrate that coprolites could be distinguished as human through these analyses, which was reported true in their results. \nAssessment: Good case study, but flawed. Methods are fairly minimal and only focuses on the analytical chemistry aspect, doesn't really delve into the archaeological implications, and I wanted to see more discussion on modern vs ancient samples. Still, interesting method and conclusions though.","page":"1-7","publisher":"Nature Publishing Group UK","title":"Bile acids and oxo-metabolites as markers of human faecal input in the ancient Pompeii ruins","type":"article-journal","volume":"11"},"uris":["http://www.mendeley.com/documents/?uuid=4c5250be-9823-4541-b998-539442c97be3"]}],"mendeley":{"formattedCitation":"&lt;sup&gt;200,201&lt;/sup&gt;","plainTextFormattedCitation":"200,201","previouslyFormattedCitation":"&lt;sup&gt;200,201&lt;/sup&gt;"},"properties":{"noteIndex":0},"schema":"https://github.com/citation-style-language/schema/raw/master/csl-citation.json"}</w:instrText>
      </w:r>
      <w:r w:rsidR="00A26A35" w:rsidRPr="00901194">
        <w:rPr>
          <w:rFonts w:cs="Times New Roman"/>
        </w:rPr>
        <w:fldChar w:fldCharType="separate"/>
      </w:r>
      <w:r w:rsidR="00975A3E" w:rsidRPr="00901194">
        <w:rPr>
          <w:rFonts w:cs="Times New Roman"/>
          <w:noProof/>
          <w:vertAlign w:val="superscript"/>
        </w:rPr>
        <w:t>200,201</w:t>
      </w:r>
      <w:r w:rsidR="00A26A35" w:rsidRPr="00901194">
        <w:rPr>
          <w:rFonts w:cs="Times New Roman"/>
        </w:rPr>
        <w:fldChar w:fldCharType="end"/>
      </w:r>
      <w:r w:rsidR="00A26A35" w:rsidRPr="00901194">
        <w:rPr>
          <w:rFonts w:cs="Times New Roman"/>
        </w:rPr>
        <w:t>, and dental calculus</w:t>
      </w:r>
      <w:r w:rsidR="00A26A35" w:rsidRPr="00901194">
        <w:rPr>
          <w:rFonts w:cs="Times New Roman"/>
        </w:rPr>
        <w:fldChar w:fldCharType="begin" w:fldLock="1"/>
      </w:r>
      <w:r w:rsidR="00CC184B" w:rsidRPr="00901194">
        <w:rPr>
          <w:rFonts w:cs="Times New Roman"/>
        </w:rPr>
        <w:instrText>ADDIN CSL_CITATION {"citationItems":[{"id":"ITEM-1","itemData":{"DOI":"10.1007/s00114-012-0942-0","ISSN":"00281042","abstract":"Neanderthals disappeared sometime between 30,000 and 24,000 years ago. Until recently, Neanderthals were understood to have been predominantly meat-eaters; however, a growing body of evidence suggests their diet also included plants. We present the results of a study, in which sequential thermal desorption-gas chromatography-mass spectrometry (TD-GC-MS) and pyrolysis-gas chromatographymass spectrometry (Py-GC-MS) were combined with morphological analysis of plant microfossils, to identify material entrapped in dental calculus from five Neanderthal individuals from the north Spanish site of El Sidrón. Our results provide the first molecular evidence for inhalation of wood-fire smoke and bitumen or oil shale and ingestion of a range of cooked plant foods. We also offer the first evidence for the use of medicinal plants by a Neanderthal individual. The varied use of plants that we have identified suggests that the Neanderthal occupants of El Sidrón had a sophisticated knowledge of their natural surroundings which included the ability to select and use certain plants. © Springer-Verlag 2012.","author":[{"dropping-particle":"","family":"Hardy","given":"Karen","non-dropping-particle":"","parse-names":false,"suffix":""},{"dropping-particle":"","family":"Buckley","given":"Stephen","non-dropping-particle":"","parse-names":false,"suffix":""},{"dropping-particle":"","family":"Collins","given":"Matthew J.","non-dropping-particle":"","parse-names":false,"suffix":""},{"dropping-particle":"","family":"Estalrrich","given":"Almudena","non-dropping-particle":"","parse-names":false,"suffix":""},{"dropping-particle":"","family":"Brothwell","given":"Don","non-dropping-particle":"","parse-names":false,"suffix":""},{"dropping-particle":"","family":"Copeland","given":"Les","non-dropping-particle":"","parse-names":false,"suffix":""},{"dropping-particle":"","family":"García-Tabernero","given":"Antonio","non-dropping-particle":"","parse-names":false,"suffix":""},{"dropping-particle":"","family":"García-Vargas","given":"Samuel","non-dropping-particle":"","parse-names":false,"suffix":""},{"dropping-particle":"","family":"La Rasilla","given":"Marco","non-dropping-particle":"De","parse-names":false,"suffix":""},{"dropping-particle":"","family":"Lalueza-Fox","given":"Carles","non-dropping-particle":"","parse-names":false,"suffix":""},{"dropping-particle":"","family":"Huguet","given":"Rosa","non-dropping-particle":"","parse-names":false,"suffix":""},{"dropping-particle":"","family":"Bastir","given":"Markus","non-dropping-particle":"","parse-names":false,"suffix":""},{"dropping-particle":"","family":"Santamaría","given":"David","non-dropping-particle":"","parse-names":false,"suffix":""},{"dropping-particle":"","family":"Madella","given":"Marco","non-dropping-particle":"","parse-names":false,"suffix":""},{"dropping-particle":"","family":"Wilson","given":"Julie","non-dropping-particle":"","parse-names":false,"suffix":""},{"dropping-particle":"","family":"Cortés","given":"Ángel Fernández","non-dropping-particle":"","parse-names":false,"suffix":""},{"dropping-particle":"","family":"Rosas","given":"Antonio","non-dropping-particle":"","parse-names":false,"suffix":""}],"container-title":"Naturwissenschaften","id":"ITEM-1","issue":"8","issued":{"date-parts":[["2012"]]},"note":"Social article -- talks about medicine practices","page":"617-626","title":"Neanderthal medics? Evidence for food, cooking, and medicinal plants entrapped in dental calculus","type":"article-journal","volume":"99"},"uris":["http://www.mendeley.com/documents/?uuid=6f201d90-afb1-40b3-8bc3-1565535ce2bf"]},{"id":"ITEM-2","itemData":{"DOI":"10.1016/j.jasrep.2018.02.004","author":[{"dropping-particle":"","family":"Eerkens","given":"Jelmer W","non-dropping-particle":"","parse-names":false,"suffix":""},{"dropping-particle":"","family":"Tushingham","given":"Shannon","non-dropping-particle":"","parse-names":false,"suffix":""},{"dropping-particle":"","family":"Brownstein","given":"Korey J","non-dropping-particle":"","parse-names":false,"suffix":""},{"dropping-particle":"","family":"Garibay","given":"Ramona","non-dropping-particle":"","parse-names":false,"suffix":""},{"dropping-particle":"","family":"Perez","given":"Katherine","non-dropping-particle":"","parse-names":false,"suffix":""},{"dropping-particle":"","family":"Murga","given":"Engel","non-dropping-particle":"","parse-names":false,"suffix":""},{"dropping-particle":"","family":"Kaijankoski","given":"Phil","non-dropping-particle":"","parse-names":false,"suffix":""},{"dropping-particle":"","family":"Rosenthal","given":"S","non-dropping-particle":"","parse-names":false,"suffix":""},{"dropping-particle":"","family":"Gang","given":"David R","non-dropping-particle":"","parse-names":false,"suffix":""}],"container-title":"Journal of Archaeological Science: Reports","id":"ITEM-2","issued":{"date-parts":[["2018"]]},"page":"509-515","title":"Dental calculus as a source of ancient alkaloids : Detection of nicotine by LC- MS in calculus samples from the Americas","type":"article-journal","volume":"18"},"uris":["http://www.mendeley.com/documents/?uuid=f2db9da6-b455-489c-831f-dc1a1b82fdf1"]}],"mendeley":{"formattedCitation":"&lt;sup&gt;53,202&lt;/sup&gt;","plainTextFormattedCitation":"53,202","previouslyFormattedCitation":"&lt;sup&gt;53,202&lt;/sup&gt;"},"properties":{"noteIndex":0},"schema":"https://github.com/citation-style-language/schema/raw/master/csl-citation.json"}</w:instrText>
      </w:r>
      <w:r w:rsidR="00A26A35" w:rsidRPr="00901194">
        <w:rPr>
          <w:rFonts w:cs="Times New Roman"/>
        </w:rPr>
        <w:fldChar w:fldCharType="separate"/>
      </w:r>
      <w:r w:rsidR="00975A3E" w:rsidRPr="00901194">
        <w:rPr>
          <w:rFonts w:cs="Times New Roman"/>
          <w:noProof/>
          <w:vertAlign w:val="superscript"/>
        </w:rPr>
        <w:t>53,202</w:t>
      </w:r>
      <w:r w:rsidR="00A26A35" w:rsidRPr="00901194">
        <w:rPr>
          <w:rFonts w:cs="Times New Roman"/>
        </w:rPr>
        <w:fldChar w:fldCharType="end"/>
      </w:r>
      <w:r w:rsidR="00A26A35" w:rsidRPr="00901194">
        <w:rPr>
          <w:rFonts w:cs="Times New Roman"/>
        </w:rPr>
        <w:t>, but ceramics (either intact vessels or fragmented potsherds) are among the most common sample types</w:t>
      </w:r>
      <w:r w:rsidR="00A26A35" w:rsidRPr="00901194">
        <w:rPr>
          <w:rFonts w:cs="Times New Roman"/>
        </w:rPr>
        <w:fldChar w:fldCharType="begin" w:fldLock="1"/>
      </w:r>
      <w:r w:rsidR="00CC184B" w:rsidRPr="00901194">
        <w:rPr>
          <w:rFonts w:cs="Times New Roman"/>
        </w:rPr>
        <w:instrText>ADDIN CSL_CITATION {"citationItems":[{"id":"ITEM-1","itemData":{"DOI":"10.1016/j.jas.2018.03.004","ISSN":"10959238","abstract":"Despite the growing body of evidence demonstrating that proteins can survive for thousands to even millions of years in selected contexts, there are relatively few examples of the successful recovery and identification of archaeological protein residues from ceramic artifacts. Claims of positive results are sometimes contentious and frequently challenged. One source of confusion in the debate is a general lack of consideration for the taphonomic histories of ceramic-bound proteins. To gain insight into this issue, we conducted an integrated, mass spectrometry-based study examining ceramic-bound protein that was experimentally aged over the course of 12 months. Results demonstrate the rapid degradation of proteins, raise questions about the degree to which ceramic-bound proteins can be expected to survive over time, and reveal some of the limitations of non-targeted mass spectrometry-based analyses. Further, by comparing results from our experimentally-aged samples to the those we obtained from a multi-pronged study of archaeological ceramics from the American Southwest, we are able to draw more confident conclusions regarding our lack of meaningful matches in the archaeological samples.","author":[{"dropping-particle":"","family":"Barker","given":"Andrew","non-dropping-particle":"","parse-names":false,"suffix":""},{"dropping-particle":"","family":"Dombrosky","given":"Jonathan","non-dropping-particle":"","parse-names":false,"suffix":""},{"dropping-particle":"","family":"Venables","given":"Barney","non-dropping-particle":"","parse-names":false,"suffix":""},{"dropping-particle":"","family":"Wolverton","given":"Steve","non-dropping-particle":"","parse-names":false,"suffix":""}],"container-title":"Journal of Archaeological Science","id":"ITEM-1","issued":{"date-parts":[["2018"]]},"note":"Argues we need a taphonomic perspective in R.A. - consider how taphonomy affects residues and subsequent analyses\n\nPresents experimental arch case study where they put protein standards on a ceramic vessel and buried it, with regular analyses over the course of a year. \n\nActual studies with recreating taphonomic conditions are essential to R.A. - help compare and understand residue degradation and results\n\nProtocol for sample prep on page 34\n\nRecreated taphonomic conditions on new ceramics over course of a year\n\n\n\n\nPart case study, part review that advocates for greater incorporation of taphonomic processes influencing molecular residues and their preservation; Did experimental archaeology by burying and repeatedly testing ceramic-bound residues over the course of a year. Concluded that negative results must be reported, especially for nontargeted MS ","page":"32-43","publisher":"Elsevier Ltd","title":"Taphonomy and negative results: An integrated approach to ceramic-bound protein residue analysis","type":"article-journal","volume":"94"},"uris":["http://www.mendeley.com/documents/?uuid=3d659a5e-e4f5-42d9-a5f9-4a4faa0adf40"]},{"id":"ITEM-2","itemData":{"DOI":"10.1073/pnas.0812817106","ISSN":"00278424","abstract":"Chemical analyses of organic residues in fragments of ceramic vessels from Pueblo Bonito in Chaco Canyon, New Mexico, reveal theobromine, a biomarker for cacao. With an estimated 800 rooms, Pueblo Bonito is the largest archaeological site in Chaco Canyon and was the center of a large number of interconnected towns and villages spread over northwestern New Mexico. The cacao residues come from pieces of vessels that are likely cylinder jars, special containers occurring almost solely at Pueblo Bonito and deposited in caches at the site. This first known use of cacao drinks north of the Mexican border indicates exchange with cacao cultivators in Mesoamerica in a time frame of about A.D. 1000-1125. The association of cylinder jars and cacao beverages suggests that the Chacoan ritual involving the drinking of cacao was tied to Mesoamerican rituals incorporating cylindrical vases and cacao. The importance of Pueblo Bonito within the Chacoan world likely lies in part with the integration of Mesoamerican ritual, including critical culinary ingredients. © 2009 by The National Academy of Sciences of the USA.","author":[{"dropping-particle":"","family":"Crown","given":"Patricia L.","non-dropping-particle":"","parse-names":false,"suffix":""},{"dropping-particle":"","family":"Hurst","given":"W. Jeffrey","non-dropping-particle":"","parse-names":false,"suffix":""}],"container-title":"Proceedings of the National Academy of Sciences of the United States of America","id":"ITEM-2","issue":"7","issued":{"date-parts":[["2009"]]},"note":"Found theobromine on vessels from Chaco Canyon associated site \n\nDid HPLC-MS. Good article for ref on Chaco Canyon sites. Used standard for class-1 level ID, so it's probably a good example of residue analysis work (except for the sketchy Hershey connection). Needs more MS method detail though","page":"2110-2113","title":"Evidence of cacao use in the Prehispanic American Southwest","type":"article-journal","volume":"106"},"uris":["http://www.mendeley.com/documents/?uuid=6f0232de-17b4-4446-84fe-9cd251a3a583"]},{"id":"ITEM-3","itemData":{"ISBN":"10431691","author":[{"dropping-particle":"","family":"Heron","given":"Carl","non-dropping-particle":"","parse-names":false,"suffix":""},{"dropping-particle":"","family":"Evershed","given":"Richard P","non-dropping-particle":"","parse-names":false,"suffix":""}],"container-title":"Archaeological Method and Theory","id":"ITEM-3","issue":"1993","issued":{"date-parts":[["1993"]]},"note":"Summary: Research article providing basic overview of residue analysis like terminology, concepts (function=/=use), theories, etc. Also addresses concerns with differential molecular preservation (some don't preserve well), integration with archaeological data (need specific research-driven hypotheses informed by other archaeological analyses before analyzing reisudes), firing processes and their effects on preserved molecules, etc.\nAssessment: Good review, but outdated now (in terms of methods). Still very influential for its discussion on residue analysis as a whole.\n\nPaper is largely a lit review of organic residue work in Ceramics thus far\n\nFunction =/= use\n\nOrganic residues can tell us about use, which can infer function, but do not decidedly tell us about function","page":"247-284","title":"The Analysis of Organic Residues and the Study of Pottery Use","type":"article-journal","volume":"5"},"uris":["http://www.mendeley.com/documents/?uuid=fb1cc761-17e7-490b-b62b-000a1daf6bdf"]},{"id":"ITEM-4","itemData":{"DOI":"10.1016/j.jas.2014.07.011","ISBN":"0305-4403","ISSN":"10959238","abstract":"We address the issue of contamination in sampling and storage procedures and the requirements of sample size and controls necessary to assay ceramic vessels for absorbed chemical residues. We focus our discussion on the detection and quantification of the three methylxanthines - caffeine, theobromine and theophylline as a means to infer whether Mississippian and Southwestern vessels had been used for the consumption of a stimulating drink made from the seeds of Theobroma cacao, a tree that grows in the Mesoamerican tropics. Our research detected two statistically differentiated concentration levels of methylxanthines on objects in museum storage: vessels with low levels of methylxanthines from airborne particulates that we attribute to environmental contamination, and vessels with significant higher levels of the methylxanthines that we attribute to the archaeological record reflecting prehistoric cacao consumption. We propose that cacao was imported into the American Midwest/Southeast during the Mississippian platform mound tradition AD 1000-1300 and into the American Southwest during the Chaco Great House tradition AD 900-1200 and the Hohokam platform mound tradition AD 1300-1400. © 2014 Elsevier Ltd.","author":[{"dropping-particle":"","family":"Washburn","given":"Dorothy K.","non-dropping-particle":"","parse-names":false,"suffix":""},{"dropping-particle":"","family":"Washburn","given":"William N.","non-dropping-particle":"","parse-names":false,"suffix":""},{"dropping-particle":"","family":"Shipkova","given":"Petia A.","non-dropping-particle":"","parse-names":false,"suffix":""},{"dropping-particle":"","family":"Pelleymounter","given":"Mary Ann","non-dropping-particle":"","parse-names":false,"suffix":""}],"container-title":"Journal of Archaeological Science","id":"ITEM-4","issue":"1","issued":{"date-parts":[["2014"]]},"note":"Summary: Case study analyzing pottery samples from American Midwest, Southeast, and Southwest testing for methylxanthine biomarkers (caffeine, theobromine, theophylline) associated with cacao. Importantly, they also developed a method for assessing environmental contamination of these products as airborne dust settling on vessels while stored in museum. Found differential levels of methylxanthine concentration based on environmental contamination and prehistoric use, then use these residue results to explore elements of trade networks of cacao.\nAssessment: Great case study. Some of their methods are a little vague (no full MS parameters?), but did use standards and provided MS info/data. Their focus on modern contamination is exemplary and they directly address how many residue projects cannot simply accept the detection of a biomarker as proof of ancient use (even addressing how modern uses of fast food products, smoking, coffee, etc. can impact the efficacy of residue analyses when testing for those molecules). Advocate for the need to refine methods while considering modern environmental contamination\n\nAdvocate a method designed to test for environmental/background contamination on residues. Essentially, airborne particles containing the target biomarker can form on the ceramic as dust, thus altering any results. Argue that RA studies should include controls for environmental contamination (dust) and check whether these controls have equal or higher levels of biomarker than samples.\n\nSimilar to Crown et al. 2015\n\nfirst sentence of intro is a good basic explanation of what RA can offer\n\nSee page 194 for methods: offer a new way to collect samples without damaging sherd","page":"191-207","publisher":"Elsevier Ltd","title":"Chemical analysis of cacao residues in archaeological ceramics from North America: Considerations of contamination, sample size and systematic controls","type":"article-journal","volume":"50"},"uris":["http://www.mendeley.com/documents/?uuid=fb787bc6-415c-4511-892c-875c64bbe34b"]}],"mendeley":{"formattedCitation":"&lt;sup&gt;58,203–205&lt;/sup&gt;","plainTextFormattedCitation":"58,203–205","previouslyFormattedCitation":"&lt;sup&gt;58,203–205&lt;/sup&gt;"},"properties":{"noteIndex":0},"schema":"https://github.com/citation-style-language/schema/raw/master/csl-citation.json"}</w:instrText>
      </w:r>
      <w:r w:rsidR="00A26A35" w:rsidRPr="00901194">
        <w:rPr>
          <w:rFonts w:cs="Times New Roman"/>
        </w:rPr>
        <w:fldChar w:fldCharType="separate"/>
      </w:r>
      <w:r w:rsidR="00975A3E" w:rsidRPr="00901194">
        <w:rPr>
          <w:rFonts w:cs="Times New Roman"/>
          <w:noProof/>
          <w:vertAlign w:val="superscript"/>
        </w:rPr>
        <w:t>58,203–205</w:t>
      </w:r>
      <w:r w:rsidR="00A26A35" w:rsidRPr="00901194">
        <w:rPr>
          <w:rFonts w:cs="Times New Roman"/>
        </w:rPr>
        <w:fldChar w:fldCharType="end"/>
      </w:r>
      <w:r w:rsidR="00A26A35" w:rsidRPr="00901194">
        <w:rPr>
          <w:rFonts w:cs="Times New Roman"/>
        </w:rPr>
        <w:t xml:space="preserve">. Through determining the chemical makeup of an organic residue, researchers can explore how the </w:t>
      </w:r>
      <w:r w:rsidR="005D1A3D" w:rsidRPr="00901194">
        <w:rPr>
          <w:rFonts w:cs="Times New Roman"/>
        </w:rPr>
        <w:t xml:space="preserve">archaeological </w:t>
      </w:r>
      <w:r w:rsidR="00A26A35" w:rsidRPr="00901194">
        <w:rPr>
          <w:rFonts w:cs="Times New Roman"/>
        </w:rPr>
        <w:t>sample was used, interpret potential function of the object (e.g., a fragmented vessel can be interpreted as a smoking pipe if nicotine is detected</w:t>
      </w:r>
      <w:r w:rsidR="00A26A35" w:rsidRPr="00901194">
        <w:rPr>
          <w:rFonts w:cs="Times New Roman"/>
        </w:rPr>
        <w:fldChar w:fldCharType="begin" w:fldLock="1"/>
      </w:r>
      <w:r w:rsidR="000A1931" w:rsidRPr="00901194">
        <w:rPr>
          <w:rFonts w:cs="Times New Roman"/>
        </w:rPr>
        <w:instrText>ADDIN CSL_CITATION {"citationItems":[{"id":"ITEM-1","itemData":{"DOI":"10.3389/fmolb.2020.00133","ISSN":"2296889X","abstract":"Residues from ancient artifacts can help identify which plant species were used for their psychoactive properties, providing important information regarding the deep-time co-evolutionary relationship between plants and humans. However, relying on the presence or absence of one or several biomarkers has limited the ability to confidently connect residues to particular plants. We describe a comprehensive metabolomics-based approach that can distinguish closely related species and provide greater confidence in species use determinations. An ~1430-year-old pipe from central Washington State not only contained nicotine, but also had strong evidence for the smoking of Nicotiana quadrivalvis and Rhus glabra, as opposed to several other species in this pre-contact pipe. Analysis of a post-contact pipe suggested use of different plants, including the introduced trade tobacco, Nicotiana rustica. Ancient residue metabolomics provides a new frontier in archaeo-chemistry, with greater precision to investigate the evolution of drug use and similar plant-human co-evolutionary dynamics.","author":[{"dropping-particle":"","family":"Brownstein","given":"Korey J.","non-dropping-particle":"","parse-names":false,"suffix":""},{"dropping-particle":"","family":"Tushingham","given":"Shannon","non-dropping-particle":"","parse-names":false,"suffix":""},{"dropping-particle":"","family":"Damitio","given":"William J.","non-dropping-particle":"","parse-names":false,"suffix":""},{"dropping-particle":"","family":"Nguyen","given":"Tung","non-dropping-particle":"","parse-names":false,"suffix":""},{"dropping-particle":"","family":"Gang","given":"David R.","non-dropping-particle":"","parse-names":false,"suffix":""}],"container-title":"Frontiers in Molecular Biosciences","id":"ITEM-1","issue":"June","issued":{"date-parts":[["2020"]]},"note":"Brownstein article -- ancient residue metabolomics\n\nCase study focused on developing a targeted metabolomics-like LC-MS approach to distinguish closely-related plant species found in archaeological pipes. Proposed method involves multiple washing/sonication steps with extractions to improve residue recovery without harming ceramic vessel. Also did experimental archaeology\nGreat case study -- used authentic standards, provided MS1 and MS2 data, proper methods, etc.","page":"1-14","title":"An Ancient Residue Metabolomics-Based Method to Distinguish Use of Closely Related Plant Species in Ancient Pipes","type":"article-journal","volume":"7"},"uris":["http://www.mendeley.com/documents/?uuid=c3aa1444-6558-4c93-ad18-b95b835c104d"]}],"mendeley":{"formattedCitation":"&lt;sup&gt;62&lt;/sup&gt;","plainTextFormattedCitation":"62","previouslyFormattedCitation":"&lt;sup&gt;62&lt;/sup&gt;"},"properties":{"noteIndex":0},"schema":"https://github.com/citation-style-language/schema/raw/master/csl-citation.json"}</w:instrText>
      </w:r>
      <w:r w:rsidR="00A26A35" w:rsidRPr="00901194">
        <w:rPr>
          <w:rFonts w:cs="Times New Roman"/>
        </w:rPr>
        <w:fldChar w:fldCharType="separate"/>
      </w:r>
      <w:r w:rsidR="00AB5632" w:rsidRPr="00901194">
        <w:rPr>
          <w:rFonts w:cs="Times New Roman"/>
          <w:noProof/>
          <w:vertAlign w:val="superscript"/>
        </w:rPr>
        <w:t>62</w:t>
      </w:r>
      <w:r w:rsidR="00A26A35" w:rsidRPr="00901194">
        <w:rPr>
          <w:rFonts w:cs="Times New Roman"/>
        </w:rPr>
        <w:fldChar w:fldCharType="end"/>
      </w:r>
      <w:r w:rsidR="00A26A35" w:rsidRPr="00901194">
        <w:rPr>
          <w:rFonts w:cs="Times New Roman"/>
        </w:rPr>
        <w:t>), identify potential source information, and more</w:t>
      </w:r>
      <w:r w:rsidR="00A26A35" w:rsidRPr="00901194">
        <w:rPr>
          <w:rFonts w:cs="Times New Roman"/>
        </w:rPr>
        <w:fldChar w:fldCharType="begin" w:fldLock="1"/>
      </w:r>
      <w:r w:rsidR="000A1931" w:rsidRPr="00901194">
        <w:rPr>
          <w:rFonts w:cs="Times New Roman"/>
        </w:rPr>
        <w:instrText>ADDIN CSL_CITATION {"citationItems":[{"id":"ITEM-1","itemData":{"DOI":"10.1007/s10816-015-9253-z","ISBN":"1072-5369 1573-7764","ISSN":"15737764","abstract":"Working hypotheses, which draw upon as many relevant disciplines as possible to derive the maximum information from a very limited database, are key to the highly interdisciplinary field of organic residue analysis in archaeology, a branch of biomolecular archaeology. Archaeology and chemistry are most important for effectively developing and testing such hypotheses, but botany, zoology, geology, etc. also need to be taken into account. Archaeologically, the goal is to obtain as many relevant samples as possible from the best preserved and dated contexts, which have been subjected to the least degradation and disturbance by later natural processes and human handling, including washing and conservation treatment. Chemically, molecular biomarkers of natural products need to be defined and identified by the best and most appropriate techniques, together with bioinformatics searches and assessment of degradation. With ever-improving techniques and new data, previously analyzed samples need to be retested and hypotheses possibly reformulated. Consideration of three case studies illustrates this holistic approach to inductive hypothesis generation and deductive testing: (1) new chemical findings that attest to grape wine in amphoras on board the 14th c. B.C. Uluburun ship, the earliest recorded Mediterranean wreck; (2) recently published research on beeswax/mead in Chalcolithic Israel and Neolithic China and Poland; and (3) recent articles on milk products from 2nd millennium B.C. Central Asia and Neolithic Poland. Potential pitfalls leading to weak hypotheses and mistaken conclusions are described, and a more productive approach is proposed.","author":[{"dropping-particle":"","family":"McGovern","given":"Patrick E.","non-dropping-particle":"","parse-names":false,"suffix":""},{"dropping-particle":"","family":"Hall","given":"Gretchen R.","non-dropping-particle":"","parse-names":false,"suffix":""}],"container-title":"Journal of Archaeological Method and Theory","id":"ITEM-1","issue":"2","issued":{"date-parts":[["2016"]]},"note":"Summary: Part review and part case study, covering where the field of residue analysis is in terms of theories, methods, and challenges. Emphasize that data must be re-examined with specific working hypotheses, the biomarker approach is useful in some contexts and not others, and some best practices for methods (specific hypotheses, use controls/standards and multiple samples, be wary of database matches, etc.). Present 3 case studies highlighting the strengths and pitfalls of current residue analysis: 1. Wine residues in amphora from Uluburun shipwreck (bad); 2. Determining beeswax, honey, and/or mead in Chalcolithic Israeli pottery (decent); 3. Ancient milk and cheese bomarkers in mummies from ancient China (mixed feelings)\nAssessment: Good for background about approaches and methods -- present good critiques of the biomarker approach and efficacy of different methods, and their case studies demonstrate the necessity of clear research-oriented hypotheses from the ground-up in a project.\n\n\nProvides an update with where organic residue analysis is at in the field, and uses 3 case studies as examples of how to generate inductive hypotheses and deductive testing\n\nOutlines 12 specific criteria for dvlp'ing and testing working hypotheses for residue analysis: 1. Utilize other arch data (oral traditions, geography, ewritten text, etc.); 2. Experimental arch; 3. Absolute certainty or rejection of a hypothesis is impossible; 4. Must consider how residues are altered by humans; 5. Artifacts/residues should be dated as precisely as possible; 6. Large databases are good, but only if data is high quality; 7. Working hypotheses should be constantly reevaluated; 8. Method dvlp't is crucial; 9 Discovering unique, well-preserved biomarkers is crucial; 10. Biomarkers should be specific to their context; 11. Control samples must be used; 12. Use multiple techniques if possible","page":"592-622","title":"Charting a Future Course for Organic Residue Analysis in Archaeology","type":"article-journal","volume":"23"},"uris":["http://www.mendeley.com/documents/?uuid=eb26e7ea-f518-4644-b884-6cbad51f33db"]},{"id":"ITEM-2","itemData":{"DOI":"10.1016/j.jas.2021.105397","ISSN":"10959238","abstract":"The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Science","id":"ITEM-2","issue":"August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mendeley":{"formattedCitation":"&lt;sup&gt;23,57&lt;/sup&gt;","plainTextFormattedCitation":"23,57","previouslyFormattedCitation":"&lt;sup&gt;23,57&lt;/sup&gt;"},"properties":{"noteIndex":0},"schema":"https://github.com/citation-style-language/schema/raw/master/csl-citation.json"}</w:instrText>
      </w:r>
      <w:r w:rsidR="00A26A35" w:rsidRPr="00901194">
        <w:rPr>
          <w:rFonts w:cs="Times New Roman"/>
        </w:rPr>
        <w:fldChar w:fldCharType="separate"/>
      </w:r>
      <w:r w:rsidR="00AB5632" w:rsidRPr="00901194">
        <w:rPr>
          <w:rFonts w:cs="Times New Roman"/>
          <w:noProof/>
          <w:vertAlign w:val="superscript"/>
        </w:rPr>
        <w:t>23,57</w:t>
      </w:r>
      <w:r w:rsidR="00A26A35" w:rsidRPr="00901194">
        <w:rPr>
          <w:rFonts w:cs="Times New Roman"/>
        </w:rPr>
        <w:fldChar w:fldCharType="end"/>
      </w:r>
      <w:r w:rsidR="00A26A35" w:rsidRPr="00901194">
        <w:rPr>
          <w:rFonts w:cs="Times New Roman"/>
        </w:rPr>
        <w:t xml:space="preserve">. </w:t>
      </w:r>
      <w:r w:rsidR="00214BA0" w:rsidRPr="00901194">
        <w:rPr>
          <w:rFonts w:cs="Times New Roman"/>
        </w:rPr>
        <w:t>While these residue analyses have a long legacy in archaeology, these analyses overlap with techniques and practices seen in MS-based metabolomics</w:t>
      </w:r>
      <w:r w:rsidR="00214BA0" w:rsidRPr="00901194">
        <w:rPr>
          <w:rFonts w:cs="Times New Roman"/>
        </w:rPr>
        <w:fldChar w:fldCharType="begin" w:fldLock="1"/>
      </w:r>
      <w:r w:rsidR="00214BA0" w:rsidRPr="00901194">
        <w:rPr>
          <w:rFonts w:cs="Times New Roman"/>
        </w:rPr>
        <w:instrText>ADDIN CSL_CITATION {"citationItems":[{"id":"ITEM-1","itemData":{"DOI":"10.1039/c8an01288a","ISSN":"13645528","PMID":"30168542","abstract":"In Ancient Egypt it was common practice to embalm corpses and specific internal organs to ensure eternal life. The exact nature of the employed embalming fluids, particularly for organ preservation within the canopic jars, is debated. Therefore, the aim of the current study, was to chemically characterize and differentiate canopic jars (n = 28) and mummies (n = 6) using gas chromatography-high resolution mass spectrometry (GC-HR MS) with a new untargeted metabolomics-like screening approach; as part of a larger minimal-invasive transdisciplinary study on Ancient Egyptian human tissues. Post-analytical data processing included deconvolution, screening against the NIST 14 spectral database as well as a high resolution metabolomics library, and positive peak evaluation. In the majority of samples the presence of a coniferous resin was indicated by the detection of longiborneol in combination with abietadiene acid derivatives and guajacol. Beeswax, proposedly used for symbolic reasons and/or as a binding agent, was detected in 10 samples. Previously not mentioned in the literature, but identified in the current sample set, were medical-related substances like aniseed constituents, salicylic acid, chamazulene and jacobine. By applying an untargeted metabolomics-like approach to archaeological samples for the first time, extensive statistical analysis was made possible (using both identified and non-identified features; adding up to 4381 features), which showed significant differences in the overall chemical composition of canopic jar and mummy samples using principle component analysis (PCA) and partial least square-discriminant analysis (PLS-DA). This emphasizes the necessity for more extensive canopic jar studies in the future in order to interpret findings correctly.","author":[{"dropping-particle":"","family":"Brockbals","given":"Lana","non-dropping-particle":"","parse-names":false,"suffix":""},{"dropping-particle":"","family":"Habicht","given":"Michael","non-dropping-particle":"","parse-names":false,"suffix":""},{"dropping-particle":"","family":"Hajdas","given":"Irka","non-dropping-particle":"","parse-names":false,"suffix":""},{"dropping-particle":"","family":"Galassi","given":"Francesco M.","non-dropping-particle":"","parse-names":false,"suffix":""},{"dropping-particle":"","family":"Rühli","given":"Frank J.","non-dropping-particle":"","parse-names":false,"suffix":""},{"dropping-particle":"","family":"Kraemer","given":"Thomas","non-dropping-particle":"","parse-names":false,"suffix":""}],"container-title":"Analyst","id":"ITEM-1","issue":"18","issued":{"date-parts":[["2018"]]},"note":"Look into this article later -- they're doing what we are basically\n\nEven call it a metabolomics-like approach\n\n\nCase study using GC-MS to perform untargeted analysis of ancient Egyptian canopic jars and mummies. Low sample sizes, but detected molecules commonly associated with Egyptian embalming (beeswax, terpenoids, fatty acids, etc.) as well as molecules not previously-associated with embalming process (plant biomarkers like mequinol and salicyclic acid).\nGood case study, but unclear about some of their methods -- like confirming annotations with authentic standard.","page":"4503-4512","publisher":"Royal Society of Chemistry","title":"Untargeted metabolomics-like screening approach for chemical characterization and differentiation of canopic jar and mummy samples from Ancient Egypt using GC-high resolution MS","type":"article-journal","volume":"143"},"uris":["http://www.mendeley.com/documents/?uuid=17700788-e98a-477c-b553-d82c94d4648d"]},{"id":"ITEM-2","itemData":{"DOI":"10.3389/fmolb.2020.00133","ISSN":"2296889X","abstract":"Residues from ancient artifacts can help identify which plant species were used for their psychoactive properties, providing important information regarding the deep-time co-evolutionary relationship between plants and humans. However, relying on the presence or absence of one or several biomarkers has limited the ability to confidently connect residues to particular plants. We describe a comprehensive metabolomics-based approach that can distinguish closely related species and provide greater confidence in species use determinations. An ~1430-year-old pipe from central Washington State not only contained nicotine, but also had strong evidence for the smoking of Nicotiana quadrivalvis and Rhus glabra, as opposed to several other species in this pre-contact pipe. Analysis of a post-contact pipe suggested use of different plants, including the introduced trade tobacco, Nicotiana rustica. Ancient residue metabolomics provides a new frontier in archaeo-chemistry, with greater precision to investigate the evolution of drug use and similar plant-human co-evolutionary dynamics.","author":[{"dropping-particle":"","family":"Brownstein","given":"Korey J.","non-dropping-particle":"","parse-names":false,"suffix":""},{"dropping-particle":"","family":"Tushingham","given":"Shannon","non-dropping-particle":"","parse-names":false,"suffix":""},{"dropping-particle":"","family":"Damitio","given":"William J.","non-dropping-particle":"","parse-names":false,"suffix":""},{"dropping-particle":"","family":"Nguyen","given":"Tung","non-dropping-particle":"","parse-names":false,"suffix":""},{"dropping-particle":"","family":"Gang","given":"David R.","non-dropping-particle":"","parse-names":false,"suffix":""}],"container-title":"Frontiers in Molecular Biosciences","id":"ITEM-2","issue":"June","issued":{"date-parts":[["2020"]]},"note":"Brownstein article -- ancient residue metabolomics\n\nCase study focused on developing a targeted metabolomics-like LC-MS approach to distinguish closely-related plant species found in archaeological pipes. Proposed method involves multiple washing/sonication steps with extractions to improve residue recovery without harming ceramic vessel. Also did experimental archaeology\nGreat case study -- used authentic standards, provided MS1 and MS2 data, proper methods, etc.","page":"1-14","title":"An Ancient Residue Metabolomics-Based Method to Distinguish Use of Closely Related Plant Species in Ancient Pipes","type":"article-journal","volume":"7"},"uris":["http://www.mendeley.com/documents/?uuid=c3aa1444-6558-4c93-ad18-b95b835c104d"]}],"mendeley":{"formattedCitation":"&lt;sup&gt;20,62&lt;/sup&gt;","plainTextFormattedCitation":"20,62","previouslyFormattedCitation":"&lt;sup&gt;20,62&lt;/sup&gt;"},"properties":{"noteIndex":0},"schema":"https://github.com/citation-style-language/schema/raw/master/csl-citation.json"}</w:instrText>
      </w:r>
      <w:r w:rsidR="00214BA0" w:rsidRPr="00901194">
        <w:rPr>
          <w:rFonts w:cs="Times New Roman"/>
        </w:rPr>
        <w:fldChar w:fldCharType="separate"/>
      </w:r>
      <w:r w:rsidR="00214BA0" w:rsidRPr="00901194">
        <w:rPr>
          <w:rFonts w:cs="Times New Roman"/>
          <w:noProof/>
          <w:vertAlign w:val="superscript"/>
        </w:rPr>
        <w:t>20,62</w:t>
      </w:r>
      <w:r w:rsidR="00214BA0" w:rsidRPr="00901194">
        <w:rPr>
          <w:rFonts w:cs="Times New Roman"/>
        </w:rPr>
        <w:fldChar w:fldCharType="end"/>
      </w:r>
      <w:r w:rsidR="00214BA0" w:rsidRPr="00901194">
        <w:rPr>
          <w:rFonts w:cs="Times New Roman"/>
        </w:rPr>
        <w:t>.</w:t>
      </w:r>
    </w:p>
    <w:p w14:paraId="4058AC16" w14:textId="48D72B4E" w:rsidR="001A2367" w:rsidRPr="00901194" w:rsidRDefault="005D1A3D" w:rsidP="005D1A3D">
      <w:pPr>
        <w:ind w:firstLine="360"/>
        <w:rPr>
          <w:rFonts w:cs="Times New Roman"/>
        </w:rPr>
      </w:pPr>
      <w:r w:rsidRPr="00901194">
        <w:rPr>
          <w:rFonts w:cs="Times New Roman"/>
        </w:rPr>
        <w:t xml:space="preserve">In the context of ceramic vessels, these residue analyses often link the presence of detected molecules to the vessel’s interpreted use and </w:t>
      </w:r>
      <w:r w:rsidR="00CE1541" w:rsidRPr="00901194">
        <w:rPr>
          <w:rFonts w:cs="Times New Roman"/>
        </w:rPr>
        <w:t xml:space="preserve">then </w:t>
      </w:r>
      <w:r w:rsidRPr="00901194">
        <w:rPr>
          <w:rFonts w:cs="Times New Roman"/>
        </w:rPr>
        <w:t>assume vessel function</w:t>
      </w:r>
      <w:r w:rsidR="00E81237" w:rsidRPr="00901194">
        <w:rPr>
          <w:rFonts w:cs="Times New Roman"/>
        </w:rPr>
        <w:t xml:space="preserve">, but </w:t>
      </w:r>
      <w:r w:rsidR="00CE1541" w:rsidRPr="00901194">
        <w:rPr>
          <w:rFonts w:cs="Times New Roman"/>
        </w:rPr>
        <w:t>vessel use does not necessarily equal function</w:t>
      </w:r>
      <w:r w:rsidR="009D364B" w:rsidRPr="00901194">
        <w:rPr>
          <w:rFonts w:cs="Times New Roman"/>
        </w:rPr>
        <w:fldChar w:fldCharType="begin" w:fldLock="1"/>
      </w:r>
      <w:r w:rsidR="006B6CD4" w:rsidRPr="00901194">
        <w:rPr>
          <w:rFonts w:cs="Times New Roman"/>
        </w:rPr>
        <w:instrText>ADDIN CSL_CITATION {"citationItems":[{"id":"ITEM-1","itemData":{"ISBN":"10431691","author":[{"dropping-particle":"","family":"Heron","given":"Carl","non-dropping-particle":"","parse-names":false,"suffix":""},{"dropping-particle":"","family":"Evershed","given":"Richard P","non-dropping-particle":"","parse-names":false,"suffix":""}],"container-title":"Archaeological Method and Theory","id":"ITEM-1","issue":"1993","issued":{"date-parts":[["1993"]]},"note":"Summary: Research article providing basic overview of residue analysis like terminology, concepts (function=/=use), theories, etc. Also addresses concerns with differential molecular preservation (some don't preserve well), integration with archaeological data (need specific research-driven hypotheses informed by other archaeological analyses before analyzing reisudes), firing processes and their effects on preserved molecules, etc.\nAssessment: Good review, but outdated now (in terms of methods). Still very influential for its discussion on residue analysis as a whole.\n\nPaper is largely a lit review of organic residue work in Ceramics thus far\n\nFunction =/= use\n\nOrganic residues can tell us about use, which can infer function, but do not decidedly tell us about function","page":"247-284","title":"The Analysis of Organic Residues and the Study of Pottery Use","type":"article-journal","volume":"5"},"uris":["http://www.mendeley.com/documents/?uuid=fb1cc761-17e7-490b-b62b-000a1daf6bdf"]}],"mendeley":{"formattedCitation":"&lt;sup&gt;58&lt;/sup&gt;","plainTextFormattedCitation":"58","previouslyFormattedCitation":"&lt;sup&gt;58&lt;/sup&gt;"},"properties":{"noteIndex":0},"schema":"https://github.com/citation-style-language/schema/raw/master/csl-citation.json"}</w:instrText>
      </w:r>
      <w:r w:rsidR="009D364B" w:rsidRPr="00901194">
        <w:rPr>
          <w:rFonts w:cs="Times New Roman"/>
        </w:rPr>
        <w:fldChar w:fldCharType="separate"/>
      </w:r>
      <w:r w:rsidR="009D364B" w:rsidRPr="00901194">
        <w:rPr>
          <w:rFonts w:cs="Times New Roman"/>
          <w:noProof/>
          <w:vertAlign w:val="superscript"/>
        </w:rPr>
        <w:t>58</w:t>
      </w:r>
      <w:r w:rsidR="009D364B" w:rsidRPr="00901194">
        <w:rPr>
          <w:rFonts w:cs="Times New Roman"/>
        </w:rPr>
        <w:fldChar w:fldCharType="end"/>
      </w:r>
      <w:r w:rsidRPr="00901194">
        <w:rPr>
          <w:rFonts w:cs="Times New Roman"/>
        </w:rPr>
        <w:t xml:space="preserve">. </w:t>
      </w:r>
      <w:r w:rsidR="009D364B" w:rsidRPr="00901194">
        <w:rPr>
          <w:rFonts w:cs="Times New Roman"/>
        </w:rPr>
        <w:t xml:space="preserve">A vessel’s use refers to the specific task(s) the vessel was put to, while vessel function </w:t>
      </w:r>
      <w:r w:rsidRPr="00901194">
        <w:rPr>
          <w:rFonts w:cs="Times New Roman"/>
        </w:rPr>
        <w:t>refers to the sociocultural</w:t>
      </w:r>
      <w:r w:rsidR="009D364B" w:rsidRPr="00901194">
        <w:rPr>
          <w:rFonts w:cs="Times New Roman"/>
        </w:rPr>
        <w:t xml:space="preserve">-associated </w:t>
      </w:r>
      <w:r w:rsidRPr="00901194">
        <w:rPr>
          <w:rFonts w:cs="Times New Roman"/>
        </w:rPr>
        <w:t xml:space="preserve">contexts of a vessel within the larger archaeological </w:t>
      </w:r>
      <w:r w:rsidR="009D364B" w:rsidRPr="00901194">
        <w:rPr>
          <w:rFonts w:cs="Times New Roman"/>
        </w:rPr>
        <w:t xml:space="preserve">site </w:t>
      </w:r>
      <w:r w:rsidRPr="00901194">
        <w:rPr>
          <w:rFonts w:cs="Times New Roman"/>
        </w:rPr>
        <w:t>context</w:t>
      </w:r>
      <w:r w:rsidRPr="00901194">
        <w:rPr>
          <w:rFonts w:cs="Times New Roman"/>
        </w:rPr>
        <w:fldChar w:fldCharType="begin" w:fldLock="1"/>
      </w:r>
      <w:r w:rsidR="00EB7D49" w:rsidRPr="00901194">
        <w:rPr>
          <w:rFonts w:cs="Times New Roman"/>
        </w:rPr>
        <w:instrText>ADDIN CSL_CITATION {"citationItems":[{"id":"ITEM-1","itemData":{"ISBN":"10431691","author":[{"dropping-particle":"","family":"Heron","given":"Carl","non-dropping-particle":"","parse-names":false,"suffix":""},{"dropping-particle":"","family":"Evershed","given":"Richard P","non-dropping-particle":"","parse-names":false,"suffix":""}],"container-title":"Archaeological Method and Theory","id":"ITEM-1","issue":"1993","issued":{"date-parts":[["1993"]]},"note":"Summary: Research article providing basic overview of residue analysis like terminology, concepts (function=/=use), theories, etc. Also addresses concerns with differential molecular preservation (some don't preserve well), integration with archaeological data (need specific research-driven hypotheses informed by other archaeological analyses before analyzing reisudes), firing processes and their effects on preserved molecules, etc.\nAssessment: Good review, but outdated now (in terms of methods). Still very influential for its discussion on residue analysis as a whole.\n\nPaper is largely a lit review of organic residue work in Ceramics thus far\n\nFunction =/= use\n\nOrganic residues can tell us about use, which can infer function, but do not decidedly tell us about function","page":"247-284","title":"The Analysis of Organic Residues and the Study of Pottery Use","type":"article-journal","volume":"5"},"uris":["http://www.mendeley.com/documents/?uuid=fb1cc761-17e7-490b-b62b-000a1daf6bdf"]}],"mendeley":{"formattedCitation":"&lt;sup&gt;58&lt;/sup&gt;","plainTextFormattedCitation":"58","previouslyFormattedCitation":"&lt;sup&gt;58&lt;/sup&gt;"},"properties":{"noteIndex":0},"schema":"https://github.com/citation-style-language/schema/raw/master/csl-citation.json"}</w:instrText>
      </w:r>
      <w:r w:rsidRPr="00901194">
        <w:rPr>
          <w:rFonts w:cs="Times New Roman"/>
        </w:rPr>
        <w:fldChar w:fldCharType="separate"/>
      </w:r>
      <w:r w:rsidRPr="00901194">
        <w:rPr>
          <w:rFonts w:cs="Times New Roman"/>
          <w:noProof/>
          <w:vertAlign w:val="superscript"/>
        </w:rPr>
        <w:t>58</w:t>
      </w:r>
      <w:r w:rsidRPr="00901194">
        <w:rPr>
          <w:rFonts w:cs="Times New Roman"/>
        </w:rPr>
        <w:fldChar w:fldCharType="end"/>
      </w:r>
      <w:r w:rsidRPr="00901194">
        <w:rPr>
          <w:rFonts w:cs="Times New Roman"/>
        </w:rPr>
        <w:t xml:space="preserve">. Residue analyses effectively report on vessel use through identifying specific biomolecules found in the </w:t>
      </w:r>
      <w:r w:rsidR="00BB4B98" w:rsidRPr="00901194">
        <w:rPr>
          <w:rFonts w:cs="Times New Roman"/>
        </w:rPr>
        <w:t xml:space="preserve">preserved residue and </w:t>
      </w:r>
      <w:r w:rsidR="00280E2D" w:rsidRPr="00901194">
        <w:rPr>
          <w:rFonts w:cs="Times New Roman"/>
        </w:rPr>
        <w:t>apply</w:t>
      </w:r>
      <w:r w:rsidR="00BB4B98" w:rsidRPr="00901194">
        <w:rPr>
          <w:rFonts w:cs="Times New Roman"/>
        </w:rPr>
        <w:t xml:space="preserve"> these detected molecules to in</w:t>
      </w:r>
      <w:r w:rsidR="00280E2D" w:rsidRPr="00901194">
        <w:rPr>
          <w:rFonts w:cs="Times New Roman"/>
        </w:rPr>
        <w:t>terpret</w:t>
      </w:r>
      <w:r w:rsidR="00BB4B98" w:rsidRPr="00901194">
        <w:rPr>
          <w:rFonts w:cs="Times New Roman"/>
        </w:rPr>
        <w:t xml:space="preserve"> </w:t>
      </w:r>
      <w:r w:rsidR="00EB7D49" w:rsidRPr="00901194">
        <w:rPr>
          <w:rFonts w:cs="Times New Roman"/>
        </w:rPr>
        <w:t>vessel use</w:t>
      </w:r>
      <w:r w:rsidR="00C93323" w:rsidRPr="00901194">
        <w:rPr>
          <w:rFonts w:cs="Times New Roman"/>
        </w:rPr>
        <w:t xml:space="preserve">, which is then applied to </w:t>
      </w:r>
      <w:r w:rsidR="0062678F" w:rsidRPr="00901194">
        <w:rPr>
          <w:rFonts w:cs="Times New Roman"/>
        </w:rPr>
        <w:t xml:space="preserve">infer vessel function and study </w:t>
      </w:r>
      <w:r w:rsidR="00C93323" w:rsidRPr="00901194">
        <w:rPr>
          <w:rFonts w:cs="Times New Roman"/>
        </w:rPr>
        <w:t>past human behaviors</w:t>
      </w:r>
      <w:r w:rsidR="00EB7D49" w:rsidRPr="00901194">
        <w:rPr>
          <w:rFonts w:cs="Times New Roman"/>
        </w:rPr>
        <w:t>. However, it is important to note that molecular data only reports that the archaeological sample was exposed to that detected molecule at some point in time</w:t>
      </w:r>
      <w:r w:rsidR="00EB7D49" w:rsidRPr="00901194">
        <w:rPr>
          <w:rFonts w:cs="Times New Roman"/>
        </w:rPr>
        <w:fldChar w:fldCharType="begin" w:fldLock="1"/>
      </w:r>
      <w:r w:rsidR="00CC184B" w:rsidRPr="00901194">
        <w:rPr>
          <w:rFonts w:cs="Times New Roman"/>
        </w:rPr>
        <w:instrText>ADDIN CSL_CITATION {"citationItems":[{"id":"ITEM-1","itemData":{"DOI":"10.1016/j.jas.2021.105397","ISSN":"10959238","abstract":"The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Science","id":"ITEM-1","issue":"August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contexts","type":"article-journal","volume":"132"},"uris":["http://www.mendeley.com/documents/?uuid=7f7e5d88-71b5-4c2b-ae2d-4af2c0c9b628"]},{"id":"ITEM-2","itemData":{"DOI":"10.1016/j.jasrep.2016.04.005","ISBN":"0780366220","ISSN":"2352409X","abstract":"The investigation of organic residues associated with archaeological pottery using modern analytical chemical methods began in the 1970s. It was recognised early on that the analysis of lipids (i.e. fats, waxes and resins) preserved in surface residues or the fabric of single potsherds, representative of single vessels, was a powerful method for ascertaining pottery use, with a high degree of specificity. Subsequent developments saw a significant change in scale, with studies often involving lipid analyses of tens to hundreds of potsherds per archaeological assemblage, providing information that extended beyond pottery use. The identification of animal and plant foodstuffs processed in pots provides insights into herding and farming, and can also detect trade in exotic organic goods. Information about the environment and climate can be extrapolated from the isotopic composition of compounds detected in potsherds, potentially providing novel avenues of investigation. The direct dating of lipids in potsherds is opening up new opportunities for building archaeological chronologies, while the integration of lipid residue analyses with other environmental and cultural proxies within interdisciplinary projects is already providing unprecedented insights into past lifestyles, from site to regional scales.","author":[{"dropping-particle":"","family":"Roffet-Salque","given":"Mélanie","non-dropping-particle":"","parse-names":false,"suffix":""},{"dropping-particle":"","family":"Dunne","given":"Julie","non-dropping-particle":"","parse-names":false,"suffix":""},{"dropping-particle":"","family":"Altoft","given":"David T.","non-dropping-particle":"","parse-names":false,"suffix":""},{"dropping-particle":"","family":"Casanova","given":"Emmanuelle","non-dropping-particle":"","parse-names":false,"suffix":""},{"dropping-particle":"","family":"Cramp","given":"Lucy J.E.","non-dropping-particle":"","parse-names":false,"suffix":""},{"dropping-particle":"","family":"Smyth","given":"Jessica","non-dropping-particle":"","parse-names":false,"suffix":""},{"dropping-particle":"","family":"Whelton","given":"Helen L.","non-dropping-particle":"","parse-names":false,"suffix":""},{"dropping-particle":"","family":"Evershed","given":"Richard P.","non-dropping-particle":"","parse-names":false,"suffix":""}],"container-title":"Journal of Archaeological Science: Reports","id":"ITEM-2","issued":{"date-parts":[["2017"]]},"note":"Residue analysis gives insight into ceramic production and food processing of the time\n\nCleaning and handling sherds caused issues with RA\n\nPg 634 has good table\nPg 628 has a great table\n\nTargeted work\n\nSummary: Review article covering organic residue analysis and the information it provides beyond vessel use, such as vessel production (e.g., detecting sealants or resins involved in pottery making), subsistence/diet, people movement (e.g., detecting substances not from original location), paleoenvironment, paleoecology, and chronology (e.g., carbon from lipids can aid in relative or absolute dating). Also emphasize how residue analyses can help where other parts of archaeology might fail, such as cases when environment does not preserve certain materials well while residues are absorbed and detectable.\nAssessment: Good review; covers a lot of case studies and does a good job at explaining the utility residue analysis brings to archaeology. Authors also bring up issues with taphonomy and the need to investigate this further, which I would have liked to see them discuss more","page":"627-640","title":"From the inside out: Upscaling organic residue analyses of archaeological ceramics","type":"article-journal","volume":"16"},"uris":["http://www.mendeley.com/documents/?uuid=53906f37-6d87-4bcd-885e-1940f672aaf3"]}],"mendeley":{"formattedCitation":"&lt;sup&gt;23,206&lt;/sup&gt;","plainTextFormattedCitation":"23,206","previouslyFormattedCitation":"&lt;sup&gt;23,206&lt;/sup&gt;"},"properties":{"noteIndex":0},"schema":"https://github.com/citation-style-language/schema/raw/master/csl-citation.json"}</w:instrText>
      </w:r>
      <w:r w:rsidR="00EB7D49" w:rsidRPr="00901194">
        <w:rPr>
          <w:rFonts w:cs="Times New Roman"/>
        </w:rPr>
        <w:fldChar w:fldCharType="separate"/>
      </w:r>
      <w:r w:rsidR="00975A3E" w:rsidRPr="00901194">
        <w:rPr>
          <w:rFonts w:cs="Times New Roman"/>
          <w:noProof/>
          <w:vertAlign w:val="superscript"/>
        </w:rPr>
        <w:t>23,206</w:t>
      </w:r>
      <w:r w:rsidR="00EB7D49" w:rsidRPr="00901194">
        <w:rPr>
          <w:rFonts w:cs="Times New Roman"/>
        </w:rPr>
        <w:fldChar w:fldCharType="end"/>
      </w:r>
      <w:r w:rsidR="00E81237" w:rsidRPr="00901194">
        <w:rPr>
          <w:rFonts w:cs="Times New Roman"/>
        </w:rPr>
        <w:t>. Associating these detected molecules to vessel use</w:t>
      </w:r>
      <w:r w:rsidR="00280E2D" w:rsidRPr="00901194">
        <w:rPr>
          <w:rFonts w:cs="Times New Roman"/>
        </w:rPr>
        <w:t xml:space="preserve"> and function</w:t>
      </w:r>
      <w:r w:rsidR="00E81237" w:rsidRPr="00901194">
        <w:rPr>
          <w:rFonts w:cs="Times New Roman"/>
        </w:rPr>
        <w:t xml:space="preserve">, and then interpreting </w:t>
      </w:r>
      <w:r w:rsidR="00C93323" w:rsidRPr="00901194">
        <w:rPr>
          <w:rFonts w:cs="Times New Roman"/>
        </w:rPr>
        <w:t xml:space="preserve">past </w:t>
      </w:r>
      <w:r w:rsidR="00C93323" w:rsidRPr="00901194">
        <w:rPr>
          <w:rFonts w:cs="Times New Roman"/>
        </w:rPr>
        <w:lastRenderedPageBreak/>
        <w:t>human behavior</w:t>
      </w:r>
      <w:r w:rsidR="00E81237" w:rsidRPr="00901194">
        <w:rPr>
          <w:rFonts w:cs="Times New Roman"/>
        </w:rPr>
        <w:t xml:space="preserve"> within the larger archaeological context, requires complementing the molecular data with other historical, ethnographic, and/or archaeological data</w:t>
      </w:r>
      <w:r w:rsidR="00C93323" w:rsidRPr="00901194">
        <w:rPr>
          <w:rFonts w:cs="Times New Roman"/>
        </w:rPr>
        <w:fldChar w:fldCharType="begin" w:fldLock="1"/>
      </w:r>
      <w:r w:rsidR="00C93323" w:rsidRPr="00901194">
        <w:rPr>
          <w:rFonts w:cs="Times New Roman"/>
        </w:rPr>
        <w:instrText>ADDIN CSL_CITATION {"citationItems":[{"id":"ITEM-1","itemData":{"DOI":"10.1016/j.jas.2021.105397","ISSN":"10959238","abstract":"The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Science","id":"ITEM-1","issue":"August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contexts","type":"article-journal","volume":"132"},"uris":["http://www.mendeley.com/documents/?uuid=7f7e5d88-71b5-4c2b-ae2d-4af2c0c9b628"]},{"id":"ITEM-2","itemData":{"DOI":"10.1007/s10816-015-9253-z","ISBN":"1072-5369 1573-7764","ISSN":"15737764","abstract":"Working hypotheses, which draw upon as many relevant disciplines as possible to derive the maximum information from a very limited database, are key to the highly interdisciplinary field of organic residue analysis in archaeology, a branch of biomolecular archaeology. Archaeology and chemistry are most important for effectively developing and testing such hypotheses, but botany, zoology, geology, etc. also need to be taken into account. Archaeologically, the goal is to obtain as many relevant samples as possible from the best preserved and dated contexts, which have been subjected to the least degradation and disturbance by later natural processes and human handling, including washing and conservation treatment. Chemically, molecular biomarkers of natural products need to be defined and identified by the best and most appropriate techniques, together with bioinformatics searches and assessment of degradation. With ever-improving techniques and new data, previously analyzed samples need to be retested and hypotheses possibly reformulated. Consideration of three case studies illustrates this holistic approach to inductive hypothesis generation and deductive testing: (1) new chemical findings that attest to grape wine in amphoras on board the 14th c. B.C. Uluburun ship, the earliest recorded Mediterranean wreck; (2) recently published research on beeswax/mead in Chalcolithic Israel and Neolithic China and Poland; and (3) recent articles on milk products from 2nd millennium B.C. Central Asia and Neolithic Poland. Potential pitfalls leading to weak hypotheses and mistaken conclusions are described, and a more productive approach is proposed.","author":[{"dropping-particle":"","family":"McGovern","given":"Patrick E.","non-dropping-particle":"","parse-names":false,"suffix":""},{"dropping-particle":"","family":"Hall","given":"Gretchen R.","non-dropping-particle":"","parse-names":false,"suffix":""}],"container-title":"Journal of Archaeological Method and Theory","id":"ITEM-2","issue":"2","issued":{"date-parts":[["2016"]]},"note":"Summary: Part review and part case study, covering where the field of residue analysis is in terms of theories, methods, and challenges. Emphasize that data must be re-examined with specific working hypotheses, the biomarker approach is useful in some contexts and not others, and some best practices for methods (specific hypotheses, use controls/standards and multiple samples, be wary of database matches, etc.). Present 3 case studies highlighting the strengths and pitfalls of current residue analysis: 1. Wine residues in amphora from Uluburun shipwreck (bad); 2. Determining beeswax, honey, and/or mead in Chalcolithic Israeli pottery (decent); 3. Ancient milk and cheese bomarkers in mummies from ancient China (mixed feelings)\nAssessment: Good for background about approaches and methods -- present good critiques of the biomarker approach and efficacy of different methods, and their case studies demonstrate the necessity of clear research-oriented hypotheses from the ground-up in a project.\n\n\nProvides an update with where organic residue analysis is at in the field, and uses 3 case studies as examples of how to generate inductive hypotheses and deductive testing\n\nOutlines 12 specific criteria for dvlp'ing and testing working hypotheses for residue analysis: 1. Utilize other arch data (oral traditions, geography, ewritten text, etc.); 2. Experimental arch; 3. Absolute certainty or rejection of a hypothesis is impossible; 4. Must consider how residues are altered by humans; 5. Artifacts/residues should be dated as precisely as possible; 6. Large databases are good, but only if data is high quality; 7. Working hypotheses should be constantly reevaluated; 8. Method dvlp't is crucial; 9 Discovering unique, well-preserved biomarkers is crucial; 10. Biomarkers should be specific to their context; 11. Control samples must be used; 12. Use multiple techniques if possible","page":"592-622","title":"Charting a Future Course for Organic Residue Analysis in Archaeology","type":"article-journal","volume":"23"},"uris":["http://www.mendeley.com/documents/?uuid=eb26e7ea-f518-4644-b884-6cbad51f33db"]}],"mendeley":{"formattedCitation":"&lt;sup&gt;23,57&lt;/sup&gt;","plainTextFormattedCitation":"23,57","previouslyFormattedCitation":"&lt;sup&gt;23,57&lt;/sup&gt;"},"properties":{"noteIndex":0},"schema":"https://github.com/citation-style-language/schema/raw/master/csl-citation.json"}</w:instrText>
      </w:r>
      <w:r w:rsidR="00C93323" w:rsidRPr="00901194">
        <w:rPr>
          <w:rFonts w:cs="Times New Roman"/>
        </w:rPr>
        <w:fldChar w:fldCharType="separate"/>
      </w:r>
      <w:r w:rsidR="00C93323" w:rsidRPr="00901194">
        <w:rPr>
          <w:rFonts w:cs="Times New Roman"/>
          <w:noProof/>
          <w:vertAlign w:val="superscript"/>
        </w:rPr>
        <w:t>23,57</w:t>
      </w:r>
      <w:r w:rsidR="00C93323" w:rsidRPr="00901194">
        <w:rPr>
          <w:rFonts w:cs="Times New Roman"/>
        </w:rPr>
        <w:fldChar w:fldCharType="end"/>
      </w:r>
      <w:r w:rsidR="00C93323" w:rsidRPr="00901194">
        <w:rPr>
          <w:rFonts w:cs="Times New Roman"/>
        </w:rPr>
        <w:t xml:space="preserve">. </w:t>
      </w:r>
      <w:r w:rsidR="001A2367" w:rsidRPr="00901194">
        <w:rPr>
          <w:rFonts w:cs="Times New Roman"/>
        </w:rPr>
        <w:t xml:space="preserve">Residue analysis studies have made great strides at navigating the vessel use vs. function dichotomy and exploring past human behavior through these residue data, but </w:t>
      </w:r>
      <w:r w:rsidR="00216AD9" w:rsidRPr="00901194">
        <w:rPr>
          <w:rFonts w:cs="Times New Roman"/>
        </w:rPr>
        <w:t xml:space="preserve">these residue-based approaches are </w:t>
      </w:r>
      <w:r w:rsidR="00280E2D" w:rsidRPr="00901194">
        <w:rPr>
          <w:rFonts w:cs="Times New Roman"/>
        </w:rPr>
        <w:t xml:space="preserve">nonetheless </w:t>
      </w:r>
      <w:r w:rsidR="001A2367" w:rsidRPr="00901194">
        <w:rPr>
          <w:rFonts w:cs="Times New Roman"/>
        </w:rPr>
        <w:t>methodologically limited in a few key areas.</w:t>
      </w:r>
    </w:p>
    <w:p w14:paraId="18E870B1" w14:textId="0B8FCEE5" w:rsidR="00C93323" w:rsidRPr="00901194" w:rsidRDefault="00C93323" w:rsidP="00134AA8">
      <w:pPr>
        <w:ind w:firstLine="360"/>
        <w:rPr>
          <w:rFonts w:cs="Times New Roman"/>
        </w:rPr>
      </w:pPr>
      <w:r w:rsidRPr="00901194">
        <w:rPr>
          <w:rFonts w:cs="Times New Roman"/>
        </w:rPr>
        <w:t xml:space="preserve">One major </w:t>
      </w:r>
      <w:r w:rsidR="00280E2D" w:rsidRPr="00901194">
        <w:rPr>
          <w:rFonts w:cs="Times New Roman"/>
        </w:rPr>
        <w:t xml:space="preserve">limitation </w:t>
      </w:r>
      <w:r w:rsidRPr="00901194">
        <w:rPr>
          <w:rFonts w:cs="Times New Roman"/>
        </w:rPr>
        <w:t xml:space="preserve">with archaeological residue analysis involves the overrepresentation of targeted MS analyses </w:t>
      </w:r>
      <w:r w:rsidR="00216AD9" w:rsidRPr="00901194">
        <w:rPr>
          <w:rFonts w:cs="Times New Roman"/>
        </w:rPr>
        <w:t xml:space="preserve">using a </w:t>
      </w:r>
      <w:r w:rsidRPr="00901194">
        <w:rPr>
          <w:rFonts w:cs="Times New Roman"/>
        </w:rPr>
        <w:t>biomarker approach</w:t>
      </w:r>
      <w:r w:rsidR="00C23F8C" w:rsidRPr="00901194">
        <w:rPr>
          <w:rFonts w:cs="Times New Roman"/>
        </w:rPr>
        <w:fldChar w:fldCharType="begin" w:fldLock="1"/>
      </w:r>
      <w:r w:rsidR="00CC184B" w:rsidRPr="00901194">
        <w:rPr>
          <w:rFonts w:cs="Times New Roman"/>
        </w:rPr>
        <w:instrText>ADDIN CSL_CITATION {"citationItems":[{"id":"ITEM-1","itemData":{"DOI":"10.3389/fmolb.2020.00133","ISSN":"2296889X","abstract":"Residues from ancient artifacts can help identify which plant species were used for their psychoactive properties, providing important information regarding the deep-time co-evolutionary relationship between plants and humans. However, relying on the presence or absence of one or several biomarkers has limited the ability to confidently connect residues to particular plants. We describe a comprehensive metabolomics-based approach that can distinguish closely related species and provide greater confidence in species use determinations. An ~1430-year-old pipe from central Washington State not only contained nicotine, but also had strong evidence for the smoking of Nicotiana quadrivalvis and Rhus glabra, as opposed to several other species in this pre-contact pipe. Analysis of a post-contact pipe suggested use of different plants, including the introduced trade tobacco, Nicotiana rustica. Ancient residue metabolomics provides a new frontier in archaeo-chemistry, with greater precision to investigate the evolution of drug use and similar plant-human co-evolutionary dynamics.","author":[{"dropping-particle":"","family":"Brownstein","given":"Korey J.","non-dropping-particle":"","parse-names":false,"suffix":""},{"dropping-particle":"","family":"Tushingham","given":"Shannon","non-dropping-particle":"","parse-names":false,"suffix":""},{"dropping-particle":"","family":"Damitio","given":"William J.","non-dropping-particle":"","parse-names":false,"suffix":""},{"dropping-particle":"","family":"Nguyen","given":"Tung","non-dropping-particle":"","parse-names":false,"suffix":""},{"dropping-particle":"","family":"Gang","given":"David R.","non-dropping-particle":"","parse-names":false,"suffix":""}],"container-title":"Frontiers in Molecular Biosciences","id":"ITEM-1","issue":"June","issued":{"date-parts":[["2020"]]},"note":"Brownstein article -- ancient residue metabolomics\n\nCase study focused on developing a targeted metabolomics-like LC-MS approach to distinguish closely-related plant species found in archaeological pipes. Proposed method involves multiple washing/sonication steps with extractions to improve residue recovery without harming ceramic vessel. Also did experimental archaeology\nGreat case study -- used authentic standards, provided MS1 and MS2 data, proper methods, etc.","page":"1-14","title":"An Ancient Residue Metabolomics-Based Method to Distinguish Use of Closely Related Plant Species in Ancient Pipes","type":"article-journal","volume":"7"},"uris":["http://www.mendeley.com/documents/?uuid=c3aa1444-6558-4c93-ad18-b95b835c104d"]},{"id":"ITEM-2","itemData":{"DOI":"10.1016/j.jasrep.2017.12.011","ISSN":"2352409X","abstract":"The practice of pipe smoking was commonplace among indigenous cultures of the Eastern Woodlands of North America. However, many questions remain concerning what materials were smoked and when tobacco first became a part of this smoking tradition. Chemical analysis of organic residues extracted from archaeological smoking pipes is an encouraging avenue of research into answering questions regarding the development of a smoking complex within indigenous cultures of the Eastern Woodlands. In the right environmental conditions, absorbed organic compounds within artifacts can remain structurally stable for millennia, allowing analyses of organic matter to be performed on relics of advanced age. In this study, organic matter from six pipe fragments derived from the prehistoric Feltus site in Mississippi was extracted and analyzed via GC-MS, a process that allows for the identification of compounds in a complex mixture. Preliminary experiments tested the effects of pH on the efficacy of our extraction solvent to maximize the detectability of alkaloids such as nicotine. Several notable compounds were identified, including nicotine, which serves as a biomarker for tobacco.","author":[{"dropping-particle":"","family":"Carmody","given":"Stephen B.","non-dropping-particle":"","parse-names":false,"suffix":""},{"dropping-particle":"","family":"Kassabaum","given":"Megan C.","non-dropping-particle":"","parse-names":false,"suffix":""},{"dropping-particle":"","family":"Hunt","given":"Ryan K.","non-dropping-particle":"","parse-names":false,"suffix":""},{"dropping-particle":"","family":"Prodanovich","given":"Natalie","non-dropping-particle":"","parse-names":false,"suffix":""},{"dropping-particle":"","family":"Elliott","given":"Hope","non-dropping-particle":"","parse-names":false,"suffix":""},{"dropping-particle":"","family":"Russ","given":"Jon","non-dropping-particle":"","parse-names":false,"suffix":""}],"container-title":"Journal of Archaeological Science: Reports","id":"ITEM-2","issue":"August 2017","issued":{"date-parts":[["2018"]]},"note":"GC-MS\n\nSorta do experimental arch. - look at recently harvested leaves and residues left behind in pipes in the lab to compare to artifacts\n\nSample methods on page 645\n\nTargeted - goal was to check for nicotine\n\n\nCase study using targeted GC-MS to explore tobacco (ie., nicotine) presence in six pipe fragments. Also did experimental archaeology testing tobacco leaves and experimentally smoking them to compare with ancient samples. Detected nicotine and other plant products on pipes, sugesting aspects of ancient plant use\nModerately good case study -- used standards, experimental archaeology, and provided MS data, but low sample sizes and used multiple GC systems (batch effects)","page":"640-649","publisher":"Elsevier","title":"Residue analysis of smoking pipe fragments from the Feltus archaeological site, Southeastern North America","type":"article-journal","volume":"17"},"uris":["http://www.mendeley.com/documents/?uuid=4c211362-6b1a-46bc-aee9-a051700b2584"]},{"id":"ITEM-3","itemData":{"DOI":"10.1111/j.1475-4754.1993.tb01036.x","ISSN":"14754754","abstract":"Organic residue analysis has been performed on 62 reconstructed vessels from a single archaeological site (Rounds, Northamptonshire, U.K.). In order to establish regions of lipid accumulation within a vessel, sherds were sampled from different parts of a vessel, for example base, body and rim, and submitted to lipid extraction procedures. The techniques of high‐temperature gas chromatography (GC) and GC/mass spectrometry (GC/MS) were then used to analyse the sherd lipid extracts. The quantitative results obtained show differential accumulation and preservation of lipid in various parts of the same vessel. This latter observation has serious implications for the sampling of potsherds for organic residue analysis. Furthermore, the amount of absorbed lipid varies quite considerably between vessel types. On this basis, a new method is proposed for classifying vessel use by comparing the concentration of lipid present in different parts of individual vessels. Copyright © 1993, Wiley Blackwell. All rights reserved","author":[{"dropping-particle":"","family":"Charters","given":"S.","non-dropping-particle":"","parse-names":false,"suffix":""},{"dropping-particle":"","family":"Evershed","given":"R.P.","non-dropping-particle":"","parse-names":false,"suffix":""},{"dropping-particle":"","family":"Goad","given":"L.J.","non-dropping-particle":"","parse-names":false,"suffix":""},{"dropping-particle":"","family":"Leyden","given":"A.","non-dropping-particle":"","parse-names":false,"suffix":""}],"container-title":"Archaeometry","id":"ITEM-3","issue":"2","issued":{"date-parts":[["1993"]]},"note":"GC-MS\n\nTargeted GC-MS analysis of potsherds from various vessels to examine lipid concentration on different parts of the vessel. Found associations b/w lipid concentration and distribution in a vessel, and vessel form. Argues this approach can be used to determine vessel use based on lipid residue concentration\nGood case study -- detailed methods and used internal standards. Did not provide raw data, but still good methods for 1993","page":"211-223","title":"Quantification and Distribution of Lipid in Archaeological Ceramics: Implications for Sampling Potsherds for Organic Residue Analysis and the Classification of Vessel Use","type":"article-journal","volume":"35"},"uris":["http://www.mendeley.com/documents/?uuid=dac81e81-32a1-455e-85f0-4c952554400b"]},{"id":"ITEM-4","itemData":{"DOI":"10.1016/j.jas.2005.06.013","ISBN":"0305-4403","ISSN":"10959238","abstract":"Ancient Egyptians were buried with the most precious food and drink as sustenance for their afterlife. One of these was Shedeh, the most valued and appreciated beverage in ancient Egypt. The botanic origin of Shedeh remains unclear as no mention of its raw material has survived. Some scholars have proposed that Shedeh was a pomegranate wine, while others, a grape wine. Presented here is the first ever analytical evidence of Shedeh's origin through the analysis of a sample of a residue from an extraordinarily well preserved Shedeh amphora from King Tutankhamun's collection. The previously developed LC/MS/MS wine markers method for archaeological samples was used and our results reveal Shedeh had a red grape origin. © 2005 Elsevier Ltd. All rights reserved.","author":[{"dropping-particle":"","family":"Guasch-Jané","given":"Maria Rosa","non-dropping-particle":"","parse-names":false,"suffix":""},{"dropping-particle":"","family":"Andrés-Lacueva","given":"Cristina","non-dropping-particle":"","parse-names":false,"suffix":""},{"dropping-particle":"","family":"Járegui","given":"Olga","non-dropping-particle":"","parse-names":false,"suffix":""},{"dropping-particle":"","family":"Lamuela-Raventós","given":"Rosa M.","non-dropping-particle":"","parse-names":false,"suffix":""}],"container-title":"Journal of Archaeological Science","id":"ITEM-4","issue":"1","issued":{"date-parts":[["2006"]]},"note":"LC-MS-MS\n\nUsed only actual residue - scraped off\nDetails vague on prep, but see pg. 100 for methods\n\nTargeted approach - looked for specific biomarkers\n\nSummary: Targeted LC-MS/MS study looking at wine biomarkers of an ancient Egyptian amphora, trying to determine the botanical origin of the wine. Based on matching to standards, authors concluded the wine was from red grapes\nAssessment: Generally good -- one of few LC-MS/MS residue studies, informed by archaeologically-driven hypotheses, used authentic standards, but minimal methods and only used residue from a single sample (although this sample was archaeologically linked to the wine)","page":"98-101","title":"The origin of the ancient Egyptian drink Shedeh revealed using LC/MS/MS","type":"article-journal","volume":"33"},"uris":["http://www.mendeley.com/documents/?uuid=d315dddf-5118-4701-b003-1fffbbe23c5e"]},{"id":"ITEM-5","itemData":{"DOI":"10.1017/aap.2018.30","ISSN":"23263768","abstract":"Absorbed residue studies have been used in subsistence research for decades. Only more recently have the chemical methods employed been used to explore the consumption of ritual concoctions such as those including cacao, yaupon holly, and alcohol. In this article we use mass spectrometry to identify Datura residues in prehistoric contexts from western Mexico and the American Southeast. Datura is a genus of flowering plants that contain hallucinogenic alkaloids. Their use in both regions is known historically and still continues today. This study sampled 55 pottery vessels and 18 shell vessels using both a traditional burr method and a water-based sonicator sampling method. Datura residues were found in 13 pottery vessels and 14 shell vessels using both sampling approaches. These results demonstrate that it is possible to identify Datura residue in pottery and shell vessels and that the use of Datura extends back into prehistory in both regions. The form and decoration of pottery vessels with Datura residues show correlations with specific motifs and themes. Historically, shell vessels were used in the Southeast for the consumption of another ritual beverage, called the Black Drink. The presence of Datura shows that those vessels were used for other kinds of beverages as well.","author":[{"dropping-particle":"","family":"King","given":"Adam","non-dropping-particle":"","parse-names":false,"suffix":""},{"dropping-particle":"","family":"Powis","given":"Terry G.","non-dropping-particle":"","parse-names":false,"suffix":""},{"dropping-particle":"","family":"Cheong","given":"Kong F.","non-dropping-particle":"","parse-names":false,"suffix":""},{"dropping-particle":"","family":"Deere","given":"Bobi","non-dropping-particle":"","parse-names":false,"suffix":""},{"dropping-particle":"","family":"Pickering","given":"Robert B.","non-dropping-particle":"","parse-names":false,"suffix":""},{"dropping-particle":"","family":"Singleton","given":"Eric","non-dropping-particle":"","parse-names":false,"suffix":""},{"dropping-particle":"","family":"Gaikwad","given":"Nilesh W.","non-dropping-particle":"","parse-names":false,"suffix":""}],"container-title":"Advances in Archaeological Practice","id":"ITEM-5","issue":"4","issued":{"date-parts":[["2018"]]},"note":"Summary: Case study using targeted LC-MS analysis of Datura residues on pottery and shell vessels from western Mexico and American Southeast. Found biomarkers of Datura on vessels to suggest Datura use and linked this with iconographic motifs suggesting ritual themes.\nAssessment: Good case study; good sample size, used standards for annotations, and detailed methods. Did use open-air museum collection vessels, but tested the shelving units for their tested biomarkers","page":"312-327","title":"Absorbed Residue Evidence for Prehistoric Datura Use in the American Southeast and Western Mexico","type":"article-journal","volume":"6"},"uris":["http://www.mendeley.com/documents/?uuid=de001a9b-5a41-4890-8def-946467587627"]},{"id":"ITEM-6","itemData":{"DOI":"10.1016/j.jasrep.2017.06.027","ISSN":"2352409X","abstract":"Transport and storage vessels in Red Lustrous Wheelmade ware (RLWm ware) were traded across a large area of the eastern Mediterranean for approximately 300 years (c. 1500–1200 BCE) during the Late Bronze Age (c.1600–1000 BCE). The extreme consistency of the ceramic, in form, fabric, chemistry and mineralogy, points to a single production source for the ware, which, although no kiln sites have been identified, is generally accepted to have been on Cyprus. The aim of this study was to determine whether organic residues were present in this very fine, dense ware, and to characterise the contents of RLWm ware vessels from different sites, contexts and periods, and of different forms, to improve our understanding of the trade in this ceramic type. To that end, 101 RLWm ware sherds, together with three visible residues, were examined from sites in Turkey, Cyprus, Egypt and Syria. Residues were identified in more than half of the samples, indicating that organic material is absorbed into and preserved in this very fine fabric. Four commodities were identified: fat (probably plant oil), which in four residues was identified further as castor oil; beeswax; bitumen; and Pinaceae spp. resin. The commodities were found alone or, occasionally, one of the latter three was combined with the fat or oil. Fatty material was the only commodity present at all sites and its wide distribution may indicate that generally the vessels were used for a mixture or mixtures based on plant oils, in some cases containing castor oil. It was impossible to determine whether the beeswax, bitumen and resin formed part of this mixture or represented post-firing treatments of the ceramic to make it less porous. The identification of more than one type of residue indicates that RLWm ware vessels did not always contain the same commodity. No significant correlation could be detected between the vessel forms, and the dating of many of the sherds was not precise enough to reveal any variation through time. The type of residue present did vary depending on the geographical location of its final use. Beeswax was, with two exceptions, only present in samples from Turkey, while bitumen was found exclusively in samples from Cypriot sites. The occurrence of at least one example of every commodity in the samples from Cyprus is consistent with the theory that this ware was manufactured on Cyprus, and indicates that the vessels could also have been filled and exported from there. The variation in conten…","author":[{"dropping-particle":"","family":"Steele","given":"V. J.","non-dropping-particle":"","parse-names":false,"suffix":""},{"dropping-particle":"","family":"Stern","given":"B.","non-dropping-particle":"","parse-names":false,"suffix":""}],"container-title":"Journal of Archaeological Science: Reports","id":"ITEM-6","issue":"June","issued":{"date-parts":[["2017"]]},"note":"Summary: Case study using targeted GC-MS and LC-MS on ceramic vessels from Mediterranean Late Bronze Age, trying to find residues and their associations with political and trade relationships. Found condition of the ceramic and storage (i.e., museum collection) greatly influenced residues, but still detected a fat, beeswax, bitumen, and a pine resin. Results reveal that vessels did not share the same use and authors discuss the different implications of their results with other archaeological data\nAssessment: Good case study. Methods seem sound, present their MS data, use standards, and spend time discussing what the residues mean within the greater archaeological contextual data.\n\nGC-MS, and targeted LC-MS\nSee back of actual article for notes\n\nGoal: ID residues, note any residue variation, and determine whether these findings could give information about political/trade relationships in region\n\nWanted to ID wine, commodities (eg: perfume oil/scented oil)\n\n\nPots likely had plant oils\n\nFound fat oils, beeswax, bitumen, and Pinacea spp. resin\n\nGC-MS good for IDing fats and resins --&amp;gt; targeted b/c they wanted to ID wine\n\n101 sherds in Turkey, Cyprus, Egypt, Syria in RLWM. 61 were useful (meaning had organic residue of arch. significance). \n13 in non-RLWm. 11 were useful.","page":"641-657","publisher":"Elsevier","title":"Red Lustrous Wheelmade ware: Analysis of organic residues in Late Bronze Age trade and storage vessels from the eastern Mediterranean","type":"article-journal","volume":"16"},"uris":["http://www.mendeley.com/documents/?uuid=6e51865c-477e-495b-a7e1-da9b7e52d049"]},{"id":"ITEM-7","itemData":{"DOI":"10.1073/pnas.1813796115","ISSN":"10916490","PMID":"30373836","abstract":"Chemical analysis of residues contained in the matrix of stone smoking pipes reveal a substantial direct biomolecular record of ancient tobacco (Nicotiana) smoking practices in the North American interior northwest (Plateau), in an area where tobacco was often portrayed as a Euro-American–introduced postcontact trade commodity. Nicotine, a stimulant alkaloid and biomarker for tobacco, was identified via ultra-performance liquid chromatography-mass spectrometry in 8 of 12 analyzed pipes and pipe fragments from five sites in the Columbia River Basin, southeastern Washington State. The specimens date from 1200 cal BP to historic times, confirming the deep time continuity of intoxicant use and indigenous smoking practices in northwestern North America. The results indicate that hunting and gathering communities in the region, including ancestral Nez Perce peoples, established a tobacco smoking complex of wild (indigenous) tobacco well before the main domesticated tobacco (Nicotiana tabacum) was introduced by contact-era fur traders and settlers after the 1790s. This is the longest continuous biomolecular record of ancient tobacco smoking from a single region anywhere in the world—initially during an era of pithouse development, through the late precontact equestrian era, and into the historic period. This contradicts some ethnohistorical data indicating that kinnikinnick, or bearberry (Arctostaphylos uva-ursi) was the primary precontact smoke plant in the study area. Early use likely involved the management and cultivation of indigenous tobaccos (Nicotiana quadrivalvis or Nicotiana attenuata), species that are today exceedingly rare in the region and seem to have been abandoned as smoke plants after the entry of trade tobacco.","author":[{"dropping-particle":"","family":"Tushingham","given":"Shannon","non-dropping-particle":"","parse-names":false,"suffix":""},{"dropping-particle":"","family":"Snyder","given":"Charles M.","non-dropping-particle":"","parse-names":false,"suffix":""},{"dropping-particle":"","family":"Brownstein","given":"Korey J.","non-dropping-particle":"","parse-names":false,"suffix":""},{"dropping-particle":"","family":"Damitio","given":"William J.","non-dropping-particle":"","parse-names":false,"suffix":""},{"dropping-particle":"","family":"Gang","given":"David R.","non-dropping-particle":"","parse-names":false,"suffix":""}],"container-title":"Proceedings of the National Academy of Sciences of the United States of America","id":"ITEM-7","issue":"46","issued":{"date-parts":[["2018"]]},"note":"Targeted analysis for arbutin (kinnikinnick) and nicotine (tonacco)\n\nSummary: Targeted UPLC-MS analysis of 12 pipe fragments, testing for tobacco and kinnikinnick biomarkers, to get a sense of long-term indigenous plant smoking for a single area. Found nicotine in 8/12 pipes and none had detectable kinnikinnick biomarkers, suggesting tobacco was smoked historically (runs contrary to earlier archaeological conclusions about kinnikinnick)\nAssessment: Great case study with detailed methods-- used authentic standards, full instrument parameters, showed some MS data, etc. Highlight how residues can show other aspects of vessel use that are missed in traditional archaeology, but there's definitely a degree of caution needed with their results (which they address).","page":"11742-11747","title":"Biomolecular archaeology reveals ancient origins of indigenous tobacco smoking in North American Plateau","type":"article-journal","volume":"115"},"uris":["http://www.mendeley.com/documents/?uuid=6b317084-b1ee-4cdd-a6e3-305bfd59c791"]}],"mendeley":{"formattedCitation":"&lt;sup&gt;25,28,60–62,207,208&lt;/sup&gt;","plainTextFormattedCitation":"25,28,60–62,207,208","previouslyFormattedCitation":"&lt;sup&gt;25,28,60–62,207,208&lt;/sup&gt;"},"properties":{"noteIndex":0},"schema":"https://github.com/citation-style-language/schema/raw/master/csl-citation.json"}</w:instrText>
      </w:r>
      <w:r w:rsidR="00C23F8C" w:rsidRPr="00901194">
        <w:rPr>
          <w:rFonts w:cs="Times New Roman"/>
        </w:rPr>
        <w:fldChar w:fldCharType="separate"/>
      </w:r>
      <w:r w:rsidR="00975A3E" w:rsidRPr="00901194">
        <w:rPr>
          <w:rFonts w:cs="Times New Roman"/>
          <w:noProof/>
          <w:vertAlign w:val="superscript"/>
        </w:rPr>
        <w:t>25,28,60–62,207,208</w:t>
      </w:r>
      <w:r w:rsidR="00C23F8C" w:rsidRPr="00901194">
        <w:rPr>
          <w:rFonts w:cs="Times New Roman"/>
        </w:rPr>
        <w:fldChar w:fldCharType="end"/>
      </w:r>
      <w:r w:rsidRPr="00901194">
        <w:rPr>
          <w:rFonts w:cs="Times New Roman"/>
        </w:rPr>
        <w:t>. The biomarker approach i</w:t>
      </w:r>
      <w:r w:rsidR="00D86F6E" w:rsidRPr="00901194">
        <w:rPr>
          <w:rFonts w:cs="Times New Roman"/>
        </w:rPr>
        <w:t xml:space="preserve">n residue analysis </w:t>
      </w:r>
      <w:r w:rsidR="00884449" w:rsidRPr="00901194">
        <w:rPr>
          <w:rFonts w:cs="Times New Roman"/>
        </w:rPr>
        <w:t>treats molecules detected in archaeological organic residues as biomarkers, which are chemical compounds whose presence is assumed to indicate some state (e.g., health or disease states) or past behavior (in archaeological contexts)</w:t>
      </w:r>
      <w:r w:rsidR="00884449" w:rsidRPr="00901194">
        <w:rPr>
          <w:rFonts w:cs="Times New Roman"/>
        </w:rPr>
        <w:fldChar w:fldCharType="begin" w:fldLock="1"/>
      </w:r>
      <w:r w:rsidR="00134AA8" w:rsidRPr="00901194">
        <w:rPr>
          <w:rFonts w:cs="Times New Roman"/>
        </w:rPr>
        <w:instrText>ADDIN CSL_CITATION {"citationItems":[{"id":"ITEM-1","itemData":{"DOI":"10.1111/j.1475-4754.2008.00446.x","ISBN":"0003-813X","ISSN":"0003813X","PMID":"18787261","abstract":"Organic residue analysis utilizes analytical organic chemical techniques to identify the nature and origins of organic remains that cannot be characterized using traditional techniques of archaeological investigation (because they are either amorphous or invisible). The field is founded upon the principle that the biomolecular, or biochemical, components of organic materials associated with human activity survive in a wide variety of locations and deposits at archaeological sites. The archaeological information contained in organic residues is represented by the biomolecular components of the natural products that contribute to the formation of a given residue. By applying appropriate separation (chromatographic) and identification (mass spectrometric) techniques, the preserved, and altered, biomolecular components of such residues can be revealed. Once identified, the Archaeological Biomarker Concept can be applied, wherein the structure and even isotopic composition(s) of a given biomolecule or suite of biomolecules (the ‘chemical fingerprint’) can be related to the compositions of organisms exploited by humans in the past. As the organic residue field emerges from its pre-paradigmatic phase, and the organic residue revolution gathers pace, the way is open for challenging many long-held archaeological hypotheses and offering new perspectives on the study of human activity in the past.","author":[{"dropping-particle":"","family":"Evershed","given":"R. P.","non-dropping-particle":"","parse-names":false,"suffix":""}],"container-title":"Archaeometry","id":"ITEM-1","issue":"6","issued":{"date-parts":[["2008"]]},"note":"Good review of residue analysis\n\nCovers different sample types/materials and the common biomarkers and chemical classes associated w/ these different materials\n\nReview article discussing archaeological organic residue analysis, focusing on major approaches (biomarker approach and metabolic fingerprinting), molecular preservation, and variations across different archaeological materials/environments. Emphasis the biomarker approach should be driven by specific hypotheses and used to complement other archaeological evidence","page":"895-924","title":"Organic residue analysis in archaeology: The archaeological biomarker revolution","type":"article-journal","volume":"50"},"uris":["http://www.mendeley.com/documents/?uuid=c1e02908-6139-42c6-856d-c0c20d1e6141"]},{"id":"ITEM-2","itemData":{"DOI":"10.1016/j.jas.2021.105397","ISSN":"10959238","abstract":"The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Science","id":"ITEM-2","issue":"August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mendeley":{"formattedCitation":"&lt;sup&gt;21,23&lt;/sup&gt;","plainTextFormattedCitation":"21,23","previouslyFormattedCitation":"&lt;sup&gt;21,23&lt;/sup&gt;"},"properties":{"noteIndex":0},"schema":"https://github.com/citation-style-language/schema/raw/master/csl-citation.json"}</w:instrText>
      </w:r>
      <w:r w:rsidR="00884449" w:rsidRPr="00901194">
        <w:rPr>
          <w:rFonts w:cs="Times New Roman"/>
        </w:rPr>
        <w:fldChar w:fldCharType="separate"/>
      </w:r>
      <w:r w:rsidR="00884449" w:rsidRPr="00901194">
        <w:rPr>
          <w:rFonts w:cs="Times New Roman"/>
          <w:noProof/>
          <w:vertAlign w:val="superscript"/>
        </w:rPr>
        <w:t>21,23</w:t>
      </w:r>
      <w:r w:rsidR="00884449" w:rsidRPr="00901194">
        <w:rPr>
          <w:rFonts w:cs="Times New Roman"/>
        </w:rPr>
        <w:fldChar w:fldCharType="end"/>
      </w:r>
      <w:r w:rsidR="00884449" w:rsidRPr="00901194">
        <w:rPr>
          <w:rFonts w:cs="Times New Roman"/>
        </w:rPr>
        <w:t xml:space="preserve">. </w:t>
      </w:r>
      <w:r w:rsidRPr="00901194">
        <w:rPr>
          <w:rFonts w:cs="Times New Roman"/>
        </w:rPr>
        <w:t xml:space="preserve">These targeted </w:t>
      </w:r>
      <w:r w:rsidR="00134AA8" w:rsidRPr="00901194">
        <w:rPr>
          <w:rFonts w:cs="Times New Roman"/>
        </w:rPr>
        <w:t xml:space="preserve">residue </w:t>
      </w:r>
      <w:r w:rsidRPr="00901194">
        <w:rPr>
          <w:rFonts w:cs="Times New Roman"/>
        </w:rPr>
        <w:t>analyses examine known or suspected molecules</w:t>
      </w:r>
      <w:r w:rsidRPr="00901194">
        <w:rPr>
          <w:rFonts w:cs="Times New Roman"/>
        </w:rPr>
        <w:fldChar w:fldCharType="begin" w:fldLock="1"/>
      </w:r>
      <w:r w:rsidR="00884449" w:rsidRPr="00901194">
        <w:rPr>
          <w:rFonts w:cs="Times New Roman"/>
        </w:rPr>
        <w:instrText>ADDIN CSL_CITATION {"citationItems":[{"id":"ITEM-1","itemData":{"DOI":"10.1007/s11306-012-0434-4","ISBN":"10.1007/s11306-012-0434-4","ISSN":"15733882","PMID":"8868813","abstract":"Metabolomics has advanced significantly in the past 10 years with important developments related to hardware, software and methodologies and an increasing complexity of applications. In discovery-based investigations, applying untargeted analytical methods, thousands of metabolites can be detected with no or limited prior knowledge of the metabolite composition of samples. In these cases, metabolite identification is required following data acquisition and processing. Currently, the process of metabolite identification in untargeted metabolomic studies is a significant bottleneck in deriving biological knowledge from metabolomic studies. In this review we highlight the different traditional and emerging tools and strategies applied to identify subsets of metabolites detected in untargeted metabolomic studies applying various mass spectrometry platforms. We indicate the workflows which are routinely applied and highlight the current limitations which need to be overcome to provide efficient, accurate and robust identification of metabolites in untargeted metabolomic studies. These workflows apply to the identification of metabolites, for which the structure can be assigned based on entries in databases, and for those which are not yet stored in databases and which require a de novo structure elucidation.","author":[{"dropping-particle":"","family":"Dunn","given":"Warwick B.","non-dropping-particle":"","parse-names":false,"suffix":""},{"dropping-particle":"","family":"Erban","given":"Alexander","non-dropping-particle":"","parse-names":false,"suffix":""},{"dropping-particle":"","family":"Weber","given":"Ralf J.M.","non-dropping-particle":"","parse-names":false,"suffix":""},{"dropping-particle":"","family":"Creek","given":"Darren J.","non-dropping-particle":"","parse-names":false,"suffix":""},{"dropping-particle":"","family":"Brown","given":"Marie","non-dropping-particle":"","parse-names":false,"suffix":""},{"dropping-particle":"","family":"Breitling","given":"Rainer","non-dropping-particle":"","parse-names":false,"suffix":""},{"dropping-particle":"","family":"Hankemeier","given":"Thomas","non-dropping-particle":"","parse-names":false,"suffix":""},{"dropping-particle":"","family":"Goodacre","given":"Royston","non-dropping-particle":"","parse-names":false,"suffix":""},{"dropping-particle":"","family":"Neumann","given":"Steffen","non-dropping-particle":"","parse-names":false,"suffix":""},{"dropping-particle":"","family":"Kopka","given":"Joachim","non-dropping-particle":"","parse-names":false,"suffix":""},{"dropping-particle":"","family":"Viant","given":"Mark R.","non-dropping-particle":"","parse-names":false,"suffix":""}],"container-title":"Metabolomics","id":"ITEM-1","issue":"SUPPL.1","issued":{"date-parts":[["2013"]]},"page":"44-66","title":"Mass appeal: Metabolite identification in mass spectrometry-focused untargeted metabolomics","type":"article-journal","volume":"9"},"uris":["http://www.mendeley.com/documents/?uuid=a215a8d6-7a73-41a6-b269-0e1e3e3f2676"]}],"mendeley":{"formattedCitation":"&lt;sup&gt;38&lt;/sup&gt;","plainTextFormattedCitation":"38","previouslyFormattedCitation":"&lt;sup&gt;38&lt;/sup&gt;"},"properties":{"noteIndex":0},"schema":"https://github.com/citation-style-language/schema/raw/master/csl-citation.json"}</w:instrText>
      </w:r>
      <w:r w:rsidRPr="00901194">
        <w:rPr>
          <w:rFonts w:cs="Times New Roman"/>
        </w:rPr>
        <w:fldChar w:fldCharType="separate"/>
      </w:r>
      <w:r w:rsidRPr="00901194">
        <w:rPr>
          <w:rFonts w:cs="Times New Roman"/>
          <w:noProof/>
          <w:vertAlign w:val="superscript"/>
        </w:rPr>
        <w:t>38</w:t>
      </w:r>
      <w:r w:rsidRPr="00901194">
        <w:rPr>
          <w:rFonts w:cs="Times New Roman"/>
        </w:rPr>
        <w:fldChar w:fldCharType="end"/>
      </w:r>
      <w:r w:rsidR="00114796" w:rsidRPr="00901194">
        <w:rPr>
          <w:rFonts w:cs="Times New Roman"/>
        </w:rPr>
        <w:t xml:space="preserve">, </w:t>
      </w:r>
      <w:r w:rsidR="00134AA8" w:rsidRPr="00901194">
        <w:rPr>
          <w:rFonts w:cs="Times New Roman"/>
        </w:rPr>
        <w:t xml:space="preserve">treat these detected molecules as biomarkers </w:t>
      </w:r>
      <w:r w:rsidR="00280E2D" w:rsidRPr="00901194">
        <w:rPr>
          <w:rFonts w:cs="Times New Roman"/>
        </w:rPr>
        <w:t xml:space="preserve">indicative </w:t>
      </w:r>
      <w:r w:rsidR="00134AA8" w:rsidRPr="00901194">
        <w:rPr>
          <w:rFonts w:cs="Times New Roman"/>
        </w:rPr>
        <w:t>of past cultural behavior</w:t>
      </w:r>
      <w:r w:rsidR="00114796" w:rsidRPr="00901194">
        <w:rPr>
          <w:rFonts w:cs="Times New Roman"/>
        </w:rPr>
        <w:t xml:space="preserve">, and </w:t>
      </w:r>
      <w:r w:rsidR="002142AE" w:rsidRPr="00901194">
        <w:rPr>
          <w:rFonts w:cs="Times New Roman"/>
        </w:rPr>
        <w:t xml:space="preserve">then </w:t>
      </w:r>
      <w:r w:rsidR="00114796" w:rsidRPr="00901194">
        <w:rPr>
          <w:rFonts w:cs="Times New Roman"/>
        </w:rPr>
        <w:t>integrate the molecular biomarker data with other existing data to support or reject</w:t>
      </w:r>
      <w:r w:rsidR="00280E2D" w:rsidRPr="00901194">
        <w:rPr>
          <w:rFonts w:cs="Times New Roman"/>
        </w:rPr>
        <w:t xml:space="preserve"> existing</w:t>
      </w:r>
      <w:r w:rsidR="00114796" w:rsidRPr="00901194">
        <w:rPr>
          <w:rFonts w:cs="Times New Roman"/>
        </w:rPr>
        <w:t xml:space="preserve"> hypotheses</w:t>
      </w:r>
      <w:r w:rsidR="00114796" w:rsidRPr="00901194">
        <w:rPr>
          <w:rFonts w:cs="Times New Roman"/>
        </w:rPr>
        <w:fldChar w:fldCharType="begin" w:fldLock="1"/>
      </w:r>
      <w:r w:rsidR="00911D93" w:rsidRPr="00901194">
        <w:rPr>
          <w:rFonts w:cs="Times New Roman"/>
        </w:rPr>
        <w:instrText>ADDIN CSL_CITATION {"citationItems":[{"id":"ITEM-1","itemData":{"DOI":"10.1111/j.1475-4754.2008.00446.x","ISBN":"0003-813X","ISSN":"0003813X","PMID":"18787261","abstract":"Organic residue analysis utilizes analytical organic chemical techniques to identify the nature and origins of organic remains that cannot be characterized using traditional techniques of archaeological investigation (because they are either amorphous or invisible). The field is founded upon the principle that the biomolecular, or biochemical, components of organic materials associated with human activity survive in a wide variety of locations and deposits at archaeological sites. The archaeological information contained in organic residues is represented by the biomolecular components of the natural products that contribute to the formation of a given residue. By applying appropriate separation (chromatographic) and identification (mass spectrometric) techniques, the preserved, and altered, biomolecular components of such residues can be revealed. Once identified, the Archaeological Biomarker Concept can be applied, wherein the structure and even isotopic composition(s) of a given biomolecule or suite of biomolecules (the ‘chemical fingerprint’) can be related to the compositions of organisms exploited by humans in the past. As the organic residue field emerges from its pre-paradigmatic phase, and the organic residue revolution gathers pace, the way is open for challenging many long-held archaeological hypotheses and offering new perspectives on the study of human activity in the past.","author":[{"dropping-particle":"","family":"Evershed","given":"R. P.","non-dropping-particle":"","parse-names":false,"suffix":""}],"container-title":"Archaeometry","id":"ITEM-1","issue":"6","issued":{"date-parts":[["2008"]]},"note":"Good review of residue analysis\n\nCovers different sample types/materials and the common biomarkers and chemical classes associated w/ these different materials\n\nReview article discussing archaeological organic residue analysis, focusing on major approaches (biomarker approach and metabolic fingerprinting), molecular preservation, and variations across different archaeological materials/environments. Emphasis the biomarker approach should be driven by specific hypotheses and used to complement other archaeological evidence","page":"895-924","title":"Organic residue analysis in archaeology: The archaeological biomarker revolution","type":"article-journal","volume":"50"},"uris":["http://www.mendeley.com/documents/?uuid=c1e02908-6139-42c6-856d-c0c20d1e6141"]}],"mendeley":{"formattedCitation":"&lt;sup&gt;21&lt;/sup&gt;","plainTextFormattedCitation":"21","previouslyFormattedCitation":"&lt;sup&gt;21&lt;/sup&gt;"},"properties":{"noteIndex":0},"schema":"https://github.com/citation-style-language/schema/raw/master/csl-citation.json"}</w:instrText>
      </w:r>
      <w:r w:rsidR="00114796" w:rsidRPr="00901194">
        <w:rPr>
          <w:rFonts w:cs="Times New Roman"/>
        </w:rPr>
        <w:fldChar w:fldCharType="separate"/>
      </w:r>
      <w:r w:rsidR="00114796" w:rsidRPr="00901194">
        <w:rPr>
          <w:rFonts w:cs="Times New Roman"/>
          <w:noProof/>
          <w:vertAlign w:val="superscript"/>
        </w:rPr>
        <w:t>21</w:t>
      </w:r>
      <w:r w:rsidR="00114796" w:rsidRPr="00901194">
        <w:rPr>
          <w:rFonts w:cs="Times New Roman"/>
        </w:rPr>
        <w:fldChar w:fldCharType="end"/>
      </w:r>
      <w:r w:rsidR="00114796" w:rsidRPr="00901194">
        <w:rPr>
          <w:rFonts w:cs="Times New Roman"/>
        </w:rPr>
        <w:t xml:space="preserve">. </w:t>
      </w:r>
      <w:r w:rsidR="00134AA8" w:rsidRPr="00901194">
        <w:rPr>
          <w:rFonts w:cs="Times New Roman"/>
        </w:rPr>
        <w:t xml:space="preserve">For example, theobromine is a biomarker associated with </w:t>
      </w:r>
      <w:r w:rsidR="00D86FEC" w:rsidRPr="00901194">
        <w:rPr>
          <w:rFonts w:cs="Times New Roman"/>
        </w:rPr>
        <w:t xml:space="preserve">cacao and </w:t>
      </w:r>
      <w:r w:rsidR="00134AA8" w:rsidRPr="00901194">
        <w:rPr>
          <w:rFonts w:cs="Times New Roman"/>
        </w:rPr>
        <w:t>chocolate consumption</w:t>
      </w:r>
      <w:r w:rsidR="00D86FEC" w:rsidRPr="00901194">
        <w:rPr>
          <w:rFonts w:cs="Times New Roman"/>
        </w:rPr>
        <w:fldChar w:fldCharType="begin" w:fldLock="1"/>
      </w:r>
      <w:r w:rsidR="00CC184B" w:rsidRPr="00901194">
        <w:rPr>
          <w:rFonts w:cs="Times New Roman"/>
        </w:rPr>
        <w:instrText>ADDIN CSL_CITATION {"citationItems":[{"id":"ITEM-1","itemData":{"DOI":"10.1073/pnas.1511799112","ISSN":"0027-8424","PMID":"26372965","abstract":"Chemical analyses of organic residues in fragments of pottery from 18 sites in the US Southwest and Mexican Northwest reveal combinations of methylxanthines (caffeine, theobromine, and theophylline) indicative of stimulant drinks, probably concocted using either cacao or holly leaves and twigs. The results cover a time period from around A.D. 750-1400, and a spatial distribution from southern Colorado to northern Chihuahua. As with populations located throughout much of North and South America, groups in the US Southwest and Mexican Northwest likely consumed stimulant drinks in communal, ritual gatherings. The results have implications for economic and social relations among North American populations.","author":[{"dropping-particle":"","family":"Crown","given":"Patricia L.","non-dropping-particle":"","parse-names":false,"suffix":""},{"dropping-particle":"","family":"Gu","given":"Jiyan","non-dropping-particle":"","parse-names":false,"suffix":""},{"dropping-particle":"","family":"Hurst","given":"W. Jeffrey","non-dropping-particle":"","parse-names":false,"suffix":""},{"dropping-particle":"","family":"Ward","given":"Timothy J.","non-dropping-particle":"","parse-names":false,"suffix":""},{"dropping-particle":"","family":"Bravenec","given":"Ardith D.","non-dropping-particle":"","parse-names":false,"suffix":""},{"dropping-particle":"","family":"Ali","given":"Syed","non-dropping-particle":"","parse-names":false,"suffix":""},{"dropping-particle":"","family":"Kebert","given":"Laura","non-dropping-particle":"","parse-names":false,"suffix":""},{"dropping-particle":"","family":"Berch","given":"Marlaina","non-dropping-particle":"","parse-names":false,"suffix":""},{"dropping-particle":"","family":"Redman","given":"Erin","non-dropping-particle":"","parse-names":false,"suffix":""},{"dropping-particle":"","family":"Lyons","given":"Patrick D.","non-dropping-particle":"","parse-names":false,"suffix":""},{"dropping-particle":"","family":"Merewether","given":"Jamie","non-dropping-particle":"","parse-names":false,"suffix":""},{"dropping-particle":"","family":"Phillips","given":"David A.","non-dropping-particle":"","parse-names":false,"suffix":""},{"dropping-particle":"","family":"Reed","given":"Lori S.","non-dropping-particle":"","parse-names":false,"suffix":""},{"dropping-particle":"","family":"Woodson","given":"Kyle","non-dropping-particle":"","parse-names":false,"suffix":""}],"container-title":"Proceedings of the National Academy of Sciences","id":"ITEM-1","issue":"37","issued":{"date-parts":[["2015"]]},"note":"Summary: Case study examining residues of 177 pottery samples (most samples were stored in museum, but some were collected in-field) from 18 sites in US Southwest and Mexican Northwest. Authors used LC-MS/MS to detect methylxanthines, with their results demonstrating cacao and holly-based residues. Use these results to suggest cacao and holly-based caffeinated drinks were part of communal ritualistic cermonies and evidence for social/economic networks.\nAssessment: Decent case study. Methods seem generally good (although their wording makes it sound like they injected caffeine and theobromine standards with their samples to test for caffeine/theobromine; they might have done this to get specific concentrations to compare, but the explanation here is poor), but don't provide much MS data or standard comparisons. They also make a lot of broad archaeological interpretations from small sample sizes and minimal residues with little discussion of contamination (other than saying they're confident there was none). While I find their broader archaeological conclusions somewhat lacking, I appreciate their approach of comparing concentrations of biomarkers in addition to presence/absence.\n\nLC-MS\n\nxanine = purine base. Many stimulants are derived from it. Naturally occurring.\n\nUse data from residue to make claims about exchange systems in these regions","page":"11436-11442","title":"Ritual drinks in the pre-Hispanic US Southwest and Mexican Northwest","type":"article-journal","volume":"112"},"uris":["http://www.mendeley.com/documents/?uuid=eeff689e-7515-461a-8767-86a4aa750686"]},{"id":"ITEM-2","itemData":{"DOI":"10.1016/j.jas.2014.07.011","ISBN":"0305-4403","ISSN":"10959238","abstract":"We address the issue of contamination in sampling and storage procedures and the requirements of sample size and controls necessary to assay ceramic vessels for absorbed chemical residues. We focus our discussion on the detection and quantification of the three methylxanthines - caffeine, theobromine and theophylline as a means to infer whether Mississippian and Southwestern vessels had been used for the consumption of a stimulating drink made from the seeds of Theobroma cacao, a tree that grows in the Mesoamerican tropics. Our research detected two statistically differentiated concentration levels of methylxanthines on objects in museum storage: vessels with low levels of methylxanthines from airborne particulates that we attribute to environmental contamination, and vessels with significant higher levels of the methylxanthines that we attribute to the archaeological record reflecting prehistoric cacao consumption. We propose that cacao was imported into the American Midwest/Southeast during the Mississippian platform mound tradition AD 1000-1300 and into the American Southwest during the Chaco Great House tradition AD 900-1200 and the Hohokam platform mound tradition AD 1300-1400. © 2014 Elsevier Ltd.","author":[{"dropping-particle":"","family":"Washburn","given":"Dorothy K.","non-dropping-particle":"","parse-names":false,"suffix":""},{"dropping-particle":"","family":"Washburn","given":"William N.","non-dropping-particle":"","parse-names":false,"suffix":""},{"dropping-particle":"","family":"Shipkova","given":"Petia A.","non-dropping-particle":"","parse-names":false,"suffix":""},{"dropping-particle":"","family":"Pelleymounter","given":"Mary Ann","non-dropping-particle":"","parse-names":false,"suffix":""}],"container-title":"Journal of Archaeological Science","id":"ITEM-2","issue":"1","issued":{"date-parts":[["2014"]]},"note":"Summary: Case study analyzing pottery samples from American Midwest, Southeast, and Southwest testing for methylxanthine biomarkers (caffeine, theobromine, theophylline) associated with cacao. Importantly, they also developed a method for assessing environmental contamination of these products as airborne dust settling on vessels while stored in museum. Found differential levels of methylxanthine concentration based on environmental contamination and prehistoric use, then use these residue results to explore elements of trade networks of cacao.\nAssessment: Great case study. Some of their methods are a little vague (no full MS parameters?), but did use standards and provided MS info/data. Their focus on modern contamination is exemplary and they directly address how many residue projects cannot simply accept the detection of a biomarker as proof of ancient use (even addressing how modern uses of fast food products, smoking, coffee, etc. can impact the efficacy of residue analyses when testing for those molecules). Advocate for the need to refine methods while considering modern environmental contamination\n\nAdvocate a method designed to test for environmental/background contamination on residues. Essentially, airborne particles containing the target biomarker can form on the ceramic as dust, thus altering any results. Argue that RA studies should include controls for environmental contamination (dust) and check whether these controls have equal or higher levels of biomarker than samples.\n\nSimilar to Crown et al. 2015\n\nfirst sentence of intro is a good basic explanation of what RA can offer\n\nSee page 194 for methods: offer a new way to collect samples without damaging sherd","page":"191-207","publisher":"Elsevier Ltd","title":"Chemical analysis of cacao residues in archaeological ceramics from North America: Considerations of contamination, sample size and systematic controls","type":"article-journal","volume":"50"},"uris":["http://www.mendeley.com/documents/?uuid=fb787bc6-415c-4511-892c-875c64bbe34b"]}],"mendeley":{"formattedCitation":"&lt;sup&gt;59,205&lt;/sup&gt;","plainTextFormattedCitation":"59,205","previouslyFormattedCitation":"&lt;sup&gt;59,205&lt;/sup&gt;"},"properties":{"noteIndex":0},"schema":"https://github.com/citation-style-language/schema/raw/master/csl-citation.json"}</w:instrText>
      </w:r>
      <w:r w:rsidR="00D86FEC" w:rsidRPr="00901194">
        <w:rPr>
          <w:rFonts w:cs="Times New Roman"/>
        </w:rPr>
        <w:fldChar w:fldCharType="separate"/>
      </w:r>
      <w:r w:rsidR="00975A3E" w:rsidRPr="00901194">
        <w:rPr>
          <w:rFonts w:cs="Times New Roman"/>
          <w:noProof/>
          <w:vertAlign w:val="superscript"/>
        </w:rPr>
        <w:t>59,205</w:t>
      </w:r>
      <w:r w:rsidR="00D86FEC" w:rsidRPr="00901194">
        <w:rPr>
          <w:rFonts w:cs="Times New Roman"/>
        </w:rPr>
        <w:fldChar w:fldCharType="end"/>
      </w:r>
      <w:r w:rsidR="00D86FEC" w:rsidRPr="00901194">
        <w:rPr>
          <w:rFonts w:cs="Times New Roman"/>
        </w:rPr>
        <w:t>. Another common biomarker is nicotine, which is associated with tobacco use</w:t>
      </w:r>
      <w:r w:rsidR="00D86FEC" w:rsidRPr="00901194">
        <w:rPr>
          <w:rFonts w:cs="Times New Roman"/>
        </w:rPr>
        <w:fldChar w:fldCharType="begin" w:fldLock="1"/>
      </w:r>
      <w:r w:rsidR="00CC184B" w:rsidRPr="00901194">
        <w:rPr>
          <w:rFonts w:cs="Times New Roman"/>
        </w:rPr>
        <w:instrText>ADDIN CSL_CITATION {"citationItems":[{"id":"ITEM-1","itemData":{"DOI":"10.1016/j.jasrep.2017.12.011","ISSN":"2352409X","abstract":"The practice of pipe smoking was commonplace among indigenous cultures of the Eastern Woodlands of North America. However, many questions remain concerning what materials were smoked and when tobacco first became a part of this smoking tradition. Chemical analysis of organic residues extracted from archaeological smoking pipes is an encouraging avenue of research into answering questions regarding the development of a smoking complex within indigenous cultures of the Eastern Woodlands. In the right environmental conditions, absorbed organic compounds within artifacts can remain structurally stable for millennia, allowing analyses of organic matter to be performed on relics of advanced age. In this study, organic matter from six pipe fragments derived from the prehistoric Feltus site in Mississippi was extracted and analyzed via GC-MS, a process that allows for the identification of compounds in a complex mixture. Preliminary experiments tested the effects of pH on the efficacy of our extraction solvent to maximize the detectability of alkaloids such as nicotine. Several notable compounds were identified, including nicotine, which serves as a biomarker for tobacco.","author":[{"dropping-particle":"","family":"Carmody","given":"Stephen B.","non-dropping-particle":"","parse-names":false,"suffix":""},{"dropping-particle":"","family":"Kassabaum","given":"Megan C.","non-dropping-particle":"","parse-names":false,"suffix":""},{"dropping-particle":"","family":"Hunt","given":"Ryan K.","non-dropping-particle":"","parse-names":false,"suffix":""},{"dropping-particle":"","family":"Prodanovich","given":"Natalie","non-dropping-particle":"","parse-names":false,"suffix":""},{"dropping-particle":"","family":"Elliott","given":"Hope","non-dropping-particle":"","parse-names":false,"suffix":""},{"dropping-particle":"","family":"Russ","given":"Jon","non-dropping-particle":"","parse-names":false,"suffix":""}],"container-title":"Journal of Archaeological Science: Reports","id":"ITEM-1","issue":"August 2017","issued":{"date-parts":[["2018"]]},"note":"GC-MS\n\nSorta do experimental arch. - look at recently harvested leaves and residues left behind in pipes in the lab to compare to artifacts\n\nSample methods on page 645\n\nTargeted - goal was to check for nicotine\n\n\nCase study using targeted GC-MS to explore tobacco (ie., nicotine) presence in six pipe fragments. Also did experimental archaeology testing tobacco leaves and experimentally smoking them to compare with ancient samples. Detected nicotine and other plant products on pipes, sugesting aspects of ancient plant use\nModerately good case study -- used standards, experimental archaeology, and provided MS data, but low sample sizes and used multiple GC systems (batch effects)","page":"640-649","publisher":"Elsevier","title":"Residue analysis of smoking pipe fragments from the Feltus archaeological site, Southeastern North America","type":"article-journal","volume":"17"},"uris":["http://www.mendeley.com/documents/?uuid=4c211362-6b1a-46bc-aee9-a051700b2584"]},{"id":"ITEM-2","itemData":{"DOI":"10.1016/j.jasrep.2018.03.008","ISSN":"2352409X","abstract":"The Niles-Wolford Mound (33Pi3) was a conical Adena burial mound located along the Scioto River in Jackson Township, Pickaway County, Ohio. Excavations conducted in 1955 by the Ohio History Connection resulted in the discovery of a subfloor tomb with three burials. A tubular pipe found in association with one of the burials contained charred organic residue. Macrobotonical analysis of the material identified root or bark within the sample. Liquid chromatography-mass spectrometry (LC-MS) analyses detected the presence of various compounds, including an alkaloid. Radiocarbon dating places the mound to circa 2120 ± 30 BP. This research furthers our understanding of the timing, geographical extent, and ceremonial contexts of prehistoric plant tobacco use by the Adena culture and demonstrates the importance of museum collections for addressing such questions.","author":[{"dropping-particle":"","family":"Marley","given":"Meghan B.","non-dropping-particle":"","parse-names":false,"suffix":""},{"dropping-particle":"","family":"Brownstein","given":"Korey J.","non-dropping-particle":"","parse-names":false,"suffix":""},{"dropping-particle":"","family":"Lepper","given":"Bradley T.","non-dropping-particle":"","parse-names":false,"suffix":""},{"dropping-particle":"","family":"Tushingham","given":"Shannon","non-dropping-particle":"","parse-names":false,"suffix":""},{"dropping-particle":"","family":"Leone","given":"Karen L.","non-dropping-particle":"","parse-names":false,"suffix":""},{"dropping-particle":"","family":"Rafferty","given":"Sean M.","non-dropping-particle":"","parse-names":false,"suffix":""},{"dropping-particle":"","family":"Gang","given":"David R.","non-dropping-particle":"","parse-names":false,"suffix":""},{"dropping-particle":"","family":"Pansing","given":"Linda L.","non-dropping-particle":"","parse-names":false,"suffix":""},{"dropping-particle":"","family":"Pickard","given":"William H.","non-dropping-particle":"","parse-names":false,"suffix":""},{"dropping-particle":"","family":"Six","given":"Juli","non-dropping-particle":"","parse-names":false,"suffix":""}],"container-title":"Journal of Archaeological Science: Reports","id":"ITEM-2","issue":"April","issued":{"date-parts":[["2018"]]},"note":"Summary: LC-MS analysis of organic residue from a single pipe from a burial mound in Ohio, aiming to find nicotine biomarkers. These biomarkers were below the limit of detection, but did find unknown compounds that could provide evidence of past use (or modern contamination).\nAssessment: Good case study -- good methods, used MS standards and provided data, discussed meaning of negative results, and did not overassume presence/absence of biomarkers.","page":"658-668","title":"Analyses of organic residue from a conical pipe from the Niles-Wolford Mound (33Pi3), Pickaway County, Ohio","type":"article-journal","volume":"19"},"uris":["http://www.mendeley.com/documents/?uuid=2e9ad120-19cc-4f5b-ba47-55d94ddd4c2b"]},{"id":"ITEM-3","itemData":{"DOI":"10.3389/fmolb.2020.00133","ISSN":"2296889X","abstract":"Residues from ancient artifacts can help identify which plant species were used for their psychoactive properties, providing important information regarding the deep-time co-evolutionary relationship between plants and humans. However, relying on the presence or absence of one or several biomarkers has limited the ability to confidently connect residues to particular plants. We describe a comprehensive metabolomics-based approach that can distinguish closely related species and provide greater confidence in species use determinations. An ~1430-year-old pipe from central Washington State not only contained nicotine, but also had strong evidence for the smoking of Nicotiana quadrivalvis and Rhus glabra, as opposed to several other species in this pre-contact pipe. Analysis of a post-contact pipe suggested use of different plants, including the introduced trade tobacco, Nicotiana rustica. Ancient residue metabolomics provides a new frontier in archaeo-chemistry, with greater precision to investigate the evolution of drug use and similar plant-human co-evolutionary dynamics.","author":[{"dropping-particle":"","family":"Brownstein","given":"Korey J.","non-dropping-particle":"","parse-names":false,"suffix":""},{"dropping-particle":"","family":"Tushingham","given":"Shannon","non-dropping-particle":"","parse-names":false,"suffix":""},{"dropping-particle":"","family":"Damitio","given":"William J.","non-dropping-particle":"","parse-names":false,"suffix":""},{"dropping-particle":"","family":"Nguyen","given":"Tung","non-dropping-particle":"","parse-names":false,"suffix":""},{"dropping-particle":"","family":"Gang","given":"David R.","non-dropping-particle":"","parse-names":false,"suffix":""}],"container-title":"Frontiers in Molecular Biosciences","id":"ITEM-3","issue":"June","issued":{"date-parts":[["2020"]]},"note":"Brownstein article -- ancient residue metabolomics\n\nCase study focused on developing a targeted metabolomics-like LC-MS approach to distinguish closely-related plant species found in archaeological pipes. Proposed method involves multiple washing/sonication steps with extractions to improve residue recovery without harming ceramic vessel. Also did experimental archaeology\nGreat case study -- used authentic standards, provided MS1 and MS2 data, proper methods, etc.","page":"1-14","title":"An Ancient Residue Metabolomics-Based Method to Distinguish Use of Closely Related Plant Species in Ancient Pipes","type":"article-journal","volume":"7"},"uris":["http://www.mendeley.com/documents/?uuid=c3aa1444-6558-4c93-ad18-b95b835c104d"]}],"mendeley":{"formattedCitation":"&lt;sup&gt;61,62,209&lt;/sup&gt;","plainTextFormattedCitation":"61,62,209","previouslyFormattedCitation":"&lt;sup&gt;61,62,209&lt;/sup&gt;"},"properties":{"noteIndex":0},"schema":"https://github.com/citation-style-language/schema/raw/master/csl-citation.json"}</w:instrText>
      </w:r>
      <w:r w:rsidR="00D86FEC" w:rsidRPr="00901194">
        <w:rPr>
          <w:rFonts w:cs="Times New Roman"/>
        </w:rPr>
        <w:fldChar w:fldCharType="separate"/>
      </w:r>
      <w:r w:rsidR="00975A3E" w:rsidRPr="00901194">
        <w:rPr>
          <w:rFonts w:cs="Times New Roman"/>
          <w:noProof/>
          <w:vertAlign w:val="superscript"/>
        </w:rPr>
        <w:t>61,62,209</w:t>
      </w:r>
      <w:r w:rsidR="00D86FEC" w:rsidRPr="00901194">
        <w:rPr>
          <w:rFonts w:cs="Times New Roman"/>
        </w:rPr>
        <w:fldChar w:fldCharType="end"/>
      </w:r>
      <w:r w:rsidR="00D86FEC" w:rsidRPr="00901194">
        <w:rPr>
          <w:rFonts w:cs="Times New Roman"/>
        </w:rPr>
        <w:t xml:space="preserve">. </w:t>
      </w:r>
      <w:r w:rsidR="002142AE" w:rsidRPr="00901194">
        <w:rPr>
          <w:rFonts w:cs="Times New Roman"/>
        </w:rPr>
        <w:t xml:space="preserve">While these targeted biomarker studies yield useful information about past human behavior, such targeted analyses might miss out on data </w:t>
      </w:r>
      <w:r w:rsidR="00114796" w:rsidRPr="00901194">
        <w:rPr>
          <w:rFonts w:cs="Times New Roman"/>
        </w:rPr>
        <w:t>running counter to existing hypotheses</w:t>
      </w:r>
      <w:r w:rsidR="004C3193" w:rsidRPr="00901194">
        <w:rPr>
          <w:rFonts w:cs="Times New Roman"/>
        </w:rPr>
        <w:t>. Untargeted analyses have the potential to detect other interesting molecules, but this analysis type remains less popular in archaeological residue analysis, partly due to lack of existing successful methods.</w:t>
      </w:r>
    </w:p>
    <w:p w14:paraId="176DF28D" w14:textId="5D73DDE7" w:rsidR="004C3193" w:rsidRPr="00901194" w:rsidRDefault="004C3193" w:rsidP="00134AA8">
      <w:pPr>
        <w:ind w:firstLine="360"/>
        <w:rPr>
          <w:rFonts w:cs="Times New Roman"/>
        </w:rPr>
      </w:pPr>
      <w:r w:rsidRPr="00901194">
        <w:rPr>
          <w:rFonts w:cs="Times New Roman"/>
        </w:rPr>
        <w:t xml:space="preserve">Another major </w:t>
      </w:r>
      <w:r w:rsidR="00946326" w:rsidRPr="00901194">
        <w:rPr>
          <w:rFonts w:cs="Times New Roman"/>
        </w:rPr>
        <w:t xml:space="preserve">issue </w:t>
      </w:r>
      <w:r w:rsidR="009D72C2" w:rsidRPr="00901194">
        <w:rPr>
          <w:rFonts w:cs="Times New Roman"/>
        </w:rPr>
        <w:t>in residue analysis</w:t>
      </w:r>
      <w:r w:rsidR="003A5319" w:rsidRPr="00901194">
        <w:rPr>
          <w:rFonts w:cs="Times New Roman"/>
        </w:rPr>
        <w:t xml:space="preserve"> is the reliance on gas chromatography (GC) </w:t>
      </w:r>
      <w:r w:rsidR="009D72C2" w:rsidRPr="00901194">
        <w:rPr>
          <w:rFonts w:cs="Times New Roman"/>
        </w:rPr>
        <w:t>over liquid chromatography (LC)</w:t>
      </w:r>
      <w:r w:rsidR="003A5319" w:rsidRPr="00901194">
        <w:rPr>
          <w:rFonts w:cs="Times New Roman"/>
        </w:rPr>
        <w:t>. Beyond the different mobile phase states, GC and LC differ in three</w:t>
      </w:r>
      <w:r w:rsidR="003A5319" w:rsidRPr="00901194">
        <w:rPr>
          <w:rFonts w:cs="Times New Roman"/>
          <w:b/>
          <w:bCs/>
        </w:rPr>
        <w:t xml:space="preserve"> </w:t>
      </w:r>
      <w:r w:rsidR="003A5319" w:rsidRPr="00901194">
        <w:rPr>
          <w:rFonts w:cs="Times New Roman"/>
        </w:rPr>
        <w:t xml:space="preserve">crucial ways related to residue analysis: GC uses a heater vaporizer to interact sample molecules with the mobile phase (making GC better-suited for thermally stable molecules), GC is biased </w:t>
      </w:r>
      <w:r w:rsidR="003A5319" w:rsidRPr="00901194">
        <w:rPr>
          <w:rFonts w:cs="Times New Roman"/>
        </w:rPr>
        <w:lastRenderedPageBreak/>
        <w:t>towards nonpolar molecules, and GC is accurate up to 600 Da</w:t>
      </w:r>
      <w:r w:rsidR="00911D93" w:rsidRPr="00901194">
        <w:rPr>
          <w:rFonts w:cs="Times New Roman"/>
        </w:rPr>
        <w:fldChar w:fldCharType="begin" w:fldLock="1"/>
      </w:r>
      <w:r w:rsidR="008132FE" w:rsidRPr="00901194">
        <w:rPr>
          <w:rFonts w:cs="Times New Roman"/>
        </w:rPr>
        <w:instrText>ADDIN CSL_CITATION {"citationItems":[{"id":"ITEM-1","itemData":{"author":[{"dropping-particle":"","family":"Greaves","given":"John","non-dropping-particle":"","parse-names":false,"suffix":""},{"dropping-particle":"","family":"Roboz","given":"John","non-dropping-particle":"","parse-names":false,"suffix":""}],"id":"ITEM-1","issued":{"date-parts":[["2014"]]},"publisher":"CRC Press","publisher-place":"Boca Raton, FL","title":"Mass Spectrometry for the Novice","type":"book"},"uris":["http://www.mendeley.com/documents/?uuid=619eca22-da33-4008-a7cd-52340a8694c3"]}],"mendeley":{"formattedCitation":"&lt;sup&gt;15&lt;/sup&gt;","plainTextFormattedCitation":"15","previouslyFormattedCitation":"&lt;sup&gt;15&lt;/sup&gt;"},"properties":{"noteIndex":0},"schema":"https://github.com/citation-style-language/schema/raw/master/csl-citation.json"}</w:instrText>
      </w:r>
      <w:r w:rsidR="00911D93" w:rsidRPr="00901194">
        <w:rPr>
          <w:rFonts w:cs="Times New Roman"/>
        </w:rPr>
        <w:fldChar w:fldCharType="separate"/>
      </w:r>
      <w:r w:rsidR="00911D93" w:rsidRPr="00901194">
        <w:rPr>
          <w:rFonts w:cs="Times New Roman"/>
          <w:noProof/>
          <w:vertAlign w:val="superscript"/>
        </w:rPr>
        <w:t>15</w:t>
      </w:r>
      <w:r w:rsidR="00911D93" w:rsidRPr="00901194">
        <w:rPr>
          <w:rFonts w:cs="Times New Roman"/>
        </w:rPr>
        <w:fldChar w:fldCharType="end"/>
      </w:r>
      <w:r w:rsidR="00911D93" w:rsidRPr="00901194">
        <w:rPr>
          <w:rFonts w:cs="Times New Roman"/>
        </w:rPr>
        <w:t xml:space="preserve">. </w:t>
      </w:r>
      <w:r w:rsidR="00CA336B" w:rsidRPr="00901194">
        <w:rPr>
          <w:rFonts w:cs="Times New Roman"/>
        </w:rPr>
        <w:t xml:space="preserve">Meanwhile, the lack of heater vaporizer for LC makes it ideal for thermally volatile molecules, LC is biased towards polar molecules, and LC is accurate up to 1500 Da. The </w:t>
      </w:r>
      <w:r w:rsidR="00135C10" w:rsidRPr="00901194">
        <w:rPr>
          <w:rFonts w:cs="Times New Roman"/>
        </w:rPr>
        <w:t>increased resolution and capacity to detect wider ranges of molecules</w:t>
      </w:r>
      <w:r w:rsidR="00CA336B" w:rsidRPr="00901194">
        <w:rPr>
          <w:rFonts w:cs="Times New Roman"/>
        </w:rPr>
        <w:t xml:space="preserve"> offered by LC makes it better</w:t>
      </w:r>
      <w:r w:rsidR="00C46A0E" w:rsidRPr="00901194">
        <w:rPr>
          <w:rFonts w:cs="Times New Roman"/>
        </w:rPr>
        <w:t xml:space="preserve"> </w:t>
      </w:r>
      <w:r w:rsidR="00CA336B" w:rsidRPr="00901194">
        <w:rPr>
          <w:rFonts w:cs="Times New Roman"/>
        </w:rPr>
        <w:t>suited than GC to explore wide ranges of molecules</w:t>
      </w:r>
      <w:r w:rsidR="00E25C7A" w:rsidRPr="00901194">
        <w:rPr>
          <w:rFonts w:cs="Times New Roman"/>
        </w:rPr>
        <w:fldChar w:fldCharType="begin" w:fldLock="1"/>
      </w:r>
      <w:r w:rsidR="00CC184B" w:rsidRPr="00901194">
        <w:rPr>
          <w:rFonts w:cs="Times New Roman"/>
        </w:rPr>
        <w:instrText>ADDIN CSL_CITATION {"citationItems":[{"id":"ITEM-1","itemData":{"DOI":"10.1002/mas.20091","ISBN":"0019-5189","ISSN":"00195189","abstract":"This overview evaluates the capabilities of mass spectrometry (MS) in combination with gas chromatography (GC) and liquid chromatography (LC) for the determination of a multitude of pesticides. The selection of pesticides for this assessment is based on the status of production, the existence of regulations on maximum residue levels in food, and the frequency of residue detection. GC–MS with electron impact (EI) ionization and the combination of LC with tandem mass spectrometers (LC–MS/MS) using electrospray ionization (ESI) are identified as techniques most often applied in multi-residue methods for pesticides at present. Therefore, applicability and sensitivity obtained with GC–EI–MS and LC–ESI–MS/MS is individu- ally compared for each of the selected pesticides. Only for one substance class only, the organochlorine pesticides, GC-MS achieves better performance. For all other classes ofpesticides, the assessment shows a wider scope and better sensitivity if detection is based on LC–MS.","author":[{"dropping-particle":"","family":"Alder","given":"Lutz","non-dropping-particle":"","parse-names":false,"suffix":""},{"dropping-particle":"","family":"Greulich","given":"Kerstin","non-dropping-particle":"","parse-names":false,"suffix":""},{"dropping-particle":"","family":"Kempe","given":"Günther","non-dropping-particle":"","parse-names":false,"suffix":""},{"dropping-particle":"","family":"Vieth","given":"Bärbel","non-dropping-particle":"","parse-names":false,"suffix":""}],"container-title":"Mass spectrometry reviews","id":"ITEM-1","issue":"6","issued":{"date-parts":[["2006"]]},"note":"Looking at pesticide residues and comparing GC and LC.\n\n\nResearch article comparing the efficacy of different MS methods, such as GC-MS and LC-MS, for detecting pesticide residues. Concluded that LC-MS had a wider range of detected compounds and higher sensitivity than GC-MS, making it more suitable for analyzing chemical residues","page":"838-865","title":"Residue Analysis of 500 High Priority Pesticides: Better by GC-MS or LC-MS/MS?","type":"article-journal","volume":"25"},"uris":["http://www.mendeley.com/documents/?uuid=6b3c51a8-9333-48b5-ad5f-c554aa1f78b7"]},{"id":"ITEM-2","itemData":{"DOI":"10.1093/jat/bkv140","ISSN":"19452403","PMID":"26755538","abstract":"Liquid chromatography-tandem mass spectrometry (LC-MS-MS) offers specific advantages over gas chromatography-mass spectrometry (GC-MS) such as the ability to identify and measure a broader range of compounds with minimal sample preparation. Comparative analysis of LC-MSMS versus GC-MS was performed for urinalysis detection of five benzodiazepine compounds currently part of the Department of Defense (DoD) Drug Demand Reduction Program (DDRP) testing panel; alpha-hydroxyalprazolam, oxazepam, lorazepam, nordiazepam and temazepam. In the analyses of internally prepared control urine samples at concentrations around the DDRP administrative decision point for benzodiazepines (100 ng/mL), both technologies produced comparable results with average accuracies between 99.7 and 107.3% and average coefficients of variation (%CV) &lt;9%. Analysis of service member specimens that screened positive for benzodiazepines using both technologies produced comparable results for all analytes. Different degrees of matrix effect were observed for all analytes in the LC-MS-MS analysis. However, the effects were controlled by using deuterated internal standards (ISTDs). Additionally, there was a 39% increase in nordiazepam mean concentration analyzed by LC-MS-MS due to suppression of the ISTD ion by the flurazepam metabolite 2-hydroxyethylflurazepam. The ease and speed of sample extraction, the broader range of compounds that can be analyzed and shorter run time make the LC-MS-MS technology a suitable and expedient alternative confirmation technology for benzodiazepine testing.","author":[{"dropping-particle":"","family":"Perez","given":"Erick Roman","non-dropping-particle":"","parse-names":false,"suffix":""},{"dropping-particle":"","family":"Knapp","given":"Joshua A.","non-dropping-particle":"","parse-names":false,"suffix":""},{"dropping-particle":"","family":"Horn","given":"Carl K.","non-dropping-particle":"","parse-names":false,"suffix":""},{"dropping-particle":"","family":"Stillman","given":"Stedra L.","non-dropping-particle":"","parse-names":false,"suffix":""},{"dropping-particle":"","family":"Evans","given":"James E.","non-dropping-particle":"","parse-names":false,"suffix":""},{"dropping-particle":"","family":"Arfsten","given":"Darryl P.","non-dropping-particle":"","parse-names":false,"suffix":""}],"container-title":"Journal of Analytical Toxicology","id":"ITEM-2","issue":"3","issued":{"date-parts":[["2016"]]},"note":"Summary: Case study comparing the efficacy of GC-MS and LC-MS/MS for detecting 5 different benzodiazepine compounds. Both methods produced comparable results for the compounds, but LC-MS/MS reported a higher concentration for a certain class, plus it does not volitize samples, has a shorter runtime, easier use and sample prep, and a wider range of detectable metabolites. Authors conclude LC-MS/MS offers more advantages for molecule detection compared to GC-MS (for these compounds)\nAssessment: Good case study with very detailed methods. While it does not focus on archaeological residues and only discusses the benzodiazepine compounds, the article is useful for justifying LC-MS/MS methods over GC-MS (has been cited by archaeologists for that purpose)","page":"201-207","title":"Comparison of LC-MS-MS and GC-MS analysis of benzodiazepine compounds included in the drug demand reduction urinalysis program","type":"article-journal","volume":"40"},"uris":["http://www.mendeley.com/documents/?uuid=87cbcc96-72f2-4b6f-806c-77b26a408468"]}],"mendeley":{"formattedCitation":"&lt;sup&gt;210,211&lt;/sup&gt;","plainTextFormattedCitation":"210,211","previouslyFormattedCitation":"&lt;sup&gt;210,211&lt;/sup&gt;"},"properties":{"noteIndex":0},"schema":"https://github.com/citation-style-language/schema/raw/master/csl-citation.json"}</w:instrText>
      </w:r>
      <w:r w:rsidR="00E25C7A" w:rsidRPr="00901194">
        <w:rPr>
          <w:rFonts w:cs="Times New Roman"/>
        </w:rPr>
        <w:fldChar w:fldCharType="separate"/>
      </w:r>
      <w:r w:rsidR="00975A3E" w:rsidRPr="00901194">
        <w:rPr>
          <w:rFonts w:cs="Times New Roman"/>
          <w:noProof/>
          <w:vertAlign w:val="superscript"/>
        </w:rPr>
        <w:t>210,211</w:t>
      </w:r>
      <w:r w:rsidR="00E25C7A" w:rsidRPr="00901194">
        <w:rPr>
          <w:rFonts w:cs="Times New Roman"/>
        </w:rPr>
        <w:fldChar w:fldCharType="end"/>
      </w:r>
      <w:r w:rsidR="00CA336B" w:rsidRPr="00901194">
        <w:rPr>
          <w:rFonts w:cs="Times New Roman"/>
        </w:rPr>
        <w:t xml:space="preserve">, especially when applied to untargeted MS analyses. </w:t>
      </w:r>
      <w:r w:rsidR="00C46A0E" w:rsidRPr="00901194">
        <w:rPr>
          <w:rFonts w:cs="Times New Roman"/>
        </w:rPr>
        <w:t>Nonetheless, GC-MS remains the more popular choice for residue analyses</w:t>
      </w:r>
      <w:r w:rsidR="00135C10" w:rsidRPr="00901194">
        <w:rPr>
          <w:rFonts w:cs="Times New Roman"/>
        </w:rPr>
        <w:fldChar w:fldCharType="begin" w:fldLock="1"/>
      </w:r>
      <w:r w:rsidR="00CC184B" w:rsidRPr="00901194">
        <w:rPr>
          <w:rFonts w:cs="Times New Roman"/>
        </w:rPr>
        <w:instrText>ADDIN CSL_CITATION {"citationItems":[{"id":"ITEM-1","itemData":{"DOI":"10.1111/j.1475-4754.1993.tb01036.x","ISSN":"14754754","abstract":"Organic residue analysis has been performed on 62 reconstructed vessels from a single archaeological site (Rounds, Northamptonshire, U.K.). In order to establish regions of lipid accumulation within a vessel, sherds were sampled from different parts of a vessel, for example base, body and rim, and submitted to lipid extraction procedures. The techniques of high‐temperature gas chromatography (GC) and GC/mass spectrometry (GC/MS) were then used to analyse the sherd lipid extracts. The quantitative results obtained show differential accumulation and preservation of lipid in various parts of the same vessel. This latter observation has serious implications for the sampling of potsherds for organic residue analysis. Furthermore, the amount of absorbed lipid varies quite considerably between vessel types. On this basis, a new method is proposed for classifying vessel use by comparing the concentration of lipid present in different parts of individual vessels. Copyright © 1993, Wiley Blackwell. All rights reserved","author":[{"dropping-particle":"","family":"Charters","given":"S.","non-dropping-particle":"","parse-names":false,"suffix":""},{"dropping-particle":"","family":"Evershed","given":"R.P.","non-dropping-particle":"","parse-names":false,"suffix":""},{"dropping-particle":"","family":"Goad","given":"L.J.","non-dropping-particle":"","parse-names":false,"suffix":""},{"dropping-particle":"","family":"Leyden","given":"A.","non-dropping-particle":"","parse-names":false,"suffix":""}],"container-title":"Archaeometry","id":"ITEM-1","issue":"2","issued":{"date-parts":[["1993"]]},"note":"GC-MS\n\nTargeted GC-MS analysis of potsherds from various vessels to examine lipid concentration on different parts of the vessel. Found associations b/w lipid concentration and distribution in a vessel, and vessel form. Argues this approach can be used to determine vessel use based on lipid residue concentration\nGood case study -- detailed methods and used internal standards. Did not provide raw data, but still good methods for 1993","page":"211-223","title":"Quantification and Distribution of Lipid in Archaeological Ceramics: Implications for Sampling Potsherds for Organic Residue Analysis and the Classification of Vessel Use","type":"article-journal","volume":"35"},"uris":["http://www.mendeley.com/documents/?uuid=dac81e81-32a1-455e-85f0-4c952554400b"]},{"id":"ITEM-2","itemData":{"DOI":"10.1016/j.jasrep.2018.02.032","ISSN":"2352409X","abstract":"The excavation of the protohistoric site of Cuciurpula (South Corsica, France) revealed a significant amount of potsherds, often bearing visible surface crusts, sometimes very thick. This exceptional case in the Mediterranean region, suggesting a good preservation of organic substances, provided a unique opportunity to address questions related to pottery function and natural organic substances exploited in Corsica during the first half of the 1st millennium BC. The molecular analysis (GC and GC/MS) of organic residues from three houses of the site, preserved in both pottery walls and charred surface crusts, highlighted the wide diversity and the various roles of substances contained and processed in ceramic vessels: animal fats, plant oils and waxes, beeswax, and conifer resin. These molecular data, considered together with the shapes of the vessels and their location into the habitation units, revealed the diversity of pottery function (culinary and technical) and spatial organisation of domestic activities between houses or in a house (distinction between storage and cooking areas).","author":[{"dropping-particle":"","family":"Drieu","given":"Léa","non-dropping-particle":"","parse-names":false,"suffix":""},{"dropping-particle":"","family":"Peche-Quilichini","given":"Kewin","non-dropping-particle":"","parse-names":false,"suffix":""},{"dropping-particle":"","family":"Lachenal","given":"Thibault","non-dropping-particle":"","parse-names":false,"suffix":""},{"dropping-particle":"","family":"Regert","given":"Martine","non-dropping-particle":"","parse-names":false,"suffix":""}],"container-title":"Journal of Archaeological Science: Reports","id":"ITEM-2","issue":"March","issued":{"date-parts":[["2018"]]},"note":"Summary: Case study using GC-MS to examine residues from 3 houses at a Protohistoric Corsican site. Examined residues found in sediment, carbonized residues (trapped in pottery walls), and visible residues to explore diversity of processed products at site and spatial distribution. Detected plant and animal fatty acids, beeswax, resin, etc., and argued for how different spaces were used for processing different products and houses even had different recipes.\nAssessment: Good case study. Methods all seem there, used standards, provided MS data when possible, but they did not really address modern contamination.\n\n\nGC-MS\n\nLooked at visible residue\nSee pg 215 for methods\n\nLooking at domestic activities - sort of a metagenomic approach in that they're learning about entire household based off different rooms?","page":"213-223","publisher":"Elsevier","title":"Domestic activities and pottery use in the Iron Age Corsican settlement of Cuciurpula revealed by organic residue analysis","type":"article-journal","volume":"19"},"uris":["http://www.mendeley.com/documents/?uuid=a8d37877-ff51-4839-9590-e4b96ab5a918"]},{"id":"ITEM-3","itemData":{"DOI":"10.3389/fevo.2022.840199","abstract":"This study attempts a holistic approach to past foodways in prehistoric northern Gujarat, India, by considering evidence of food production, distribution, preparation and consumption. We present here the results of a pilot residue study, integrating lipid and starch grain analyses, conducted on 28 ceramic vessels from three Chalcolithic/Harappan settlements (c. 3300–2000 cal. BC) in northern Gujarat, which are discussed in the light of previous evidence of plant and animal acquisition and preparation strategies in this region. We aim to explore how the prehistoric inhabitants of northern Gujarat transformed ingredients into meals, focusing on how different foodstuffs were processed. When assessed on their own, the lipid and compound-specific isotopic data suggest that animal fats were primarily processed in ceramic vessels, specifically non-ruminant fats. However, lipid residue analysis favors the detection of fat-rich animal products and is often unable to disentangle signatures resulting from the mixing of plant and animal products. The incorporation of starch grain analyses provides evidence for the processing of a range of plants in the vessels, such as cereals, pulses and underground storage organs. Together, the results provide a holistic perspective on foodways and a way forward in overcoming preservational and interpretational limitations.","author":[{"dropping-particle":"","family":"García-Granero","given":"Juan José","non-dropping-particle":"","parse-names":false,"suffix":""},{"dropping-particle":"","family":"Suryanarayan","given":"Akshyeta","non-dropping-particle":"","parse-names":false,"suffix":""},{"dropping-particle":"","family":"Cubas","given":"Miriam","non-dropping-particle":"","parse-names":false,"suffix":""},{"dropping-particle":"","family":"Craig","given":"Oliver E.","non-dropping-particle":"","parse-names":false,"suffix":""},{"dropping-particle":"","family":"Cárdenas","given":"Marc","non-dropping-particle":"","parse-names":false,"suffix":""},{"dropping-particle":"","family":"Ajithprasad","given":"P.","non-dropping-particle":"","parse-names":false,"suffix":""},{"dropping-particle":"","family":"Madella","given":"Marco","non-dropping-particle":"","parse-names":false,"suffix":""}],"container-title":"Frontiers in Ecology and Evolution","id":"ITEM-3","issue":"March","issued":{"date-parts":[["2022"]]},"note":"Case study combining multiple GC-based methods (including GC-MS) of ceramic vessels from ancient Mediterranean-associated Bronze Age sites. Detected various animal and plant products providing info about food processing practices occurring at this time.","title":"Integrating Lipid and Starch Grain Analyses From Pottery Vessels to Explore Prehistoric Foodways in Northern Gujarat, India","type":"article-journal","volume":"10"},"uris":["http://www.mendeley.com/documents/?uuid=76e029e8-b091-44ca-b513-0d8f560c637c"]},{"id":"ITEM-4","itemData":{"DOI":"10.1016/J.JAS.2010.01.005","ISSN":"0305-4403","abstract":"The characterization of organic residues found in ceramics objects coming from the Carmine Convent in Siena (Central Italy), probably built in the second half of the 13th century, is described. The nine objects analyzed in this study are pots, casseroles, and lids and they were used as filling material of the vault of one room of the convent. A gas chromatography-mass spectrometry approach has been used to analyze both the chloroform–methanol extracts as well as those obtained owing to alkaline hydrolysis. On the basis of the compounds identified, the ceramic vessels were divided into three groups. One is constituted by vessels that might have been used to cook different kinds of foodstuff (so called “cauldron”), including animals, and in particular ruminants. The second group is formed by a pot whose main use might be as olive oil container. No traces of animal fats has been found in it. The third group is formed by vessels mainly used for containing or boiling water or other substances not rich in fats. In particular, one of them might have been used as a colander or to roast chestnuts, that were a common food during the Middle Age. These results, in conjunction with others obtained by different techniques, contribute to a better understanding of the use of the ceramic vessels found in the Carmine Convent in Siena and on dietary, uses and customs of people living there, and more generally in Tuscany, during the Middle Age.","author":[{"dropping-particle":"","family":"Giorgi","given":"Gianluca","non-dropping-particle":"","parse-names":false,"suffix":""},{"dropping-particle":"","family":"Salvini","given":"Laura","non-dropping-particle":"","parse-names":false,"suffix":""},{"dropping-particle":"","family":"Pecci","given":"Alessandra","non-dropping-particle":"","parse-names":false,"suffix":""}],"container-title":"Journal of Archaeological Science","id":"ITEM-4","issue":"7","issued":{"date-parts":[["2010","7"]]},"note":"GC-MS\n\nCleaned surface of ceramic and drilled hole into ceramic to recover powder\n\n\nSummary: Case study doing GC-MS analysis of 9 ceramic vessels from a Middle Age Tuscany building yard to look dietary practices. Found lipid and fatty acid residues, used these to group vessels into 3 categories: 1. Cooking different foodstuffs; 2. Olive oil container; 3. Containing or boiling water (or low-fat substances).\nAssessment: Okay case study -- provided MS data, but methods were a little lacking. Plus, small sample sizes. Also seemed to assume absence of molecule meant the vessel never contained it; there's issue with their categorization by residue detection","page":"1453-1457","publisher":"Academic Press","title":"The meals in a Tuscan building yard during the Middle Age. Characterization of organic residues in ceramic potsherds","type":"article-journal","volume":"37"},"uris":["http://www.mendeley.com/documents/?uuid=87629b7f-068f-3f36-acc4-f019698a7839"]},{"id":"ITEM-5","itemData":{"DOI":"10.1016/j.jasrep.2014.12.005","ISBN":"2352-409X","ISSN":"2352409X","abstract":"Analysis by gas chromatography was conducted on pottery from a Middle Bronze Age workshop from the Minoan culture of Crete, confirming it as a facility for manufacturing organic dyes. The archaeological site is located at Alatzomouri-Pefka in northeast Crete. The site has a series of nine rock-cut basins associated with channels in the bedrock, remains of stone walls, and many artifacts. Its pottery provides a date in Middle Minoan IIB (ca. 1800/1700 B.C.). The gas chromatography identified three dyes (Murex purple, yellow from weld, and red from madder) as well as lanolin, the oil associated with wool from sheep.","author":[{"dropping-particle":"","family":"Koh","given":"Andrew J.","non-dropping-particle":"","parse-names":false,"suffix":""},{"dropping-particle":"","family":"Betancourt","given":"Philip P.","non-dropping-particle":"","parse-names":false,"suffix":""},{"dropping-particle":"","family":"Pareja","given":"Marie Nicole","non-dropping-particle":"","parse-names":false,"suffix":""},{"dropping-particle":"","family":"Brogan","given":"Thomas M.","non-dropping-particle":"","parse-names":false,"suffix":""},{"dropping-particle":"","family":"Apostolakou","given":"Vili","non-dropping-particle":"","parse-names":false,"suffix":""}],"container-title":"Journal of Archaeological Science: Reports","id":"ITEM-5","issued":{"date-parts":[["2016"]]},"note":"Summary: GC-MS analysis of pottery vessels from a Minoan dye manufacturing facility, finding biomarkers associated with known Bronze Age dyes and other biomarkers associated with wool processing.\nAssessment: Bad case study -- methods are practically nonexistent, no mention of standards or protocols, and only presented results from samples that performed best.","page":"536-538","publisher":"Elsevier Ltd","title":"Organic residue analysis of pottery from the dye workshop at Alatsomouri-Pefka, Crete","type":"article-journal","volume":"7"},"uris":["http://www.mendeley.com/documents/?uuid=056ce698-e0eb-401e-bf55-16fb2a51ded7"]},{"id":"ITEM-6","itemData":{"DOI":"10.1038/s41598-020-70109-8","ISBN":"0123456789","ISSN":"20452322","PMID":"32855436","abstract":"Chemical analyses of carbonized and absorbed organic residues from archaeological ceramic cooking vessels can provide a unique window into the culinary cultures of ancient people, resource use, and environmental effects by identifying ingredients used in ancient meals. However, it remains uncertain whether recovered organic residues represent only the final foodstuffs prepared or are the accumulation of various cooking events within the same vessel. To assess this, we cooked seven mixtures of C3 and C4 foodstuffs in unglazed pots once per week for one year, then changed recipes between pots for the final cooking events. We conducted bulk stable-isotope analysis and lipid residue analysis on the charred food macro-remains, carbonized thin layer organic patina residues and absorbed lipids over the course of the experiment. Our results indicate that: (1) the composition of charred macro-remains represent the final foodstuffs cooked within vessels, (2) thin-layer patina residues represent a mixture of previous cooking events with bias towards the final product(s) cooked in the pot, and (3) absorbed lipid residues are developed over a number of cooking events and are replaced slowly over time, with little evidence of the final recipe ingredients.","author":[{"dropping-particle":"","family":"Miller","given":"Melanie J.","non-dropping-particle":"","parse-names":false,"suffix":""},{"dropping-particle":"","family":"Whelton","given":"Helen L.","non-dropping-particle":"","parse-names":false,"suffix":""},{"dropping-particle":"","family":"Swift","given":"Jillian A.","non-dropping-particle":"","parse-names":false,"suffix":""},{"dropping-particle":"","family":"Maline","given":"Sophia","non-dropping-particle":"","parse-names":false,"suffix":""},{"dropping-particle":"","family":"Hammann","given":"Simon","non-dropping-particle":"","parse-names":false,"suffix":""},{"dropping-particle":"","family":"Cramp","given":"Lucy J.E.","non-dropping-particle":"","parse-names":false,"suffix":""},{"dropping-particle":"","family":"McCleary","given":"Alexandra","non-dropping-particle":"","parse-names":false,"suffix":""},{"dropping-particle":"","family":"Taylor","given":"Geoffrey","non-dropping-particle":"","parse-names":false,"suffix":""},{"dropping-particle":"","family":"Vacca","given":"Kirsten","non-dropping-particle":"","parse-names":false,"suffix":""},{"dropping-particle":"","family":"Becks","given":"Fanya","non-dropping-particle":"","parse-names":false,"suffix":""},{"dropping-particle":"","family":"Evershed","given":"Richard P.","non-dropping-particle":"","parse-names":false,"suffix":""},{"dropping-particle":"","family":"Hastorf","given":"Christine A.","non-dropping-particle":"","parse-names":false,"suffix":""}],"container-title":"Scientific Reports","id":"ITEM-6","issue":"1","issued":{"date-parts":[["2020"]]},"note":"Focus mostly on isotope data\n\nSummary: Case study combining isotopic and biomarker analyses of residues from experimental cooking vessels by repeatedly cooking the same recipe, then switching pots for the final cook. Results showed that charred macro-remains and carbonized residues are biased towards the final cooked food products, while absorbed lipid residues represent a number of cooking events and do not show as much about the final products. Determined through various GC-based instruments, and revealed the importance of considering vessel use vs. final use for residue work.\nAssessment: Good case study -- detailed methods (full are provided in supplemental), used standards and show MS data, and their final conclusions are really interesting, especially for future residue projects.","page":"1-17","publisher":"Nature Publishing Group UK","title":"Interpreting ancient food practices: stable isotope and molecular analyses of visible and absorbed residues from a year-long cooking experiment","type":"article-journal","volume":"10"},"uris":["http://www.mendeley.com/documents/?uuid=bc74aa2c-d82e-4f5c-b26c-337385e12cc7"]},{"id":"ITEM-7","itemData":{"DOI":"10.1016/j.jas.2012.05.001","ISBN":"0305-4403","ISSN":"10959238","abstract":"The identification of the organic residues preserved in archaeological materials yields good insights into understanding food production, trade and consumption. Wine is one of the most important beverages produced, traded and consumed in the Mediterranean area. Consequently, it is important to identify its presence in ancient materials. Nevertheless, the identification of wine markers is still an object of discussion. We present here the results obtained from analysing different materials using gas chromatography/mass spectrometry (GC/MS), which allowed for the identification of tartaric acid and other markers of wine. The method was first tested on experimental and traditional materials that have been used until recently to store and/or produce wine and was then used for investigating archaeological materials. The experiments also involved the degradation of wine through cooking, drastic heating and burial for seven years. The results from the analysis of ceramic and plaster materials are discussed. The importance of the proposed methodology is that it allows the identification of traces of wine using the same facilities that are usually employed for the study of the organic residues preserved in archaeological samples (GC/MS), with no need for HPLC, LC/MS/MS or THM/GC/MS, thus allowing a larger number of laboratories to detect traces of wine. © 2012 Elsevier Ltd.","author":[{"dropping-particle":"","family":"Pecci","given":"Alessandra","non-dropping-particle":"","parse-names":false,"suffix":""},{"dropping-particle":"","family":"Giorgi","given":"Gianluca","non-dropping-particle":"","parse-names":false,"suffix":""},{"dropping-particle":"","family":"Salvini","given":"Laura","non-dropping-particle":"","parse-names":false,"suffix":""},{"dropping-particle":"","family":"Cau Ontiveros","given":"Miguel Ángel","non-dropping-particle":"","parse-names":false,"suffix":""}],"container-title":"Journal of Archaeological Science","id":"ITEM-7","issue":"1","issued":{"date-parts":[["2013"]]},"note":"Summary: Case study interested in recovering tartaric wine (e.g., wine biomarker) from experimental, traditional, and archaeological materials through GC-MS. Authors were able to recover multiple wine products from their test ceramics, archaeological ceramics, and materials from where wine was produced (e.g., floor, vinegar container, etc.) through GC-MS. Authors report this method as a new way of testing for wine.\nAssessment: Decent case study. Reported methods are detailed and they provide MS chromatograms, but could not find mentions of chemical standards or sample sizes. Plus they also ran samples on different MS instruments on different times, which makes batch effects a concern.\n\n\nDid not run all samples in same MS or at same time\nUnclear about sample sizes","page":"109-115","publisher":"Elsevier Ltd","title":"Identifying wine markers in ceramics and plasters using gas chromatography-mass spectrometry. Experimental and archaeological materials","type":"article-journal","volume":"40"},"uris":["http://www.mendeley.com/documents/?uuid=2e5e5c61-220f-4d22-9208-7a0aad66c31a"]},{"id":"ITEM-8","itemData":{"DOI":"10.1111/arcm.12541","ISSN":"14754754","abstract":"Organic residue analysis of potshards excavated from the Iron Age archaeological site of Kani-zirin, western Iran, was achieved with acidified methanol extraction and gas chromatography-mass spectrometry (GC-MS). The GC-MS data showed plant and animal commodities incorporated in the shards. Also, the investigations confirmed the presence of plant resin together with a tartrate ion within a group of the shards, suggesting a probable use of grape-related products. Evidence of resins from the Pinaceae family, as an exotic species in Iran, was evinced in several of the shards.","author":[{"dropping-particle":"","family":"Qanbari-Taheri","given":"N.","non-dropping-particle":"","parse-names":false,"suffix":""},{"dropping-particle":"","family":"Karimy","given":"A. H.","non-dropping-particle":"","parse-names":false,"suffix":""},{"dropping-particle":"","family":"Holakooei","given":"P.","non-dropping-particle":"","parse-names":false,"suffix":""},{"dropping-particle":"","family":"Kobarfard","given":"F.","non-dropping-particle":"","parse-names":false,"suffix":""}],"container-title":"Archaeometry","id":"ITEM-8","issue":"3","issued":{"date-parts":[["2020"]]},"note":"Summary: GC-MS case study examining residues found on 12 Iron Age Iranian potsherds (50 total samples, 12 had residues), finding evidence of plant/animal producys such as fatty acids, vegetable oil, and pine resin. These compounds can point to possible ancient use and sources, but also found high levels of plasticizers (phthalates) in their samples\nAssessment: Generally good case study. Methods are short but decent (no mention of chemical standards), but project otherwise seems good -- they're careful not to overinterpret based on their residues and I appreciate their discussion of why few residues were preserved. However, it felt like they tried to move past the modern contaminants too quickly","page":"612-625","title":"Organic residue analysis of Iron Age ceramics from the archaeological site of Kani-zirin, western Iran","type":"article-journal","volume":"62"},"uris":["http://www.mendeley.com/documents/?uuid=d6db78f2-1642-4282-8919-37c354bf9552"]},{"id":"ITEM-9","itemData":{"DOI":"10.1016/j.jas.2021.105397","ISSN":"10959238","abstract":"The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Science","id":"ITEM-9","issue":"August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mendeley":{"formattedCitation":"&lt;sup&gt;22,23,26,28,212–216&lt;/sup&gt;","plainTextFormattedCitation":"22,23,26,28,212–216","previouslyFormattedCitation":"&lt;sup&gt;22,23,26,28,212–216&lt;/sup&gt;"},"properties":{"noteIndex":0},"schema":"https://github.com/citation-style-language/schema/raw/master/csl-citation.json"}</w:instrText>
      </w:r>
      <w:r w:rsidR="00135C10" w:rsidRPr="00901194">
        <w:rPr>
          <w:rFonts w:cs="Times New Roman"/>
        </w:rPr>
        <w:fldChar w:fldCharType="separate"/>
      </w:r>
      <w:r w:rsidR="00975A3E" w:rsidRPr="00901194">
        <w:rPr>
          <w:rFonts w:cs="Times New Roman"/>
          <w:noProof/>
          <w:vertAlign w:val="superscript"/>
        </w:rPr>
        <w:t>22,23,26,28,212–216</w:t>
      </w:r>
      <w:r w:rsidR="00135C10" w:rsidRPr="00901194">
        <w:rPr>
          <w:rFonts w:cs="Times New Roman"/>
        </w:rPr>
        <w:fldChar w:fldCharType="end"/>
      </w:r>
      <w:r w:rsidR="00135C10" w:rsidRPr="00901194">
        <w:rPr>
          <w:rFonts w:cs="Times New Roman"/>
        </w:rPr>
        <w:t>. T</w:t>
      </w:r>
      <w:r w:rsidR="00C46A0E" w:rsidRPr="00901194">
        <w:rPr>
          <w:rFonts w:cs="Times New Roman"/>
        </w:rPr>
        <w:t xml:space="preserve">he popularity of GC-MS over LC-MS has created a methodological </w:t>
      </w:r>
      <w:r w:rsidR="009D72C2" w:rsidRPr="00901194">
        <w:rPr>
          <w:rFonts w:cs="Times New Roman"/>
        </w:rPr>
        <w:t>gap in residue analysis literature</w:t>
      </w:r>
      <w:r w:rsidR="00C46A0E" w:rsidRPr="00901194">
        <w:rPr>
          <w:rFonts w:cs="Times New Roman"/>
        </w:rPr>
        <w:t>. Although LC-MS is becoming more common in residue analysis</w:t>
      </w:r>
      <w:r w:rsidR="005C73C2" w:rsidRPr="00901194">
        <w:rPr>
          <w:rFonts w:cs="Times New Roman"/>
        </w:rPr>
        <w:fldChar w:fldCharType="begin" w:fldLock="1"/>
      </w:r>
      <w:r w:rsidR="00CC184B" w:rsidRPr="00901194">
        <w:rPr>
          <w:rFonts w:cs="Times New Roman"/>
        </w:rPr>
        <w:instrText>ADDIN CSL_CITATION {"citationItems":[{"id":"ITEM-1","itemData":{"DOI":"10.1016/j.jas.2021.105397","ISSN":"10959238","abstract":"The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Science","id":"ITEM-1","issue":"August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contexts","type":"article-journal","volume":"132"},"uris":["http://www.mendeley.com/documents/?uuid=7f7e5d88-71b5-4c2b-ae2d-4af2c0c9b628"]},{"id":"ITEM-2","itemData":{"DOI":"10.3389/fmolb.2020.00133","ISSN":"2296889X","abstract":"Residues from ancient artifacts can help identify which plant species were used for their psychoactive properties, providing important information regarding the deep-time co-evolutionary relationship between plants and humans. However, relying on the presence or absence of one or several biomarkers has limited the ability to confidently connect residues to particular plants. We describe a comprehensive metabolomics-based approach that can distinguish closely related species and provide greater confidence in species use determinations. An ~1430-year-old pipe from central Washington State not only contained nicotine, but also had strong evidence for the smoking of Nicotiana quadrivalvis and Rhus glabra, as opposed to several other species in this pre-contact pipe. Analysis of a post-contact pipe suggested use of different plants, including the introduced trade tobacco, Nicotiana rustica. Ancient residue metabolomics provides a new frontier in archaeo-chemistry, with greater precision to investigate the evolution of drug use and similar plant-human co-evolutionary dynamics.","author":[{"dropping-particle":"","family":"Brownstein","given":"Korey J.","non-dropping-particle":"","parse-names":false,"suffix":""},{"dropping-particle":"","family":"Tushingham","given":"Shannon","non-dropping-particle":"","parse-names":false,"suffix":""},{"dropping-particle":"","family":"Damitio","given":"William J.","non-dropping-particle":"","parse-names":false,"suffix":""},{"dropping-particle":"","family":"Nguyen","given":"Tung","non-dropping-particle":"","parse-names":false,"suffix":""},{"dropping-particle":"","family":"Gang","given":"David R.","non-dropping-particle":"","parse-names":false,"suffix":""}],"container-title":"Frontiers in Molecular Biosciences","id":"ITEM-2","issue":"June","issued":{"date-parts":[["2020"]]},"note":"Brownstein article -- ancient residue metabolomics\n\nCase study focused on developing a targeted metabolomics-like LC-MS approach to distinguish closely-related plant species found in archaeological pipes. Proposed method involves multiple washing/sonication steps with extractions to improve residue recovery without harming ceramic vessel. Also did experimental archaeology\nGreat case study -- used authentic standards, provided MS1 and MS2 data, proper methods, etc.","page":"1-14","title":"An Ancient Residue Metabolomics-Based Method to Distinguish Use of Closely Related Plant Species in Ancient Pipes","type":"article-journal","volume":"7"},"uris":["http://www.mendeley.com/documents/?uuid=c3aa1444-6558-4c93-ad18-b95b835c104d"]},{"id":"ITEM-3","itemData":{"DOI":"10.1073/pnas.1511799112","ISSN":"0027-8424","PMID":"26372965","abstract":"Chemical analyses of organic residues in fragments of pottery from 18 sites in the US Southwest and Mexican Northwest reveal combinations of methylxanthines (caffeine, theobromine, and theophylline) indicative of stimulant drinks, probably concocted using either cacao or holly leaves and twigs. The results cover a time period from around A.D. 750-1400, and a spatial distribution from southern Colorado to northern Chihuahua. As with populations located throughout much of North and South America, groups in the US Southwest and Mexican Northwest likely consumed stimulant drinks in communal, ritual gatherings. The results have implications for economic and social relations among North American populations.","author":[{"dropping-particle":"","family":"Crown","given":"Patricia L.","non-dropping-particle":"","parse-names":false,"suffix":""},{"dropping-particle":"","family":"Gu","given":"Jiyan","non-dropping-particle":"","parse-names":false,"suffix":""},{"dropping-particle":"","family":"Hurst","given":"W. Jeffrey","non-dropping-particle":"","parse-names":false,"suffix":""},{"dropping-particle":"","family":"Ward","given":"Timothy J.","non-dropping-particle":"","parse-names":false,"suffix":""},{"dropping-particle":"","family":"Bravenec","given":"Ardith D.","non-dropping-particle":"","parse-names":false,"suffix":""},{"dropping-particle":"","family":"Ali","given":"Syed","non-dropping-particle":"","parse-names":false,"suffix":""},{"dropping-particle":"","family":"Kebert","given":"Laura","non-dropping-particle":"","parse-names":false,"suffix":""},{"dropping-particle":"","family":"Berch","given":"Marlaina","non-dropping-particle":"","parse-names":false,"suffix":""},{"dropping-particle":"","family":"Redman","given":"Erin","non-dropping-particle":"","parse-names":false,"suffix":""},{"dropping-particle":"","family":"Lyons","given":"Patrick D.","non-dropping-particle":"","parse-names":false,"suffix":""},{"dropping-particle":"","family":"Merewether","given":"Jamie","non-dropping-particle":"","parse-names":false,"suffix":""},{"dropping-particle":"","family":"Phillips","given":"David A.","non-dropping-particle":"","parse-names":false,"suffix":""},{"dropping-particle":"","family":"Reed","given":"Lori S.","non-dropping-particle":"","parse-names":false,"suffix":""},{"dropping-particle":"","family":"Woodson","given":"Kyle","non-dropping-particle":"","parse-names":false,"suffix":""}],"container-title":"Proceedings of the National Academy of Sciences","id":"ITEM-3","issue":"37","issued":{"date-parts":[["2015"]]},"note":"Summary: Case study examining residues of 177 pottery samples (most samples were stored in museum, but some were collected in-field) from 18 sites in US Southwest and Mexican Northwest. Authors used LC-MS/MS to detect methylxanthines, with their results demonstrating cacao and holly-based residues. Use these results to suggest cacao and holly-based caffeinated drinks were part of communal ritualistic cermonies and evidence for social/economic networks.\nAssessment: Decent case study. Methods seem generally good (although their wording makes it sound like they injected caffeine and theobromine standards with their samples to test for caffeine/theobromine; they might have done this to get specific concentrations to compare, but the explanation here is poor), but don't provide much MS data or standard comparisons. They also make a lot of broad archaeological interpretations from small sample sizes and minimal residues with little discussion of contamination (other than saying they're confident there was none). While I find their broader archaeological conclusions somewhat lacking, I appreciate their approach of comparing concentrations of biomarkers in addition to presence/absence.\n\nLC-MS\n\nxanine = purine base. Many stimulants are derived from it. Naturally occurring.\n\nUse data from residue to make claims about exchange systems in these regions","page":"11436-11442","title":"Ritual drinks in the pre-Hispanic US Southwest and Mexican Northwest","type":"article-journal","volume":"112"},"uris":["http://www.mendeley.com/documents/?uuid=eeff689e-7515-461a-8767-86a4aa750686"]},{"id":"ITEM-4","itemData":{"DOI":"10.1016/j.jas.2005.06.013","ISBN":"0305-4403","ISSN":"10959238","abstract":"Ancient Egyptians were buried with the most precious food and drink as sustenance for their afterlife. One of these was Shedeh, the most valued and appreciated beverage in ancient Egypt. The botanic origin of Shedeh remains unclear as no mention of its raw material has survived. Some scholars have proposed that Shedeh was a pomegranate wine, while others, a grape wine. Presented here is the first ever analytical evidence of Shedeh's origin through the analysis of a sample of a residue from an extraordinarily well preserved Shedeh amphora from King Tutankhamun's collection. The previously developed LC/MS/MS wine markers method for archaeological samples was used and our results reveal Shedeh had a red grape origin. © 2005 Elsevier Ltd. All rights reserved.","author":[{"dropping-particle":"","family":"Guasch-Jané","given":"Maria Rosa","non-dropping-particle":"","parse-names":false,"suffix":""},{"dropping-particle":"","family":"Andrés-Lacueva","given":"Cristina","non-dropping-particle":"","parse-names":false,"suffix":""},{"dropping-particle":"","family":"Járegui","given":"Olga","non-dropping-particle":"","parse-names":false,"suffix":""},{"dropping-particle":"","family":"Lamuela-Raventós","given":"Rosa M.","non-dropping-particle":"","parse-names":false,"suffix":""}],"container-title":"Journal of Archaeological Science","id":"ITEM-4","issue":"1","issued":{"date-parts":[["2006"]]},"note":"LC-MS-MS\n\nUsed only actual residue - scraped off\nDetails vague on prep, but see pg. 100 for methods\n\nTargeted approach - looked for specific biomarkers\n\nSummary: Targeted LC-MS/MS study looking at wine biomarkers of an ancient Egyptian amphora, trying to determine the botanical origin of the wine. Based on matching to standards, authors concluded the wine was from red grapes\nAssessment: Generally good -- one of few LC-MS/MS residue studies, informed by archaeologically-driven hypotheses, used authentic standards, but minimal methods and only used residue from a single sample (although this sample was archaeologically linked to the wine)","page":"98-101","title":"The origin of the ancient Egyptian drink Shedeh revealed using LC/MS/MS","type":"article-journal","volume":"33"},"uris":["http://www.mendeley.com/documents/?uuid=d315dddf-5118-4701-b003-1fffbbe23c5e"]},{"id":"ITEM-5","itemData":{"DOI":"10.1016/J.JASREP.2017.04.017","ISSN":"2352-409X","abstract":"Adding to a thus far limited number of archaeological identifications of cacao residues in pottery in ancient Mesoamerica, this study presents the first such evidence from the southern Guatemalan piedmont in the Southern Maya Region. To save on cost, an original sample of 150 vessels from the site of Chocolá was reduced to 43 using semi-quantitative testing to determine the presence of fatty acids and carbohydrates, indicating plant remains. Including these 43, because of Hershey's generosity, all 150 samples were analyzed by high-performance liquid chromatography by the method of Hurst. Cacao residues were found in ten vessels, or 6.7% of the 150 HPLC tested samples: (23.5% of the SQT-reduced sample) five bowls, three jars, and two plates, ranging in date from ca. 600BCE–200CE. Of the three sectors of the site, elite, administrative, and commoner/agricultural, distribution of all but one of the vessels was in the first and third sectors, suggesting consumption patterns in the ancient city and possibly, also, early intensive prehispanic arboriculture of cacao.","author":[{"dropping-particle":"","family":"Kaplan","given":"Jonathan","non-dropping-particle":"","parse-names":false,"suffix":""},{"dropping-particle":"","family":"Paredes Umaña","given":"Federico","non-dropping-particle":"","parse-names":false,"suffix":""},{"dropping-particle":"","family":"Hurst","given":"W. Jeffrey","non-dropping-particle":"","parse-names":false,"suffix":""},{"dropping-particle":"","family":"Sun","given":"D.","non-dropping-particle":"","parse-names":false,"suffix":""},{"dropping-particle":"","family":"Stanley","given":"Bruce","non-dropping-particle":"","parse-names":false,"suffix":""},{"dropping-particle":"","family":"Barba Pingarrón","given":"Luis","non-dropping-particle":"","parse-names":false,"suffix":""},{"dropping-particle":"","family":"Obregon Cardona","given":"Mauricio","non-dropping-particle":"","parse-names":false,"suffix":""}],"container-title":"Journal of Archaeological Science: Reports","id":"ITEM-5","issued":{"date-parts":[["2017","6"]]},"note":"HPLC\n\nEthnographic/historical evidence shows cacao was culturally important to ancient Mesopotamia/Maya\n\nGround up ceramic samples mixed with chloroform\n\nAlso looked for methylxanine, like Crown et al. 2015\n\nFound cacao residues in 10/150 samples\n\nLooking for cacao, so likely targeted MS\n\nSummary: Case study using semi-quantitative testing and UPLCMS-MS for cacao residues in &amp;gt;150 ceramic vessels from Chocola, a preclassic Mayan site. Found fatty acids and carbohydrates in many vessels, with cacao detected in 10. With those 10 vessels, 9 were from city sectors associated with elites and intensive agriculture, linking cacao consumption to these aspects of sociocultural experiences.\nAssessment: Decent case study; provide semi-detailed methods and claimed to use standards, but tested samples for cacao at a Hershey lab (they assure audience there was no contamination but provide few details) and form broader conclusions from cacao in 10/150+ samples","page":"526-534","publisher":"Elsevier","title":"Cacao residues in vessels from Chocolá, an early Maya polity in the southern Guatemalan piedmont, determined by semi-quantitative testing and high-performance liquid chromatography","type":"article-journal","volume":"13"},"uris":["http://www.mendeley.com/documents/?uuid=5ae0de92-dbb3-3e43-9f8c-a31d58fd33d2"]},{"id":"ITEM-6","itemData":{"DOI":"10.1016/j.jasrep.2018.03.008","ISSN":"2352409X","abstract":"The Niles-Wolford Mound (33Pi3) was a conical Adena burial mound located along the Scioto River in Jackson Township, Pickaway County, Ohio. Excavations conducted in 1955 by the Ohio History Connection resulted in the discovery of a subfloor tomb with three burials. A tubular pipe found in association with one of the burials contained charred organic residue. Macrobotonical analysis of the material identified root or bark within the sample. Liquid chromatography-mass spectrometry (LC-MS) analyses detected the presence of various compounds, including an alkaloid. Radiocarbon dating places the mound to circa 2120 ± 30 BP. This research furthers our understanding of the timing, geographical extent, and ceremonial contexts of prehistoric plant tobacco use by the Adena culture and demonstrates the importance of museum collections for addressing such questions.","author":[{"dropping-particle":"","family":"Marley","given":"Meghan B.","non-dropping-particle":"","parse-names":false,"suffix":""},{"dropping-particle":"","family":"Brownstein","given":"Korey J.","non-dropping-particle":"","parse-names":false,"suffix":""},{"dropping-particle":"","family":"Lepper","given":"Bradley T.","non-dropping-particle":"","parse-names":false,"suffix":""},{"dropping-particle":"","family":"Tushingham","given":"Shannon","non-dropping-particle":"","parse-names":false,"suffix":""},{"dropping-particle":"","family":"Leone","given":"Karen L.","non-dropping-particle":"","parse-names":false,"suffix":""},{"dropping-particle":"","family":"Rafferty","given":"Sean M.","non-dropping-particle":"","parse-names":false,"suffix":""},{"dropping-particle":"","family":"Gang","given":"David R.","non-dropping-particle":"","parse-names":false,"suffix":""},{"dropping-particle":"","family":"Pansing","given":"Linda L.","non-dropping-particle":"","parse-names":false,"suffix":""},{"dropping-particle":"","family":"Pickard","given":"William H.","non-dropping-particle":"","parse-names":false,"suffix":""},{"dropping-particle":"","family":"Six","given":"Juli","non-dropping-particle":"","parse-names":false,"suffix":""}],"container-title":"Journal of Archaeological Science: Reports","id":"ITEM-6","issue":"April","issued":{"date-parts":[["2018"]]},"note":"Summary: LC-MS analysis of organic residue from a single pipe from a burial mound in Ohio, aiming to find nicotine biomarkers. These biomarkers were below the limit of detection, but did find unknown compounds that could provide evidence of past use (or modern contamination).\nAssessment: Good case study -- good methods, used MS standards and provided data, discussed meaning of negative results, and did not overassume presence/absence of biomarkers.","page":"658-668","title":"Analyses of organic residue from a conical pipe from the Niles-Wolford Mound (33Pi3), Pickaway County, Ohio","type":"article-journal","volume":"19"},"uris":["http://www.mendeley.com/documents/?uuid=2e9ad120-19cc-4f5b-ba47-55d94ddd4c2b"]},{"id":"ITEM-7","itemData":{"DOI":"10.1073/pnas.1813796115","ISSN":"10916490","PMID":"30373836","abstract":"Chemical analysis of residues contained in the matrix of stone smoking pipes reveal a substantial direct biomolecular record of ancient tobacco (Nicotiana) smoking practices in the North American interior northwest (Plateau), in an area where tobacco was often portrayed as a Euro-American–introduced postcontact trade commodity. Nicotine, a stimulant alkaloid and biomarker for tobacco, was identified via ultra-performance liquid chromatography-mass spectrometry in 8 of 12 analyzed pipes and pipe fragments from five sites in the Columbia River Basin, southeastern Washington State. The specimens date from 1200 cal BP to historic times, confirming the deep time continuity of intoxicant use and indigenous smoking practices in northwestern North America. The results indicate that hunting and gathering communities in the region, including ancestral Nez Perce peoples, established a tobacco smoking complex of wild (indigenous) tobacco well before the main domesticated tobacco (Nicotiana tabacum) was introduced by contact-era fur traders and settlers after the 1790s. This is the longest continuous biomolecular record of ancient tobacco smoking from a single region anywhere in the world—initially during an era of pithouse development, through the late precontact equestrian era, and into the historic period. This contradicts some ethnohistorical data indicating that kinnikinnick, or bearberry (Arctostaphylos uva-ursi) was the primary precontact smoke plant in the study area. Early use likely involved the management and cultivation of indigenous tobaccos (Nicotiana quadrivalvis or Nicotiana attenuata), species that are today exceedingly rare in the region and seem to have been abandoned as smoke plants after the entry of trade tobacco.","author":[{"dropping-particle":"","family":"Tushingham","given":"Shannon","non-dropping-particle":"","parse-names":false,"suffix":""},{"dropping-particle":"","family":"Snyder","given":"Charles M.","non-dropping-particle":"","parse-names":false,"suffix":""},{"dropping-particle":"","family":"Brownstein","given":"Korey J.","non-dropping-particle":"","parse-names":false,"suffix":""},{"dropping-particle":"","family":"Damitio","given":"William J.","non-dropping-particle":"","parse-names":false,"suffix":""},{"dropping-particle":"","family":"Gang","given":"David R.","non-dropping-particle":"","parse-names":false,"suffix":""}],"container-title":"Proceedings of the National Academy of Sciences of the United States of America","id":"ITEM-7","issue":"46","issued":{"date-parts":[["2018"]]},"note":"Targeted analysis for arbutin (kinnikinnick) and nicotine (tonacco)\n\nSummary: Targeted UPLC-MS analysis of 12 pipe fragments, testing for tobacco and kinnikinnick biomarkers, to get a sense of long-term indigenous plant smoking for a single area. Found nicotine in 8/12 pipes and none had detectable kinnikinnick biomarkers, suggesting tobacco was smoked historically (runs contrary to earlier archaeological conclusions about kinnikinnick)\nAssessment: Great case study with detailed methods-- used authentic standards, full instrument parameters, showed some MS data, etc. Highlight how residues can show other aspects of vessel use that are missed in traditional archaeology, but there's definitely a degree of caution needed with their results (which they address).","page":"11742-11747","title":"Biomolecular archaeology reveals ancient origins of indigenous tobacco smoking in North American Plateau","type":"article-journal","volume":"115"},"uris":["http://www.mendeley.com/documents/?uuid=6b317084-b1ee-4cdd-a6e3-305bfd59c791"]}],"mendeley":{"formattedCitation":"&lt;sup&gt;23,59,60,62,208,209,217&lt;/sup&gt;","plainTextFormattedCitation":"23,59,60,62,208,209,217","previouslyFormattedCitation":"&lt;sup&gt;23,59,60,62,208,209,217&lt;/sup&gt;"},"properties":{"noteIndex":0},"schema":"https://github.com/citation-style-language/schema/raw/master/csl-citation.json"}</w:instrText>
      </w:r>
      <w:r w:rsidR="005C73C2" w:rsidRPr="00901194">
        <w:rPr>
          <w:rFonts w:cs="Times New Roman"/>
        </w:rPr>
        <w:fldChar w:fldCharType="separate"/>
      </w:r>
      <w:r w:rsidR="00975A3E" w:rsidRPr="00901194">
        <w:rPr>
          <w:rFonts w:cs="Times New Roman"/>
          <w:noProof/>
          <w:vertAlign w:val="superscript"/>
        </w:rPr>
        <w:t>23,59,60,62,208,209,217</w:t>
      </w:r>
      <w:r w:rsidR="005C73C2" w:rsidRPr="00901194">
        <w:rPr>
          <w:rFonts w:cs="Times New Roman"/>
        </w:rPr>
        <w:fldChar w:fldCharType="end"/>
      </w:r>
      <w:r w:rsidR="00C46A0E" w:rsidRPr="00901194">
        <w:rPr>
          <w:rFonts w:cs="Times New Roman"/>
        </w:rPr>
        <w:t xml:space="preserve">, the need for </w:t>
      </w:r>
      <w:r w:rsidR="009D72C2" w:rsidRPr="00901194">
        <w:rPr>
          <w:rFonts w:cs="Times New Roman"/>
        </w:rPr>
        <w:t xml:space="preserve">LC-based </w:t>
      </w:r>
      <w:r w:rsidR="00C46A0E" w:rsidRPr="00901194">
        <w:rPr>
          <w:rFonts w:cs="Times New Roman"/>
        </w:rPr>
        <w:t>methods still persists, especially for untargeted MS analyses.</w:t>
      </w:r>
    </w:p>
    <w:p w14:paraId="0A036451" w14:textId="4614E0EA" w:rsidR="008132FE" w:rsidRPr="00901194" w:rsidRDefault="008132FE" w:rsidP="005C73C2">
      <w:pPr>
        <w:ind w:firstLine="360"/>
        <w:rPr>
          <w:rFonts w:cs="Times New Roman"/>
        </w:rPr>
      </w:pPr>
      <w:r w:rsidRPr="00901194">
        <w:rPr>
          <w:rFonts w:cs="Times New Roman"/>
        </w:rPr>
        <w:t>Another major challenge with archaeological residue analysis is the lack of standardized high-quality references. In targeted (often GC-MS</w:t>
      </w:r>
      <w:r w:rsidR="009D72C2" w:rsidRPr="00901194">
        <w:rPr>
          <w:rFonts w:cs="Times New Roman"/>
        </w:rPr>
        <w:t>-based</w:t>
      </w:r>
      <w:r w:rsidRPr="00901194">
        <w:rPr>
          <w:rFonts w:cs="Times New Roman"/>
        </w:rPr>
        <w:t xml:space="preserve">) residue analyses, researchers </w:t>
      </w:r>
      <w:r w:rsidR="005C73C2" w:rsidRPr="00901194">
        <w:rPr>
          <w:rFonts w:cs="Times New Roman"/>
        </w:rPr>
        <w:t>generally</w:t>
      </w:r>
      <w:r w:rsidRPr="00901194">
        <w:rPr>
          <w:rFonts w:cs="Times New Roman"/>
        </w:rPr>
        <w:t xml:space="preserve"> compare </w:t>
      </w:r>
      <w:r w:rsidR="007A34D1" w:rsidRPr="00901194">
        <w:rPr>
          <w:rFonts w:cs="Times New Roman"/>
        </w:rPr>
        <w:t>the molecule(s) of interest in the data against an authentic chemical standard</w:t>
      </w:r>
      <w:r w:rsidR="005C73C2" w:rsidRPr="00901194">
        <w:rPr>
          <w:rFonts w:cs="Times New Roman"/>
        </w:rPr>
        <w:fldChar w:fldCharType="begin" w:fldLock="1"/>
      </w:r>
      <w:r w:rsidR="00CC184B" w:rsidRPr="00901194">
        <w:rPr>
          <w:rFonts w:cs="Times New Roman"/>
        </w:rPr>
        <w:instrText>ADDIN CSL_CITATION {"citationItems":[{"id":"ITEM-1","itemData":{"DOI":"10.1016/j.jas.2021.105397","ISSN":"10959238","abstract":"The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Science","id":"ITEM-1","issue":"August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contexts","type":"article-journal","volume":"132"},"uris":["http://www.mendeley.com/documents/?uuid=7f7e5d88-71b5-4c2b-ae2d-4af2c0c9b628"]},{"id":"ITEM-2","itemData":{"DOI":"10.1002/rcm.5339","ISSN":"09514198","PMID":"22279016","abstract":"Several ancient Mayan vessels from the Kislak Collection of the US Library of Congress were examined for the presence of alkaloids. One of them, a codex-style flask, bears a text that appears to read yo-'OTOT-ti 'u-MAY, spelling y-otoot 'u-may 'the home of its/his/her tobacco'. Samples extracted from this Late Classic period (600 to 900 AD) container were analyzed by gas chromatography/mass spectrometry (GC/MS) and liquid chromatography/mass spectrometry (LC/MS) methods. Nicotine was identified as the major component of the extracts. LC/MS analyses also yielded signals due to nicotine mono-oxides. The identities of the compounds were determined by comparison of the chromatographic and/or mass spectral characteristics with those from standards and literature data. High-resolution high mass accuracy tandem mass spectrometry (MS/MS) spectra of protonated nicotine and nicotine mono-oxides were measured to verify and to correct previous product ion assignments. These analyses provided positive evidence for nicotine from a Mayan vessel, indicating it as a likely holder of tobacco leafs. The result of this investigation is the first physical evidence of tobacco from a Mayan container, and only the second example where the vessel content recorded in a Mayan hieroglyphic text has been confirmed directly by chromatography/mass spectrometry trace analysis. Copyright © 2012 John Wiley &amp; Sons, Ltd.","author":[{"dropping-particle":"V.","family":"Zagorevski","given":"Dmitri","non-dropping-particle":"","parse-names":false,"suffix":""},{"dropping-particle":"","family":"Loughmiller-Newman","given":"Jennifer A.","non-dropping-particle":"","parse-names":false,"suffix":""}],"container-title":"Rapid Communications in Mass Spectrometry","id":"ITEM-2","issue":"4","issued":{"date-parts":[["2012"]]},"note":"Summary: Case studying doing both GC-MS and LC-MS/MS of a residue from a Late Classic Mayan vessel, trying to confirm archaeological hypothesis that this vessel was used to house tobacco leaves. Detected nicotine and confirmed its prescence through additional analysies (e.g., testing for its other products) and comparison with standards. \nAssessment: Great case study. Full methods, used standards, provided MS data, and went further than just simply confirming presence to demonstrate they're not seeing a false positive or modern contaminant.","page":"403-411","title":"The detection of nicotine in a Late Mayan period flask by gas chromatography and liquid chromatography mass spectrometry methods","type":"article-journal","volume":"26"},"uris":["http://www.mendeley.com/documents/?uuid=7772f6fb-4e64-48fd-b9c0-714b3ae8bffa"]},{"id":"ITEM-3","itemData":{"DOI":"10.1038/s41598-020-70109-8","ISBN":"0123456789","ISSN":"20452322","PMID":"32855436","abstract":"Chemical analyses of carbonized and absorbed organic residues from archaeological ceramic cooking vessels can provide a unique window into the culinary cultures of ancient people, resource use, and environmental effects by identifying ingredients used in ancient meals. However, it remains uncertain whether recovered organic residues represent only the final foodstuffs prepared or are the accumulation of various cooking events within the same vessel. To assess this, we cooked seven mixtures of C3 and C4 foodstuffs in unglazed pots once per week for one year, then changed recipes between pots for the final cooking events. We conducted bulk stable-isotope analysis and lipid residue analysis on the charred food macro-remains, carbonized thin layer organic patina residues and absorbed lipids over the course of the experiment. Our results indicate that: (1) the composition of charred macro-remains represent the final foodstuffs cooked within vessels, (2) thin-layer patina residues represent a mixture of previous cooking events with bias towards the final product(s) cooked in the pot, and (3) absorbed lipid residues are developed over a number of cooking events and are replaced slowly over time, with little evidence of the final recipe ingredients.","author":[{"dropping-particle":"","family":"Miller","given":"Melanie J.","non-dropping-particle":"","parse-names":false,"suffix":""},{"dropping-particle":"","family":"Whelton","given":"Helen L.","non-dropping-particle":"","parse-names":false,"suffix":""},{"dropping-particle":"","family":"Swift","given":"Jillian A.","non-dropping-particle":"","parse-names":false,"suffix":""},{"dropping-particle":"","family":"Maline","given":"Sophia","non-dropping-particle":"","parse-names":false,"suffix":""},{"dropping-particle":"","family":"Hammann","given":"Simon","non-dropping-particle":"","parse-names":false,"suffix":""},{"dropping-particle":"","family":"Cramp","given":"Lucy J.E.","non-dropping-particle":"","parse-names":false,"suffix":""},{"dropping-particle":"","family":"McCleary","given":"Alexandra","non-dropping-particle":"","parse-names":false,"suffix":""},{"dropping-particle":"","family":"Taylor","given":"Geoffrey","non-dropping-particle":"","parse-names":false,"suffix":""},{"dropping-particle":"","family":"Vacca","given":"Kirsten","non-dropping-particle":"","parse-names":false,"suffix":""},{"dropping-particle":"","family":"Becks","given":"Fanya","non-dropping-particle":"","parse-names":false,"suffix":""},{"dropping-particle":"","family":"Evershed","given":"Richard P.","non-dropping-particle":"","parse-names":false,"suffix":""},{"dropping-particle":"","family":"Hastorf","given":"Christine A.","non-dropping-particle":"","parse-names":false,"suffix":""}],"container-title":"Scientific Reports","id":"ITEM-3","issue":"1","issued":{"date-parts":[["2020"]]},"note":"Focus mostly on isotope data\n\nSummary: Case study combining isotopic and biomarker analyses of residues from experimental cooking vessels by repeatedly cooking the same recipe, then switching pots for the final cook. Results showed that charred macro-remains and carbonized residues are biased towards the final cooked food products, while absorbed lipid residues represent a number of cooking events and do not show as much about the final products. Determined through various GC-based instruments, and revealed the importance of considering vessel use vs. final use for residue work.\nAssessment: Good case study -- detailed methods (full are provided in supplemental), used standards and show MS data, and their final conclusions are really interesting, especially for future residue projects.","page":"1-17","publisher":"Nature Publishing Group UK","title":"Interpreting ancient food practices: stable isotope and molecular analyses of visible and absorbed residues from a year-long cooking experiment","type":"article-journal","volume":"10"},"uris":["http://www.mendeley.com/documents/?uuid=bc74aa2c-d82e-4f5c-b26c-337385e12cc7"]},{"id":"ITEM-4","itemData":{"DOI":"10.1073/pnas.1813796115","ISSN":"10916490","PMID":"30373836","abstract":"Chemical analysis of residues contained in the matrix of stone smoking pipes reveal a substantial direct biomolecular record of ancient tobacco (Nicotiana) smoking practices in the North American interior northwest (Plateau), in an area where tobacco was often portrayed as a Euro-American–introduced postcontact trade commodity. Nicotine, a stimulant alkaloid and biomarker for tobacco, was identified via ultra-performance liquid chromatography-mass spectrometry in 8 of 12 analyzed pipes and pipe fragments from five sites in the Columbia River Basin, southeastern Washington State. The specimens date from 1200 cal BP to historic times, confirming the deep time continuity of intoxicant use and indigenous smoking practices in northwestern North America. The results indicate that hunting and gathering communities in the region, including ancestral Nez Perce peoples, established a tobacco smoking complex of wild (indigenous) tobacco well before the main domesticated tobacco (Nicotiana tabacum) was introduced by contact-era fur traders and settlers after the 1790s. This is the longest continuous biomolecular record of ancient tobacco smoking from a single region anywhere in the world—initially during an era of pithouse development, through the late precontact equestrian era, and into the historic period. This contradicts some ethnohistorical data indicating that kinnikinnick, or bearberry (Arctostaphylos uva-ursi) was the primary precontact smoke plant in the study area. Early use likely involved the management and cultivation of indigenous tobaccos (Nicotiana quadrivalvis or Nicotiana attenuata), species that are today exceedingly rare in the region and seem to have been abandoned as smoke plants after the entry of trade tobacco.","author":[{"dropping-particle":"","family":"Tushingham","given":"Shannon","non-dropping-particle":"","parse-names":false,"suffix":""},{"dropping-particle":"","family":"Snyder","given":"Charles M.","non-dropping-particle":"","parse-names":false,"suffix":""},{"dropping-particle":"","family":"Brownstein","given":"Korey J.","non-dropping-particle":"","parse-names":false,"suffix":""},{"dropping-particle":"","family":"Damitio","given":"William J.","non-dropping-particle":"","parse-names":false,"suffix":""},{"dropping-particle":"","family":"Gang","given":"David R.","non-dropping-particle":"","parse-names":false,"suffix":""}],"container-title":"Proceedings of the National Academy of Sciences of the United States of America","id":"ITEM-4","issue":"46","issued":{"date-parts":[["2018"]]},"note":"Targeted analysis for arbutin (kinnikinnick) and nicotine (tonacco)\n\nSummary: Targeted UPLC-MS analysis of 12 pipe fragments, testing for tobacco and kinnikinnick biomarkers, to get a sense of long-term indigenous plant smoking for a single area. Found nicotine in 8/12 pipes and none had detectable kinnikinnick biomarkers, suggesting tobacco was smoked historically (runs contrary to earlier archaeological conclusions about kinnikinnick)\nAssessment: Great case study with detailed methods-- used authentic standards, full instrument parameters, showed some MS data, etc. Highlight how residues can show other aspects of vessel use that are missed in traditional archaeology, but there's definitely a degree of caution needed with their results (which they address).","page":"11742-11747","title":"Biomolecular archaeology reveals ancient origins of indigenous tobacco smoking in North American Plateau","type":"article-journal","volume":"115"},"uris":["http://www.mendeley.com/documents/?uuid=6b317084-b1ee-4cdd-a6e3-305bfd59c791"]},{"id":"ITEM-5","itemData":{"DOI":"10.1016/j.jas.2014.07.011","ISBN":"0305-4403","ISSN":"10959238","abstract":"We address the issue of contamination in sampling and storage procedures and the requirements of sample size and controls necessary to assay ceramic vessels for absorbed chemical residues. We focus our discussion on the detection and quantification of the three methylxanthines - caffeine, theobromine and theophylline as a means to infer whether Mississippian and Southwestern vessels had been used for the consumption of a stimulating drink made from the seeds of Theobroma cacao, a tree that grows in the Mesoamerican tropics. Our research detected two statistically differentiated concentration levels of methylxanthines on objects in museum storage: vessels with low levels of methylxanthines from airborne particulates that we attribute to environmental contamination, and vessels with significant higher levels of the methylxanthines that we attribute to the archaeological record reflecting prehistoric cacao consumption. We propose that cacao was imported into the American Midwest/Southeast during the Mississippian platform mound tradition AD 1000-1300 and into the American Southwest during the Chaco Great House tradition AD 900-1200 and the Hohokam platform mound tradition AD 1300-1400. © 2014 Elsevier Ltd.","author":[{"dropping-particle":"","family":"Washburn","given":"Dorothy K.","non-dropping-particle":"","parse-names":false,"suffix":""},{"dropping-particle":"","family":"Washburn","given":"William N.","non-dropping-particle":"","parse-names":false,"suffix":""},{"dropping-particle":"","family":"Shipkova","given":"Petia A.","non-dropping-particle":"","parse-names":false,"suffix":""},{"dropping-particle":"","family":"Pelleymounter","given":"Mary Ann","non-dropping-particle":"","parse-names":false,"suffix":""}],"container-title":"Journal of Archaeological Science","id":"ITEM-5","issue":"1","issued":{"date-parts":[["2014"]]},"note":"Summary: Case study analyzing pottery samples from American Midwest, Southeast, and Southwest testing for methylxanthine biomarkers (caffeine, theobromine, theophylline) associated with cacao. Importantly, they also developed a method for assessing environmental contamination of these products as airborne dust settling on vessels while stored in museum. Found differential levels of methylxanthine concentration based on environmental contamination and prehistoric use, then use these residue results to explore elements of trade networks of cacao.\nAssessment: Great case study. Some of their methods are a little vague (no full MS parameters?), but did use standards and provided MS info/data. Their focus on modern contamination is exemplary and they directly address how many residue projects cannot simply accept the detection of a biomarker as proof of ancient use (even addressing how modern uses of fast food products, smoking, coffee, etc. can impact the efficacy of residue analyses when testing for those molecules). Advocate for the need to refine methods while considering modern environmental contamination\n\nAdvocate a method designed to test for environmental/background contamination on residues. Essentially, airborne particles containing the target biomarker can form on the ceramic as dust, thus altering any results. Argue that RA studies should include controls for environmental contamination (dust) and check whether these controls have equal or higher levels of biomarker than samples.\n\nSimilar to Crown et al. 2015\n\nfirst sentence of intro is a good basic explanation of what RA can offer\n\nSee page 194 for methods: offer a new way to collect samples without damaging sherd","page":"191-207","publisher":"Elsevier Ltd","title":"Chemical analysis of cacao residues in archaeological ceramics from North America: Considerations of contamination, sample size and systematic controls","type":"article-journal","volume":"50"},"uris":["http://www.mendeley.com/documents/?uuid=fb787bc6-415c-4511-892c-875c64bbe34b"]},{"id":"ITEM-6","itemData":{"DOI":"10.1016/j.jas.2018.03.004","ISSN":"10959238","abstract":"Despite the growing body of evidence demonstrating that proteins can survive for thousands to even millions of years in selected contexts, there are relatively few examples of the successful recovery and identification of archaeological protein residues from ceramic artifacts. Claims of positive results are sometimes contentious and frequently challenged. One source of confusion in the debate is a general lack of consideration for the taphonomic histories of ceramic-bound proteins. To gain insight into this issue, we conducted an integrated, mass spectrometry-based study examining ceramic-bound protein that was experimentally aged over the course of 12 months. Results demonstrate the rapid degradation of proteins, raise questions about the degree to which ceramic-bound proteins can be expected to survive over time, and reveal some of the limitations of non-targeted mass spectrometry-based analyses. Further, by comparing results from our experimentally-aged samples to the those we obtained from a multi-pronged study of archaeological ceramics from the American Southwest, we are able to draw more confident conclusions regarding our lack of meaningful matches in the archaeological samples.","author":[{"dropping-particle":"","family":"Barker","given":"Andrew","non-dropping-particle":"","parse-names":false,"suffix":""},{"dropping-particle":"","family":"Dombrosky","given":"Jonathan","non-dropping-particle":"","parse-names":false,"suffix":""},{"dropping-particle":"","family":"Venables","given":"Barney","non-dropping-particle":"","parse-names":false,"suffix":""},{"dropping-particle":"","family":"Wolverton","given":"Steve","non-dropping-particle":"","parse-names":false,"suffix":""}],"container-title":"Journal of Archaeological Science","id":"ITEM-6","issued":{"date-parts":[["2018"]]},"note":"Argues we need a taphonomic perspective in R.A. - consider how taphonomy affects residues and subsequent analyses\n\nPresents experimental arch case study where they put protein standards on a ceramic vessel and buried it, with regular analyses over the course of a year. \n\nActual studies with recreating taphonomic conditions are essential to R.A. - help compare and understand residue degradation and results\n\nProtocol for sample prep on page 34\n\nRecreated taphonomic conditions on new ceramics over course of a year\n\n\n\n\nPart case study, part review that advocates for greater incorporation of taphonomic processes influencing molecular residues and their preservation; Did experimental archaeology by burying and repeatedly testing ceramic-bound residues over the course of a year. Concluded that negative results must be reported, especially for nontargeted MS ","page":"32-43","publisher":"Elsevier Ltd","title":"Taphonomy and negative results: An integrated approach to ceramic-bound protein residue analysis","type":"article-journal","volume":"94"},"uris":["http://www.mendeley.com/documents/?uuid=3d659a5e-e4f5-42d9-a5f9-4a4faa0adf40"]},{"id":"ITEM-7","itemData":{"DOI":"10.1016/j.jasrep.2018.03.008","ISSN":"2352409X","abstract":"The Niles-Wolford Mound (33Pi3) was a conical Adena burial mound located along the Scioto River in Jackson Township, Pickaway County, Ohio. Excavations conducted in 1955 by the Ohio History Connection resulted in the discovery of a subfloor tomb with three burials. A tubular pipe found in association with one of the burials contained charred organic residue. Macrobotonical analysis of the material identified root or bark within the sample. Liquid chromatography-mass spectrometry (LC-MS) analyses detected the presence of various compounds, including an alkaloid. Radiocarbon dating places the mound to circa 2120 ± 30 BP. This research furthers our understanding of the timing, geographical extent, and ceremonial contexts of prehistoric plant tobacco use by the Adena culture and demonstrates the importance of museum collections for addressing such questions.","author":[{"dropping-particle":"","family":"Marley","given":"Meghan B.","non-dropping-particle":"","parse-names":false,"suffix":""},{"dropping-particle":"","family":"Brownstein","given":"Korey J.","non-dropping-particle":"","parse-names":false,"suffix":""},{"dropping-particle":"","family":"Lepper","given":"Bradley T.","non-dropping-particle":"","parse-names":false,"suffix":""},{"dropping-particle":"","family":"Tushingham","given":"Shannon","non-dropping-particle":"","parse-names":false,"suffix":""},{"dropping-particle":"","family":"Leone","given":"Karen L.","non-dropping-particle":"","parse-names":false,"suffix":""},{"dropping-particle":"","family":"Rafferty","given":"Sean M.","non-dropping-particle":"","parse-names":false,"suffix":""},{"dropping-particle":"","family":"Gang","given":"David R.","non-dropping-particle":"","parse-names":false,"suffix":""},{"dropping-particle":"","family":"Pansing","given":"Linda L.","non-dropping-particle":"","parse-names":false,"suffix":""},{"dropping-particle":"","family":"Pickard","given":"William H.","non-dropping-particle":"","parse-names":false,"suffix":""},{"dropping-particle":"","family":"Six","given":"Juli","non-dropping-particle":"","parse-names":false,"suffix":""}],"container-title":"Journal of Archaeological Science: Reports","id":"ITEM-7","issue":"April","issued":{"date-parts":[["2018"]]},"note":"Summary: LC-MS analysis of organic residue from a single pipe from a burial mound in Ohio, aiming to find nicotine biomarkers. These biomarkers were below the limit of detection, but did find unknown compounds that could provide evidence of past use (or modern contamination).\nAssessment: Good case study -- good methods, used MS standards and provided data, discussed meaning of negative results, and did not overassume presence/absence of biomarkers.","page":"658-668","title":"Analyses of organic residue from a conical pipe from the Niles-Wolford Mound (33Pi3), Pickaway County, Ohio","type":"article-journal","volume":"19"},"uris":["http://www.mendeley.com/documents/?uuid=2e9ad120-19cc-4f5b-ba47-55d94ddd4c2b"]}],"mendeley":{"formattedCitation":"&lt;sup&gt;23,24,203,205,208,209,215&lt;/sup&gt;","plainTextFormattedCitation":"23,24,203,205,208,209,215","previouslyFormattedCitation":"&lt;sup&gt;23,24,203,205,208,209,215&lt;/sup&gt;"},"properties":{"noteIndex":0},"schema":"https://github.com/citation-style-language/schema/raw/master/csl-citation.json"}</w:instrText>
      </w:r>
      <w:r w:rsidR="005C73C2" w:rsidRPr="00901194">
        <w:rPr>
          <w:rFonts w:cs="Times New Roman"/>
        </w:rPr>
        <w:fldChar w:fldCharType="separate"/>
      </w:r>
      <w:r w:rsidR="00975A3E" w:rsidRPr="00901194">
        <w:rPr>
          <w:rFonts w:cs="Times New Roman"/>
          <w:noProof/>
          <w:vertAlign w:val="superscript"/>
        </w:rPr>
        <w:t>23,24,203,205,208,209,215</w:t>
      </w:r>
      <w:r w:rsidR="005C73C2" w:rsidRPr="00901194">
        <w:rPr>
          <w:rFonts w:cs="Times New Roman"/>
        </w:rPr>
        <w:fldChar w:fldCharType="end"/>
      </w:r>
      <w:r w:rsidR="001346DE" w:rsidRPr="00901194">
        <w:rPr>
          <w:rFonts w:cs="Times New Roman"/>
        </w:rPr>
        <w:t xml:space="preserve">. </w:t>
      </w:r>
      <w:r w:rsidR="005C73C2" w:rsidRPr="00901194">
        <w:rPr>
          <w:rFonts w:cs="Times New Roman"/>
        </w:rPr>
        <w:t>Ideally, comparisons against such chemical standards should be done when confirming annotations, according to level one annotations of the MSI</w:t>
      </w:r>
      <w:r w:rsidR="005C73C2" w:rsidRPr="00901194">
        <w:rPr>
          <w:rFonts w:cs="Times New Roman"/>
        </w:rPr>
        <w:fldChar w:fldCharType="begin" w:fldLock="1"/>
      </w:r>
      <w:r w:rsidR="005C73C2"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5C73C2" w:rsidRPr="00901194">
        <w:rPr>
          <w:rFonts w:cs="Times New Roman"/>
        </w:rPr>
        <w:fldChar w:fldCharType="separate"/>
      </w:r>
      <w:r w:rsidR="005C73C2" w:rsidRPr="00901194">
        <w:rPr>
          <w:rFonts w:cs="Times New Roman"/>
          <w:noProof/>
          <w:vertAlign w:val="superscript"/>
        </w:rPr>
        <w:t>41</w:t>
      </w:r>
      <w:r w:rsidR="005C73C2" w:rsidRPr="00901194">
        <w:rPr>
          <w:rFonts w:cs="Times New Roman"/>
        </w:rPr>
        <w:fldChar w:fldCharType="end"/>
      </w:r>
      <w:r w:rsidR="005C73C2" w:rsidRPr="00901194">
        <w:rPr>
          <w:rFonts w:cs="Times New Roman"/>
        </w:rPr>
        <w:t>. When analyzing samples via MS, d</w:t>
      </w:r>
      <w:r w:rsidR="001346DE" w:rsidRPr="00901194">
        <w:rPr>
          <w:rFonts w:cs="Times New Roman"/>
        </w:rPr>
        <w:t>ata can be compared against MS databases such as GNPS</w:t>
      </w:r>
      <w:r w:rsidR="005C73C2" w:rsidRPr="00901194">
        <w:rPr>
          <w:rFonts w:cs="Times New Roman"/>
        </w:rPr>
        <w:fldChar w:fldCharType="begin" w:fldLock="1"/>
      </w:r>
      <w:r w:rsidR="003669D4" w:rsidRPr="00901194">
        <w:rPr>
          <w:rFonts w:cs="Times New Roman"/>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005C73C2" w:rsidRPr="00901194">
        <w:rPr>
          <w:rFonts w:cs="Times New Roman"/>
        </w:rPr>
        <w:fldChar w:fldCharType="separate"/>
      </w:r>
      <w:r w:rsidR="005C73C2" w:rsidRPr="00901194">
        <w:rPr>
          <w:rFonts w:cs="Times New Roman"/>
          <w:noProof/>
          <w:vertAlign w:val="superscript"/>
        </w:rPr>
        <w:t>45</w:t>
      </w:r>
      <w:r w:rsidR="005C73C2" w:rsidRPr="00901194">
        <w:rPr>
          <w:rFonts w:cs="Times New Roman"/>
        </w:rPr>
        <w:fldChar w:fldCharType="end"/>
      </w:r>
      <w:r w:rsidR="003669D4" w:rsidRPr="00901194">
        <w:rPr>
          <w:rFonts w:cs="Times New Roman"/>
        </w:rPr>
        <w:t xml:space="preserve"> or the National Institute of Standards and Technology (NIST) spectral database</w:t>
      </w:r>
      <w:r w:rsidR="003669D4" w:rsidRPr="00901194">
        <w:rPr>
          <w:rFonts w:cs="Times New Roman"/>
        </w:rPr>
        <w:fldChar w:fldCharType="begin" w:fldLock="1"/>
      </w:r>
      <w:r w:rsidR="00CC184B" w:rsidRPr="00901194">
        <w:rPr>
          <w:rFonts w:cs="Times New Roman"/>
        </w:rPr>
        <w:instrText>ADDIN CSL_CITATION {"citationItems":[{"id":"ITEM-1","itemData":{"author":[{"dropping-particle":"","family":"Technology","given":"National Institute of Standards and","non-dropping-particle":"","parse-names":false,"suffix":""}],"container-title":"US Secretary of Commerce","id":"ITEM-1","issued":{"date-parts":[["0"]]},"title":"NIST/EPA/NIH Mass Spectral Library","type":"article-journal"},"uris":["http://www.mendeley.com/documents/?uuid=0e7f29e1-7e72-4020-af69-0827cbf2878b"]}],"mendeley":{"formattedCitation":"&lt;sup&gt;218&lt;/sup&gt;","plainTextFormattedCitation":"218","previouslyFormattedCitation":"&lt;sup&gt;218&lt;/sup&gt;"},"properties":{"noteIndex":0},"schema":"https://github.com/citation-style-language/schema/raw/master/csl-citation.json"}</w:instrText>
      </w:r>
      <w:r w:rsidR="003669D4" w:rsidRPr="00901194">
        <w:rPr>
          <w:rFonts w:cs="Times New Roman"/>
        </w:rPr>
        <w:fldChar w:fldCharType="separate"/>
      </w:r>
      <w:r w:rsidR="00975A3E" w:rsidRPr="00901194">
        <w:rPr>
          <w:rFonts w:cs="Times New Roman"/>
          <w:noProof/>
          <w:vertAlign w:val="superscript"/>
        </w:rPr>
        <w:t>218</w:t>
      </w:r>
      <w:r w:rsidR="003669D4" w:rsidRPr="00901194">
        <w:rPr>
          <w:rFonts w:cs="Times New Roman"/>
        </w:rPr>
        <w:fldChar w:fldCharType="end"/>
      </w:r>
      <w:r w:rsidR="003669D4" w:rsidRPr="00901194">
        <w:rPr>
          <w:rFonts w:cs="Times New Roman"/>
        </w:rPr>
        <w:t>, which report level two annotations according to the MSI</w:t>
      </w:r>
      <w:r w:rsidR="003669D4" w:rsidRPr="00901194">
        <w:rPr>
          <w:rFonts w:cs="Times New Roman"/>
        </w:rPr>
        <w:fldChar w:fldCharType="begin" w:fldLock="1"/>
      </w:r>
      <w:r w:rsidR="00EE0905"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3669D4" w:rsidRPr="00901194">
        <w:rPr>
          <w:rFonts w:cs="Times New Roman"/>
        </w:rPr>
        <w:fldChar w:fldCharType="separate"/>
      </w:r>
      <w:r w:rsidR="003669D4" w:rsidRPr="00901194">
        <w:rPr>
          <w:rFonts w:cs="Times New Roman"/>
          <w:noProof/>
          <w:vertAlign w:val="superscript"/>
        </w:rPr>
        <w:t>41</w:t>
      </w:r>
      <w:r w:rsidR="003669D4" w:rsidRPr="00901194">
        <w:rPr>
          <w:rFonts w:cs="Times New Roman"/>
        </w:rPr>
        <w:fldChar w:fldCharType="end"/>
      </w:r>
      <w:r w:rsidR="001346DE" w:rsidRPr="00901194">
        <w:rPr>
          <w:rFonts w:cs="Times New Roman"/>
        </w:rPr>
        <w:t>. However, by nature, residue analysis studies are working with degraded organic residues that have been subjected to poorly-understood taphonomic processes</w:t>
      </w:r>
      <w:r w:rsidR="001346DE" w:rsidRPr="00901194">
        <w:rPr>
          <w:rFonts w:cs="Times New Roman"/>
        </w:rPr>
        <w:fldChar w:fldCharType="begin" w:fldLock="1"/>
      </w:r>
      <w:r w:rsidR="00CC184B" w:rsidRPr="00901194">
        <w:rPr>
          <w:rFonts w:cs="Times New Roman"/>
        </w:rPr>
        <w:instrText>ADDIN CSL_CITATION {"citationItems":[{"id":"ITEM-1","itemData":{"DOI":"10.1016/j.jasrep.2016.04.005","ISBN":"0780366220","ISSN":"2352409X","abstract":"The investigation of organic residues associated with archaeological pottery using modern analytical chemical methods began in the 1970s. It was recognised early on that the analysis of lipids (i.e. fats, waxes and resins) preserved in surface residues or the fabric of single potsherds, representative of single vessels, was a powerful method for ascertaining pottery use, with a high degree of specificity. Subsequent developments saw a significant change in scale, with studies often involving lipid analyses of tens to hundreds of potsherds per archaeological assemblage, providing information that extended beyond pottery use. The identification of animal and plant foodstuffs processed in pots provides insights into herding and farming, and can also detect trade in exotic organic goods. Information about the environment and climate can be extrapolated from the isotopic composition of compounds detected in potsherds, potentially providing novel avenues of investigation. The direct dating of lipids in potsherds is opening up new opportunities for building archaeological chronologies, while the integration of lipid residue analyses with other environmental and cultural proxies within interdisciplinary projects is already providing unprecedented insights into past lifestyles, from site to regional scales.","author":[{"dropping-particle":"","family":"Roffet-Salque","given":"Mélanie","non-dropping-particle":"","parse-names":false,"suffix":""},{"dropping-particle":"","family":"Dunne","given":"Julie","non-dropping-particle":"","parse-names":false,"suffix":""},{"dropping-particle":"","family":"Altoft","given":"David T.","non-dropping-particle":"","parse-names":false,"suffix":""},{"dropping-particle":"","family":"Casanova","given":"Emmanuelle","non-dropping-particle":"","parse-names":false,"suffix":""},{"dropping-particle":"","family":"Cramp","given":"Lucy J.E.","non-dropping-particle":"","parse-names":false,"suffix":""},{"dropping-particle":"","family":"Smyth","given":"Jessica","non-dropping-particle":"","parse-names":false,"suffix":""},{"dropping-particle":"","family":"Whelton","given":"Helen L.","non-dropping-particle":"","parse-names":false,"suffix":""},{"dropping-particle":"","family":"Evershed","given":"Richard P.","non-dropping-particle":"","parse-names":false,"suffix":""}],"container-title":"Journal of Archaeological Science: Reports","id":"ITEM-1","issued":{"date-parts":[["2017"]]},"note":"Residue analysis gives insight into ceramic production and food processing of the time\n\nCleaning and handling sherds caused issues with RA\n\nPg 634 has good table\nPg 628 has a great table\n\nTargeted work\n\nSummary: Review article covering organic residue analysis and the information it provides beyond vessel use, such as vessel production (e.g., detecting sealants or resins involved in pottery making), subsistence/diet, people movement (e.g., detecting substances not from original location), paleoenvironment, paleoecology, and chronology (e.g., carbon from lipids can aid in relative or absolute dating). Also emphasize how residue analyses can help where other parts of archaeology might fail, such as cases when environment does not preserve certain materials well while residues are absorbed and detectable.\nAssessment: Good review; covers a lot of case studies and does a good job at explaining the utility residue analysis brings to archaeology. Authors also bring up issues with taphonomy and the need to investigate this further, which I would have liked to see them discuss more","page":"627-640","title":"From the inside out: Upscaling organic residue analyses of archaeological ceramics","type":"article-journal","volume":"16"},"uris":["http://www.mendeley.com/documents/?uuid=53906f37-6d87-4bcd-885e-1940f672aaf3"]}],"mendeley":{"formattedCitation":"&lt;sup&gt;206&lt;/sup&gt;","plainTextFormattedCitation":"206","previouslyFormattedCitation":"&lt;sup&gt;206&lt;/sup&gt;"},"properties":{"noteIndex":0},"schema":"https://github.com/citation-style-language/schema/raw/master/csl-citation.json"}</w:instrText>
      </w:r>
      <w:r w:rsidR="001346DE" w:rsidRPr="00901194">
        <w:rPr>
          <w:rFonts w:cs="Times New Roman"/>
        </w:rPr>
        <w:fldChar w:fldCharType="separate"/>
      </w:r>
      <w:r w:rsidR="00975A3E" w:rsidRPr="00901194">
        <w:rPr>
          <w:rFonts w:cs="Times New Roman"/>
          <w:noProof/>
          <w:vertAlign w:val="superscript"/>
        </w:rPr>
        <w:t>206</w:t>
      </w:r>
      <w:r w:rsidR="001346DE" w:rsidRPr="00901194">
        <w:rPr>
          <w:rFonts w:cs="Times New Roman"/>
        </w:rPr>
        <w:fldChar w:fldCharType="end"/>
      </w:r>
      <w:r w:rsidR="001346DE" w:rsidRPr="00901194">
        <w:rPr>
          <w:rFonts w:cs="Times New Roman"/>
        </w:rPr>
        <w:t xml:space="preserve">. Detected molecules from sampled residues are associated with a specific food product, such as methylxanthine and cacao/chocolate, but few studies </w:t>
      </w:r>
      <w:r w:rsidR="009D72C2" w:rsidRPr="00901194">
        <w:rPr>
          <w:rFonts w:cs="Times New Roman"/>
        </w:rPr>
        <w:t>incorporate</w:t>
      </w:r>
      <w:r w:rsidR="001346DE" w:rsidRPr="00901194">
        <w:rPr>
          <w:rFonts w:cs="Times New Roman"/>
        </w:rPr>
        <w:t xml:space="preserve"> the assumed dietary product </w:t>
      </w:r>
      <w:r w:rsidR="009D72C2" w:rsidRPr="00901194">
        <w:rPr>
          <w:rFonts w:cs="Times New Roman"/>
        </w:rPr>
        <w:t xml:space="preserve">(e.g., chocolate) as a reference </w:t>
      </w:r>
      <w:r w:rsidR="001346DE" w:rsidRPr="00901194">
        <w:rPr>
          <w:rFonts w:cs="Times New Roman"/>
        </w:rPr>
        <w:t xml:space="preserve">with </w:t>
      </w:r>
      <w:r w:rsidR="009D72C2" w:rsidRPr="00901194">
        <w:rPr>
          <w:rFonts w:cs="Times New Roman"/>
        </w:rPr>
        <w:t xml:space="preserve">the </w:t>
      </w:r>
      <w:r w:rsidR="001346DE" w:rsidRPr="00901194">
        <w:rPr>
          <w:rFonts w:cs="Times New Roman"/>
        </w:rPr>
        <w:t>associated organic residue</w:t>
      </w:r>
      <w:r w:rsidR="00EE0905" w:rsidRPr="00901194">
        <w:rPr>
          <w:rFonts w:cs="Times New Roman"/>
        </w:rPr>
        <w:fldChar w:fldCharType="begin" w:fldLock="1"/>
      </w:r>
      <w:r w:rsidR="00EE0905" w:rsidRPr="00901194">
        <w:rPr>
          <w:rFonts w:cs="Times New Roman"/>
        </w:rPr>
        <w:instrText>ADDIN CSL_CITATION {"citationItems":[{"id":"ITEM-1","itemData":{"DOI":"10.1007/s10816-015-9253-z","ISBN":"1072-5369 1573-7764","ISSN":"15737764","abstract":"Working hypotheses, which draw upon as many relevant disciplines as possible to derive the maximum information from a very limited database, are key to the highly interdisciplinary field of organic residue analysis in archaeology, a branch of biomolecular archaeology. Archaeology and chemistry are most important for effectively developing and testing such hypotheses, but botany, zoology, geology, etc. also need to be taken into account. Archaeologically, the goal is to obtain as many relevant samples as possible from the best preserved and dated contexts, which have been subjected to the least degradation and disturbance by later natural processes and human handling, including washing and conservation treatment. Chemically, molecular biomarkers of natural products need to be defined and identified by the best and most appropriate techniques, together with bioinformatics searches and assessment of degradation. With ever-improving techniques and new data, previously analyzed samples need to be retested and hypotheses possibly reformulated. Consideration of three case studies illustrates this holistic approach to inductive hypothesis generation and deductive testing: (1) new chemical findings that attest to grape wine in amphoras on board the 14th c. B.C. Uluburun ship, the earliest recorded Mediterranean wreck; (2) recently published research on beeswax/mead in Chalcolithic Israel and Neolithic China and Poland; and (3) recent articles on milk products from 2nd millennium B.C. Central Asia and Neolithic Poland. Potential pitfalls leading to weak hypotheses and mistaken conclusions are described, and a more productive approach is proposed.","author":[{"dropping-particle":"","family":"McGovern","given":"Patrick E.","non-dropping-particle":"","parse-names":false,"suffix":""},{"dropping-particle":"","family":"Hall","given":"Gretchen R.","non-dropping-particle":"","parse-names":false,"suffix":""}],"container-title":"Journal of Archaeological Method and Theory","id":"ITEM-1","issue":"2","issued":{"date-parts":[["2016"]]},"note":"Summary: Part review and part case study, covering where the field of residue analysis is in terms of theories, methods, and challenges. Emphasize that data must be re-examined with specific working hypotheses, the biomarker approach is useful in some contexts and not others, and some best practices for methods (specific hypotheses, use controls/standards and multiple samples, be wary of database matches, etc.). Present 3 case studies highlighting the strengths and pitfalls of current residue analysis: 1. Wine residues in amphora from Uluburun shipwreck (bad); 2. Determining beeswax, honey, and/or mead in Chalcolithic Israeli pottery (decent); 3. Ancient milk and cheese bomarkers in mummies from ancient China (mixed feelings)\nAssessment: Good for background about approaches and methods -- present good critiques of the biomarker approach and efficacy of different methods, and their case studies demonstrate the necessity of clear research-oriented hypotheses from the ground-up in a project.\n\n\nProvides an update with where organic residue analysis is at in the field, and uses 3 case studies as examples of how to generate inductive hypotheses and deductive testing\n\nOutlines 12 specific criteria for dvlp'ing and testing working hypotheses for residue analysis: 1. Utilize other arch data (oral traditions, geography, ewritten text, etc.); 2. Experimental arch; 3. Absolute certainty or rejection of a hypothesis is impossible; 4. Must consider how residues are altered by humans; 5. Artifacts/residues should be dated as precisely as possible; 6. Large databases are good, but only if data is high quality; 7. Working hypotheses should be constantly reevaluated; 8. Method dvlp't is crucial; 9 Discovering unique, well-preserved biomarkers is crucial; 10. Biomarkers should be specific to their context; 11. Control samples must be used; 12. Use multiple techniques if possible","page":"592-622","title":"Charting a Future Course for Organic Residue Analysis in Archaeology","type":"article-journal","volume":"23"},"uris":["http://www.mendeley.com/documents/?uuid=eb26e7ea-f518-4644-b884-6cbad51f33db"]},{"id":"ITEM-2","itemData":{"DOI":"10.1016/j.jas.2021.105397","ISSN":"10959238","abstract":"The analysis of lipids and other biomolecules preserved in archaeological artefacts, using chromatographic and mass spectrometric techniques, is a powerful approach, which has provided unprecedented insights into the diet and cultural practices of past populations. In more recent years, the now-mature field of organic residue analysis (ORA) has entered a new phase, undertaking large scale analyses and providing broader perspectives on the uses of pottery over a range of both temporal and spatial scales. However, it has become apparent from the literature that there are significant pitfalls in applying the technique, often due to inexperience or lack of knowledge, that can lead to the production of data which is essentially worthless, because it either lacks analytical rigour or a valid archaeological interpretation. This is partly because ORA sits between chemistry and archaeology and projects are sometimes conducted by researchers not sufficiently familiar in the respective other discipline. Consequently, there have been numerous examples in recent years that showed a lack of understanding of critical points in ORA. This has two serious consequences: 1. the often-wide perpetuation of false knowledge, and 2. the use of a method that is both costly and destructive of irreplaceable archaeological material, which is not compensated for with useful information-gain. Here, we address some common errors encountered either in published literature or during peer-review and discuss the most important errors and misconceptions around ORA. In particular, we discuss use of unsuitable biomarkers, contamination, poor analytical data quality, the limitations of gas chromatography (GC), GC-mass spectrometry (GC-MS) and MS databases, and problems with the interpretation of ORA data. Here, we offer best practice advice and we hope that this will help, and encourage, all researchers looking to apply ORA in their studies, as we are optimistic that these pitfalls can be avoided, and the quality of published research consequently raised.","author":[{"dropping-particle":"","family":"Whelton","given":"Helen L.","non-dropping-particle":"","parse-names":false,"suffix":""},{"dropping-particle":"","family":"Hammann","given":"Simon","non-dropping-particle":"","parse-names":false,"suffix":""},{"dropping-particle":"","family":"Cramp","given":"Lucy J.E.","non-dropping-particle":"","parse-names":false,"suffix":""},{"dropping-particle":"","family":"Dunne","given":"Julie","non-dropping-particle":"","parse-names":false,"suffix":""},{"dropping-particle":"","family":"Roffet-Salque","given":"Mélanie","non-dropping-particle":"","parse-names":false,"suffix":""},{"dropping-particle":"","family":"Evershed","given":"Richard P.","non-dropping-particle":"","parse-names":false,"suffix":""}],"container-title":"Journal of Archaeological Science","id":"ITEM-2","issue":"August 2020","issued":{"date-parts":[["2021"]]},"note":"Summary: Review article discussing where organic residue analysis is at, directly addressing the research divide between archaeologists and analytical chemistry. Authors discuss problems with biomarker approach (how others have misused it and where it can improve), problems with methods, issues with project planning, modern contamination, etc. \nAssessment: Great review, but there's room to improve (hopefully our article can fill in the cracks here) because it's heavy from archaeology. They do a great job discussing issues with previous residue analysis work, but they don't really discuss the analytical chemistry aspects thoroughly (e.g., GC-MS vs LC-MS), data reproducibility, and they essentially say to ignore modern contaminants (which is very problematic).\n\nAlmost identical to our RA approach, but focusing on how archaeologists/archaeology can inform analytical chemistry work; does not focus on the issues from a chemistry perspective as much as they should. Definite room to go further in addressing wider ranges of options, especially with regards to MSI and data reproducibility\n\nSay to ignore modern contaminants when analyzing residues\nDo not address LC-MS much, ancient lab use, untargeted vs, untargeted, etc.","title":"A call for caution in the analysis of lipids and other small biomolecules from archaeological contexts","type":"article-journal","volume":"132"},"uris":["http://www.mendeley.com/documents/?uuid=7f7e5d88-71b5-4c2b-ae2d-4af2c0c9b628"]}],"mendeley":{"formattedCitation":"&lt;sup&gt;23,57&lt;/sup&gt;","plainTextFormattedCitation":"23,57","previouslyFormattedCitation":"&lt;sup&gt;23,57&lt;/sup&gt;"},"properties":{"noteIndex":0},"schema":"https://github.com/citation-style-language/schema/raw/master/csl-citation.json"}</w:instrText>
      </w:r>
      <w:r w:rsidR="00EE0905" w:rsidRPr="00901194">
        <w:rPr>
          <w:rFonts w:cs="Times New Roman"/>
        </w:rPr>
        <w:fldChar w:fldCharType="separate"/>
      </w:r>
      <w:r w:rsidR="00EE0905" w:rsidRPr="00901194">
        <w:rPr>
          <w:rFonts w:cs="Times New Roman"/>
          <w:noProof/>
          <w:vertAlign w:val="superscript"/>
        </w:rPr>
        <w:t>23,57</w:t>
      </w:r>
      <w:r w:rsidR="00EE0905" w:rsidRPr="00901194">
        <w:rPr>
          <w:rFonts w:cs="Times New Roman"/>
        </w:rPr>
        <w:fldChar w:fldCharType="end"/>
      </w:r>
      <w:r w:rsidR="001346DE" w:rsidRPr="00901194">
        <w:rPr>
          <w:rFonts w:cs="Times New Roman"/>
        </w:rPr>
        <w:t xml:space="preserve">. </w:t>
      </w:r>
      <w:r w:rsidR="00B34FD9" w:rsidRPr="00901194">
        <w:rPr>
          <w:rFonts w:cs="Times New Roman"/>
        </w:rPr>
        <w:t>This lack of reference material is especially apparent for residue studies focused on dietary recipes. Some</w:t>
      </w:r>
      <w:r w:rsidR="001346DE" w:rsidRPr="00901194">
        <w:rPr>
          <w:rFonts w:cs="Times New Roman"/>
        </w:rPr>
        <w:t xml:space="preserve"> residue approaches adopt</w:t>
      </w:r>
      <w:r w:rsidR="00B34FD9" w:rsidRPr="00901194">
        <w:rPr>
          <w:rFonts w:cs="Times New Roman"/>
        </w:rPr>
        <w:t>ed</w:t>
      </w:r>
      <w:r w:rsidR="001346DE" w:rsidRPr="00901194">
        <w:rPr>
          <w:rFonts w:cs="Times New Roman"/>
        </w:rPr>
        <w:t xml:space="preserve"> experimental archaeology-based techniques</w:t>
      </w:r>
      <w:r w:rsidR="00EE0905" w:rsidRPr="00901194">
        <w:rPr>
          <w:rFonts w:cs="Times New Roman"/>
        </w:rPr>
        <w:t>,</w:t>
      </w:r>
      <w:r w:rsidR="001346DE" w:rsidRPr="00901194">
        <w:rPr>
          <w:rFonts w:cs="Times New Roman"/>
        </w:rPr>
        <w:t xml:space="preserve"> like experimentally-</w:t>
      </w:r>
      <w:r w:rsidR="001346DE" w:rsidRPr="00901194">
        <w:rPr>
          <w:rFonts w:cs="Times New Roman"/>
        </w:rPr>
        <w:lastRenderedPageBreak/>
        <w:t>smoking tobacco as a comparison against historically-smoked tobacco pipes</w:t>
      </w:r>
      <w:r w:rsidR="001346DE" w:rsidRPr="00901194">
        <w:rPr>
          <w:rFonts w:cs="Times New Roman"/>
        </w:rPr>
        <w:fldChar w:fldCharType="begin" w:fldLock="1"/>
      </w:r>
      <w:r w:rsidR="00267AFA" w:rsidRPr="00901194">
        <w:rPr>
          <w:rFonts w:cs="Times New Roman"/>
        </w:rPr>
        <w:instrText>ADDIN CSL_CITATION {"citationItems":[{"id":"ITEM-1","itemData":{"DOI":"10.3389/fmolb.2020.00133","ISSN":"2296889X","abstract":"Residues from ancient artifacts can help identify which plant species were used for their psychoactive properties, providing important information regarding the deep-time co-evolutionary relationship between plants and humans. However, relying on the presence or absence of one or several biomarkers has limited the ability to confidently connect residues to particular plants. We describe a comprehensive metabolomics-based approach that can distinguish closely related species and provide greater confidence in species use determinations. An ~1430-year-old pipe from central Washington State not only contained nicotine, but also had strong evidence for the smoking of Nicotiana quadrivalvis and Rhus glabra, as opposed to several other species in this pre-contact pipe. Analysis of a post-contact pipe suggested use of different plants, including the introduced trade tobacco, Nicotiana rustica. Ancient residue metabolomics provides a new frontier in archaeo-chemistry, with greater precision to investigate the evolution of drug use and similar plant-human co-evolutionary dynamics.","author":[{"dropping-particle":"","family":"Brownstein","given":"Korey J.","non-dropping-particle":"","parse-names":false,"suffix":""},{"dropping-particle":"","family":"Tushingham","given":"Shannon","non-dropping-particle":"","parse-names":false,"suffix":""},{"dropping-particle":"","family":"Damitio","given":"William J.","non-dropping-particle":"","parse-names":false,"suffix":""},{"dropping-particle":"","family":"Nguyen","given":"Tung","non-dropping-particle":"","parse-names":false,"suffix":""},{"dropping-particle":"","family":"Gang","given":"David R.","non-dropping-particle":"","parse-names":false,"suffix":""}],"container-title":"Frontiers in Molecular Biosciences","id":"ITEM-1","issue":"June","issued":{"date-parts":[["2020"]]},"note":"Brownstein article -- ancient residue metabolomics\n\nCase study focused on developing a targeted metabolomics-like LC-MS approach to distinguish closely-related plant species found in archaeological pipes. Proposed method involves multiple washing/sonication steps with extractions to improve residue recovery without harming ceramic vessel. Also did experimental archaeology\nGreat case study -- used authentic standards, provided MS1 and MS2 data, proper methods, etc.","page":"1-14","title":"An Ancient Residue Metabolomics-Based Method to Distinguish Use of Closely Related Plant Species in Ancient Pipes","type":"article-journal","volume":"7"},"uris":["http://www.mendeley.com/documents/?uuid=c3aa1444-6558-4c93-ad18-b95b835c104d"]}],"mendeley":{"formattedCitation":"&lt;sup&gt;62&lt;/sup&gt;","plainTextFormattedCitation":"62","previouslyFormattedCitation":"&lt;sup&gt;62&lt;/sup&gt;"},"properties":{"noteIndex":0},"schema":"https://github.com/citation-style-language/schema/raw/master/csl-citation.json"}</w:instrText>
      </w:r>
      <w:r w:rsidR="001346DE" w:rsidRPr="00901194">
        <w:rPr>
          <w:rFonts w:cs="Times New Roman"/>
        </w:rPr>
        <w:fldChar w:fldCharType="separate"/>
      </w:r>
      <w:r w:rsidR="001346DE" w:rsidRPr="00901194">
        <w:rPr>
          <w:rFonts w:cs="Times New Roman"/>
          <w:noProof/>
          <w:vertAlign w:val="superscript"/>
        </w:rPr>
        <w:t>62</w:t>
      </w:r>
      <w:r w:rsidR="001346DE" w:rsidRPr="00901194">
        <w:rPr>
          <w:rFonts w:cs="Times New Roman"/>
        </w:rPr>
        <w:fldChar w:fldCharType="end"/>
      </w:r>
      <w:r w:rsidR="00EE0905" w:rsidRPr="00901194">
        <w:rPr>
          <w:rFonts w:cs="Times New Roman"/>
        </w:rPr>
        <w:t xml:space="preserve"> or burying cooking pottery to simulate taphonomic processes on</w:t>
      </w:r>
      <w:r w:rsidR="009D72C2" w:rsidRPr="00901194">
        <w:rPr>
          <w:rFonts w:cs="Times New Roman"/>
        </w:rPr>
        <w:t xml:space="preserve"> protein</w:t>
      </w:r>
      <w:r w:rsidR="00EE0905" w:rsidRPr="00901194">
        <w:rPr>
          <w:rFonts w:cs="Times New Roman"/>
        </w:rPr>
        <w:t xml:space="preserve"> residues</w:t>
      </w:r>
      <w:r w:rsidR="00EE0905" w:rsidRPr="00901194">
        <w:rPr>
          <w:rFonts w:cs="Times New Roman"/>
        </w:rPr>
        <w:fldChar w:fldCharType="begin" w:fldLock="1"/>
      </w:r>
      <w:r w:rsidR="00CC184B" w:rsidRPr="00901194">
        <w:rPr>
          <w:rFonts w:cs="Times New Roman"/>
        </w:rPr>
        <w:instrText>ADDIN CSL_CITATION {"citationItems":[{"id":"ITEM-1","itemData":{"DOI":"10.1016/j.jas.2018.03.004","ISSN":"10959238","abstract":"Despite the growing body of evidence demonstrating that proteins can survive for thousands to even millions of years in selected contexts, there are relatively few examples of the successful recovery and identification of archaeological protein residues from ceramic artifacts. Claims of positive results are sometimes contentious and frequently challenged. One source of confusion in the debate is a general lack of consideration for the taphonomic histories of ceramic-bound proteins. To gain insight into this issue, we conducted an integrated, mass spectrometry-based study examining ceramic-bound protein that was experimentally aged over the course of 12 months. Results demonstrate the rapid degradation of proteins, raise questions about the degree to which ceramic-bound proteins can be expected to survive over time, and reveal some of the limitations of non-targeted mass spectrometry-based analyses. Further, by comparing results from our experimentally-aged samples to the those we obtained from a multi-pronged study of archaeological ceramics from the American Southwest, we are able to draw more confident conclusions regarding our lack of meaningful matches in the archaeological samples.","author":[{"dropping-particle":"","family":"Barker","given":"Andrew","non-dropping-particle":"","parse-names":false,"suffix":""},{"dropping-particle":"","family":"Dombrosky","given":"Jonathan","non-dropping-particle":"","parse-names":false,"suffix":""},{"dropping-particle":"","family":"Venables","given":"Barney","non-dropping-particle":"","parse-names":false,"suffix":""},{"dropping-particle":"","family":"Wolverton","given":"Steve","non-dropping-particle":"","parse-names":false,"suffix":""}],"container-title":"Journal of Archaeological Science","id":"ITEM-1","issued":{"date-parts":[["2018"]]},"note":"Argues we need a taphonomic perspective in R.A. - consider how taphonomy affects residues and subsequent analyses\n\nPresents experimental arch case study where they put protein standards on a ceramic vessel and buried it, with regular analyses over the course of a year. \n\nActual studies with recreating taphonomic conditions are essential to R.A. - help compare and understand residue degradation and results\n\nProtocol for sample prep on page 34\n\nRecreated taphonomic conditions on new ceramics over course of a year\n\n\n\n\nPart case study, part review that advocates for greater incorporation of taphonomic processes influencing molecular residues and their preservation; Did experimental archaeology by burying and repeatedly testing ceramic-bound residues over the course of a year. Concluded that negative results must be reported, especially for nontargeted MS ","page":"32-43","publisher":"Elsevier Ltd","title":"Taphonomy and negative results: An integrated approach to ceramic-bound protein residue analysis","type":"article-journal","volume":"94"},"uris":["http://www.mendeley.com/documents/?uuid=3d659a5e-e4f5-42d9-a5f9-4a4faa0adf40"]}],"mendeley":{"formattedCitation":"&lt;sup&gt;203&lt;/sup&gt;","plainTextFormattedCitation":"203","previouslyFormattedCitation":"&lt;sup&gt;203&lt;/sup&gt;"},"properties":{"noteIndex":0},"schema":"https://github.com/citation-style-language/schema/raw/master/csl-citation.json"}</w:instrText>
      </w:r>
      <w:r w:rsidR="00EE0905" w:rsidRPr="00901194">
        <w:rPr>
          <w:rFonts w:cs="Times New Roman"/>
        </w:rPr>
        <w:fldChar w:fldCharType="separate"/>
      </w:r>
      <w:r w:rsidR="00975A3E" w:rsidRPr="00901194">
        <w:rPr>
          <w:rFonts w:cs="Times New Roman"/>
          <w:noProof/>
          <w:vertAlign w:val="superscript"/>
        </w:rPr>
        <w:t>203</w:t>
      </w:r>
      <w:r w:rsidR="00EE0905" w:rsidRPr="00901194">
        <w:rPr>
          <w:rFonts w:cs="Times New Roman"/>
        </w:rPr>
        <w:fldChar w:fldCharType="end"/>
      </w:r>
      <w:r w:rsidR="00B34FD9" w:rsidRPr="00901194">
        <w:rPr>
          <w:rFonts w:cs="Times New Roman"/>
        </w:rPr>
        <w:t xml:space="preserve">. While these studies represent steps in the right direction, very few studies analyzed </w:t>
      </w:r>
      <w:r w:rsidR="00EE0905" w:rsidRPr="00901194">
        <w:rPr>
          <w:rFonts w:cs="Times New Roman"/>
        </w:rPr>
        <w:t xml:space="preserve">raw, unprocessed </w:t>
      </w:r>
      <w:r w:rsidR="00B34FD9" w:rsidRPr="00901194">
        <w:rPr>
          <w:rFonts w:cs="Times New Roman"/>
        </w:rPr>
        <w:t xml:space="preserve">plant and/or </w:t>
      </w:r>
      <w:r w:rsidR="009D72C2" w:rsidRPr="00901194">
        <w:rPr>
          <w:rFonts w:cs="Times New Roman"/>
        </w:rPr>
        <w:t xml:space="preserve">other </w:t>
      </w:r>
      <w:r w:rsidR="00B34FD9" w:rsidRPr="00901194">
        <w:rPr>
          <w:rFonts w:cs="Times New Roman"/>
        </w:rPr>
        <w:t xml:space="preserve">dietary material </w:t>
      </w:r>
      <w:r w:rsidR="009D72C2" w:rsidRPr="00901194">
        <w:rPr>
          <w:rFonts w:cs="Times New Roman"/>
        </w:rPr>
        <w:t xml:space="preserve">that are </w:t>
      </w:r>
      <w:r w:rsidR="00B34FD9" w:rsidRPr="00901194">
        <w:rPr>
          <w:rFonts w:cs="Times New Roman"/>
        </w:rPr>
        <w:t xml:space="preserve">associated with residue biomarkers. </w:t>
      </w:r>
    </w:p>
    <w:p w14:paraId="682054B4" w14:textId="1332230A" w:rsidR="00A26A35" w:rsidRPr="00901194" w:rsidRDefault="002B10BA" w:rsidP="008D66E5">
      <w:pPr>
        <w:ind w:firstLine="360"/>
        <w:rPr>
          <w:rFonts w:cs="Times New Roman"/>
        </w:rPr>
      </w:pPr>
      <w:r w:rsidRPr="00901194">
        <w:rPr>
          <w:rFonts w:cs="Times New Roman"/>
        </w:rPr>
        <w:t xml:space="preserve">In this spirit, we analyzed 281 </w:t>
      </w:r>
      <w:r w:rsidR="008D66E5" w:rsidRPr="00901194">
        <w:rPr>
          <w:rFonts w:cs="Times New Roman"/>
        </w:rPr>
        <w:t xml:space="preserve">raw </w:t>
      </w:r>
      <w:r w:rsidRPr="00901194">
        <w:rPr>
          <w:rFonts w:cs="Times New Roman"/>
        </w:rPr>
        <w:t>diet samples comprised of wild and domesticated plants from three regions in the Americas</w:t>
      </w:r>
      <w:r w:rsidR="009D72C2" w:rsidRPr="00901194">
        <w:rPr>
          <w:rFonts w:cs="Times New Roman"/>
        </w:rPr>
        <w:t xml:space="preserve">. Our goal is to analyze </w:t>
      </w:r>
      <w:r w:rsidRPr="00901194">
        <w:rPr>
          <w:rFonts w:cs="Times New Roman"/>
        </w:rPr>
        <w:t xml:space="preserve">these samples via untargeted LC-MS/MS to create a dataset of high-quality MS references of archaeologically-relevant plant material. Importantly, these data were collected through developing an untargeted metabolite extraction protocol and </w:t>
      </w:r>
      <w:r w:rsidR="009D72C2" w:rsidRPr="00901194">
        <w:rPr>
          <w:rFonts w:cs="Times New Roman"/>
        </w:rPr>
        <w:t>to prepare samples for</w:t>
      </w:r>
      <w:r w:rsidRPr="00901194">
        <w:rPr>
          <w:rFonts w:cs="Times New Roman"/>
        </w:rPr>
        <w:t xml:space="preserve"> </w:t>
      </w:r>
      <w:r w:rsidR="006B6CD4" w:rsidRPr="00901194">
        <w:rPr>
          <w:rFonts w:cs="Times New Roman"/>
        </w:rPr>
        <w:t xml:space="preserve">untargeted </w:t>
      </w:r>
      <w:r w:rsidRPr="00901194">
        <w:rPr>
          <w:rFonts w:cs="Times New Roman"/>
        </w:rPr>
        <w:t>LC-MS/MS</w:t>
      </w:r>
      <w:r w:rsidR="006B6CD4" w:rsidRPr="00901194">
        <w:rPr>
          <w:rFonts w:cs="Times New Roman"/>
        </w:rPr>
        <w:t>; this enables detection of broad metabolite ranges for each sample</w:t>
      </w:r>
      <w:r w:rsidRPr="00901194">
        <w:rPr>
          <w:rFonts w:cs="Times New Roman"/>
        </w:rPr>
        <w:t>.</w:t>
      </w:r>
      <w:r w:rsidR="0073484A" w:rsidRPr="00901194">
        <w:rPr>
          <w:rFonts w:cs="Times New Roman"/>
        </w:rPr>
        <w:t xml:space="preserve"> While this plant-focused approach is </w:t>
      </w:r>
      <w:r w:rsidR="006B6CD4" w:rsidRPr="00901194">
        <w:rPr>
          <w:rFonts w:cs="Times New Roman"/>
        </w:rPr>
        <w:t>new</w:t>
      </w:r>
      <w:r w:rsidR="0073484A" w:rsidRPr="00901194">
        <w:rPr>
          <w:rFonts w:cs="Times New Roman"/>
        </w:rPr>
        <w:t xml:space="preserve"> in archaeological residue analysis, such analyses of dietary products </w:t>
      </w:r>
      <w:r w:rsidR="006B6CD4" w:rsidRPr="00901194">
        <w:rPr>
          <w:rFonts w:cs="Times New Roman"/>
        </w:rPr>
        <w:t xml:space="preserve">exist </w:t>
      </w:r>
      <w:r w:rsidR="0073484A" w:rsidRPr="00901194">
        <w:rPr>
          <w:rFonts w:cs="Times New Roman"/>
        </w:rPr>
        <w:t xml:space="preserve">in MS-based metabolomics literature. One such study </w:t>
      </w:r>
      <w:r w:rsidR="00C504AF" w:rsidRPr="00901194">
        <w:rPr>
          <w:rFonts w:cs="Times New Roman"/>
        </w:rPr>
        <w:t xml:space="preserve">generated chemical inventories of raw and processed foods consumed </w:t>
      </w:r>
      <w:r w:rsidR="006B6CD4" w:rsidRPr="00901194">
        <w:rPr>
          <w:rFonts w:cs="Times New Roman"/>
        </w:rPr>
        <w:t>by modern humans</w:t>
      </w:r>
      <w:r w:rsidR="00C504AF" w:rsidRPr="00901194">
        <w:rPr>
          <w:rFonts w:cs="Times New Roman"/>
        </w:rPr>
        <w:t xml:space="preserve"> to enable explorations of chemical changes </w:t>
      </w:r>
      <w:r w:rsidR="00267AFA" w:rsidRPr="00901194">
        <w:rPr>
          <w:rFonts w:cs="Times New Roman"/>
        </w:rPr>
        <w:t>introduced by food preparation processes</w:t>
      </w:r>
      <w:r w:rsidR="00267AFA" w:rsidRPr="00901194">
        <w:rPr>
          <w:rFonts w:cs="Times New Roman"/>
        </w:rPr>
        <w:fldChar w:fldCharType="begin" w:fldLock="1"/>
      </w:r>
      <w:r w:rsidR="008D66E5" w:rsidRPr="00901194">
        <w:rPr>
          <w:rFonts w:cs="Times New Roman"/>
        </w:rPr>
        <w:instrText>ADDIN CSL_CITATION {"citationItems":[{"id":"ITEM-1","itemData":{"DOI":"10.1016/j.foodchem.2019.125290","ISSN":"18737072","PMID":"31404873","abstract":"In our daily lives, we consume foods that have been transported, stored, prepared, cooked, or otherwise processed by ourselves or others. Food storage and preparation have drastic effects on the chemical composition of foods. Untargeted mass spectrometry analysis of food samples has the potential to increase our chemical understanding of these processes by detecting a broad spectrum of chemicals. We performed a time-based analysis of the chemical changes in foods during common preparations, such as fermentation, brewing, and ripening, using untargeted mass spectrometry and molecular networking. The data analysis workflow presented implements an approach to study changes in food chemistry that can reveal global alterations in chemical profiles, identify changes in abundance, as well as identify specific chemicals and their transformation products. The data generated in this study are publicly available, enabling the replication and re-analysis of these data in isolation, and serve as a baseline dataset for future investigations.","author":[{"dropping-particle":"","family":"Gauglitz","given":"Julia M.","non-dropping-particle":"","parse-names":false,"suffix":""},{"dropping-particle":"","family":"Aceves","given":"Christine M.","non-dropping-particle":"","parse-names":false,"suffix":""},{"dropping-particle":"","family":"Aksenov","given":"Alexander A.","non-dropping-particle":"","parse-names":false,"suffix":""},{"dropping-particle":"","family":"Aleti","given":"Gajender","non-dropping-particle":"","parse-names":false,"suffix":""},{"dropping-particle":"","family":"Almaliti","given":"J.","non-dropping-particle":"","parse-names":false,"suffix":""},{"dropping-particle":"","family":"Bouslimani","given":"A.","non-dropping-particle":"","parse-names":false,"suffix":""},{"dropping-particle":"","family":"Brown","given":"Elizabeth A.","non-dropping-particle":"","parse-names":false,"suffix":""},{"dropping-particle":"","family":"Campeau","given":"Anaamika","non-dropping-particle":"","parse-names":false,"suffix":""},{"dropping-particle":"","family":"Caraballo-Rodríguez","given":"Andrés Mauricio","non-dropping-particle":"","parse-names":false,"suffix":""},{"dropping-particle":"","family":"Chaar","given":"Rama","non-dropping-particle":"","parse-names":false,"suffix":""},{"dropping-particle":"","family":"Silva","given":"Ricardo R.","non-dropping-particle":"da","parse-names":false,"suffix":""},{"dropping-particle":"","family":"Demko","given":"Alyssa M.","non-dropping-particle":"","parse-names":false,"suffix":""},{"dropping-particle":"","family":"Ottavio","given":"Francesca","non-dropping-particle":"Di","parse-names":false,"suffix":""},{"dropping-particle":"","family":"Elijah","given":"Emmanuel","non-dropping-particle":"","parse-names":false,"suffix":""},{"dropping-particle":"","family":"Ernst","given":"Madeleine","non-dropping-particle":"","parse-names":false,"suffix":""},{"dropping-particle":"","family":"Ferguson","given":"L. Paige","non-dropping-particle":"","parse-names":false,"suffix":""},{"dropping-particle":"","family":"Holmes","given":"Xavier","non-dropping-particle":"","parse-names":false,"suffix":""},{"dropping-particle":"","family":"Jarmusch","given":"Alan K.","non-dropping-particle":"","parse-names":false,"suffix":""},{"dropping-particle":"","family":"Jiang","given":"Lingjing","non-dropping-particle":"","parse-names":false,"suffix":""},{"dropping-particle":"Bin","family":"Kang","given":"Kyo","non-dropping-particle":"","parse-names":false,"suffix":""},{"dropping-particle":"","family":"Koester","given":"I.","non-dropping-particle":"","parse-names":false,"suffix":""},{"dropping-particle":"","family":"Kwan","given":"B.","non-dropping-particle":"","parse-names":false,"suffix":""},{"dropping-particle":"","family":"Li","given":"Jie","non-dropping-particle":"","parse-names":false,"suffix":""},{"dropping-particle":"","family":"Li","given":"Yueying","non-dropping-particle":"","parse-names":false,"suffix":""},{"dropping-particle":"V.","family":"Melnik","given":"Alexey","non-dropping-particle":"","parse-names":false,"suffix":""},{"dropping-particle":"","family":"Molina-Santiago","given":"Carlos","non-dropping-particle":"","parse-names":false,"suffix":""},{"dropping-particle":"","family":"Ni","given":"B.","non-dropping-particle":"","parse-names":false,"suffix":""},{"dropping-particle":"","family":"Oom","given":"Aaron L.","non-dropping-particle":"","parse-names":false,"suffix":""},{"dropping-particle":"","family":"Panitchpakdi","given":"Morgan W.","non-dropping-particle":"","parse-names":false,"suffix":""},{"dropping-particle":"","family":"Petras","given":"Daniel","non-dropping-particle":"","parse-names":false,"suffix":""},{"dropping-particle":"","family":"Quinn","given":"Robert","non-dropping-particle":"","parse-names":false,"suffix":""},{"dropping-particle":"","family":"Sikora","given":"Nicole","non-dropping-particle":"","parse-names":false,"suffix":""},{"dropping-particle":"","family":"Spengler","given":"Katharina","non-dropping-particle":"","parse-names":false,"suffix":""},{"dropping-particle":"","family":"Teke","given":"B.","non-dropping-particle":"","parse-names":false,"suffix":""},{"dropping-particle":"","family":"Tripathi","given":"Anupriya","non-dropping-particle":"","parse-names":false,"suffix":""},{"dropping-particle":"","family":"Ul-Hasan","given":"S.","non-dropping-particle":"","parse-names":false,"suffix":""},{"dropping-particle":"","family":"Hooft","given":"Justin J.J.","non-dropping-particle":"van der","parse-names":false,"suffix":""},{"dropping-particle":"","family":"Vargas","given":"Fernando","non-dropping-particle":"","parse-names":false,"suffix":""},{"dropping-particle":"","family":"Vrbanac","given":"Alison","non-dropping-particle":"","parse-names":false,"suffix":""},{"dropping-particle":"","family":"Vu","given":"Anthony Q.","non-dropping-particle":"","parse-names":false,"suffix":""},{"dropping-particle":"","family":"Wang","given":"Steven C.","non-dropping-particle":"","parse-names":false,"suffix":""},{"dropping-particle":"","family":"Weldon","given":"K.","non-dropping-particle":"","parse-names":false,"suffix":""},{"dropping-particle":"","family":"Wilson","given":"K.","non-dropping-particle":"","parse-names":false,"suffix":""},{"dropping-particle":"","family":"Wozniak","given":"Jacob M.","non-dropping-particle":"","parse-names":false,"suffix":""},{"dropping-particle":"","family":"Yoon","given":"Michael","non-dropping-particle":"","parse-names":false,"suffix":""},{"dropping-particle":"","family":"Bandeira","given":"Nuno","non-dropping-particle":"","parse-names":false,"suffix":""},{"dropping-particle":"","family":"Dorrestein","given":"Pieter C.","non-dropping-particle":"","parse-names":false,"suffix":""}],"container-title":"Food Chemistry","id":"ITEM-1","issue":"June 2018","issued":{"date-parts":[["2020"]]},"note":"For full methods, see supplemental info\n\n\nMentioned in supplemental: Caffeine was a high-intensity contaminant b/w runs?","page":"125290","publisher":"Elsevier","title":"Untargeted mass spectrometry-based metabolomics approach unveils molecular changes in raw and processed foods and beverages","type":"article-journal","volume":"302"},"uris":["http://www.mendeley.com/documents/?uuid=b1c39a7e-b15e-4a62-928b-72504919df89"]}],"mendeley":{"formattedCitation":"&lt;sup&gt;39&lt;/sup&gt;","plainTextFormattedCitation":"39","previouslyFormattedCitation":"&lt;sup&gt;39&lt;/sup&gt;"},"properties":{"noteIndex":0},"schema":"https://github.com/citation-style-language/schema/raw/master/csl-citation.json"}</w:instrText>
      </w:r>
      <w:r w:rsidR="00267AFA" w:rsidRPr="00901194">
        <w:rPr>
          <w:rFonts w:cs="Times New Roman"/>
        </w:rPr>
        <w:fldChar w:fldCharType="separate"/>
      </w:r>
      <w:r w:rsidR="00267AFA" w:rsidRPr="00901194">
        <w:rPr>
          <w:rFonts w:cs="Times New Roman"/>
          <w:noProof/>
          <w:vertAlign w:val="superscript"/>
        </w:rPr>
        <w:t>39</w:t>
      </w:r>
      <w:r w:rsidR="00267AFA" w:rsidRPr="00901194">
        <w:rPr>
          <w:rFonts w:cs="Times New Roman"/>
        </w:rPr>
        <w:fldChar w:fldCharType="end"/>
      </w:r>
      <w:r w:rsidR="00C504AF" w:rsidRPr="00901194">
        <w:rPr>
          <w:rFonts w:cs="Times New Roman"/>
        </w:rPr>
        <w:t>.</w:t>
      </w:r>
      <w:r w:rsidR="00267AFA" w:rsidRPr="00901194">
        <w:rPr>
          <w:rFonts w:cs="Times New Roman"/>
        </w:rPr>
        <w:t xml:space="preserve"> </w:t>
      </w:r>
      <w:r w:rsidR="00BD2BF3" w:rsidRPr="00901194">
        <w:rPr>
          <w:rFonts w:cs="Times New Roman"/>
        </w:rPr>
        <w:t>However,</w:t>
      </w:r>
      <w:r w:rsidR="00267AFA" w:rsidRPr="00901194">
        <w:rPr>
          <w:rFonts w:cs="Times New Roman"/>
        </w:rPr>
        <w:t xml:space="preserve"> this study focused on foods common to modern western </w:t>
      </w:r>
      <w:r w:rsidR="006B6CD4" w:rsidRPr="00901194">
        <w:rPr>
          <w:rFonts w:cs="Times New Roman"/>
        </w:rPr>
        <w:t xml:space="preserve">industrialized </w:t>
      </w:r>
      <w:r w:rsidR="00B434B2" w:rsidRPr="00901194">
        <w:rPr>
          <w:rFonts w:cs="Times New Roman"/>
        </w:rPr>
        <w:t xml:space="preserve">human </w:t>
      </w:r>
      <w:r w:rsidR="006B6CD4" w:rsidRPr="00901194">
        <w:rPr>
          <w:rFonts w:cs="Times New Roman"/>
        </w:rPr>
        <w:t>populations</w:t>
      </w:r>
      <w:r w:rsidR="006B6CD4" w:rsidRPr="00901194">
        <w:rPr>
          <w:rFonts w:cs="Times New Roman"/>
        </w:rPr>
        <w:fldChar w:fldCharType="begin" w:fldLock="1"/>
      </w:r>
      <w:r w:rsidR="00975A3E" w:rsidRPr="00901194">
        <w:rPr>
          <w:rFonts w:cs="Times New Roman"/>
        </w:rPr>
        <w:instrText>ADDIN CSL_CITATION {"citationItems":[{"id":"ITEM-1","itemData":{"DOI":"10.1016/j.foodchem.2019.125290","ISSN":"18737072","PMID":"31404873","abstract":"In our daily lives, we consume foods that have been transported, stored, prepared, cooked, or otherwise processed by ourselves or others. Food storage and preparation have drastic effects on the chemical composition of foods. Untargeted mass spectrometry analysis of food samples has the potential to increase our chemical understanding of these processes by detecting a broad spectrum of chemicals. We performed a time-based analysis of the chemical changes in foods during common preparations, such as fermentation, brewing, and ripening, using untargeted mass spectrometry and molecular networking. The data analysis workflow presented implements an approach to study changes in food chemistry that can reveal global alterations in chemical profiles, identify changes in abundance, as well as identify specific chemicals and their transformation products. The data generated in this study are publicly available, enabling the replication and re-analysis of these data in isolation, and serve as a baseline dataset for future investigations.","author":[{"dropping-particle":"","family":"Gauglitz","given":"Julia M.","non-dropping-particle":"","parse-names":false,"suffix":""},{"dropping-particle":"","family":"Aceves","given":"Christine M.","non-dropping-particle":"","parse-names":false,"suffix":""},{"dropping-particle":"","family":"Aksenov","given":"Alexander A.","non-dropping-particle":"","parse-names":false,"suffix":""},{"dropping-particle":"","family":"Aleti","given":"Gajender","non-dropping-particle":"","parse-names":false,"suffix":""},{"dropping-particle":"","family":"Almaliti","given":"J.","non-dropping-particle":"","parse-names":false,"suffix":""},{"dropping-particle":"","family":"Bouslimani","given":"A.","non-dropping-particle":"","parse-names":false,"suffix":""},{"dropping-particle":"","family":"Brown","given":"Elizabeth A.","non-dropping-particle":"","parse-names":false,"suffix":""},{"dropping-particle":"","family":"Campeau","given":"Anaamika","non-dropping-particle":"","parse-names":false,"suffix":""},{"dropping-particle":"","family":"Caraballo-Rodríguez","given":"Andrés Mauricio","non-dropping-particle":"","parse-names":false,"suffix":""},{"dropping-particle":"","family":"Chaar","given":"Rama","non-dropping-particle":"","parse-names":false,"suffix":""},{"dropping-particle":"","family":"Silva","given":"Ricardo R.","non-dropping-particle":"da","parse-names":false,"suffix":""},{"dropping-particle":"","family":"Demko","given":"Alyssa M.","non-dropping-particle":"","parse-names":false,"suffix":""},{"dropping-particle":"","family":"Ottavio","given":"Francesca","non-dropping-particle":"Di","parse-names":false,"suffix":""},{"dropping-particle":"","family":"Elijah","given":"Emmanuel","non-dropping-particle":"","parse-names":false,"suffix":""},{"dropping-particle":"","family":"Ernst","given":"Madeleine","non-dropping-particle":"","parse-names":false,"suffix":""},{"dropping-particle":"","family":"Ferguson","given":"L. Paige","non-dropping-particle":"","parse-names":false,"suffix":""},{"dropping-particle":"","family":"Holmes","given":"Xavier","non-dropping-particle":"","parse-names":false,"suffix":""},{"dropping-particle":"","family":"Jarmusch","given":"Alan K.","non-dropping-particle":"","parse-names":false,"suffix":""},{"dropping-particle":"","family":"Jiang","given":"Lingjing","non-dropping-particle":"","parse-names":false,"suffix":""},{"dropping-particle":"Bin","family":"Kang","given":"Kyo","non-dropping-particle":"","parse-names":false,"suffix":""},{"dropping-particle":"","family":"Koester","given":"I.","non-dropping-particle":"","parse-names":false,"suffix":""},{"dropping-particle":"","family":"Kwan","given":"B.","non-dropping-particle":"","parse-names":false,"suffix":""},{"dropping-particle":"","family":"Li","given":"Jie","non-dropping-particle":"","parse-names":false,"suffix":""},{"dropping-particle":"","family":"Li","given":"Yueying","non-dropping-particle":"","parse-names":false,"suffix":""},{"dropping-particle":"V.","family":"Melnik","given":"Alexey","non-dropping-particle":"","parse-names":false,"suffix":""},{"dropping-particle":"","family":"Molina-Santiago","given":"Carlos","non-dropping-particle":"","parse-names":false,"suffix":""},{"dropping-particle":"","family":"Ni","given":"B.","non-dropping-particle":"","parse-names":false,"suffix":""},{"dropping-particle":"","family":"Oom","given":"Aaron L.","non-dropping-particle":"","parse-names":false,"suffix":""},{"dropping-particle":"","family":"Panitchpakdi","given":"Morgan W.","non-dropping-particle":"","parse-names":false,"suffix":""},{"dropping-particle":"","family":"Petras","given":"Daniel","non-dropping-particle":"","parse-names":false,"suffix":""},{"dropping-particle":"","family":"Quinn","given":"Robert","non-dropping-particle":"","parse-names":false,"suffix":""},{"dropping-particle":"","family":"Sikora","given":"Nicole","non-dropping-particle":"","parse-names":false,"suffix":""},{"dropping-particle":"","family":"Spengler","given":"Katharina","non-dropping-particle":"","parse-names":false,"suffix":""},{"dropping-particle":"","family":"Teke","given":"B.","non-dropping-particle":"","parse-names":false,"suffix":""},{"dropping-particle":"","family":"Tripathi","given":"Anupriya","non-dropping-particle":"","parse-names":false,"suffix":""},{"dropping-particle":"","family":"Ul-Hasan","given":"S.","non-dropping-particle":"","parse-names":false,"suffix":""},{"dropping-particle":"","family":"Hooft","given":"Justin J.J.","non-dropping-particle":"van der","parse-names":false,"suffix":""},{"dropping-particle":"","family":"Vargas","given":"Fernando","non-dropping-particle":"","parse-names":false,"suffix":""},{"dropping-particle":"","family":"Vrbanac","given":"Alison","non-dropping-particle":"","parse-names":false,"suffix":""},{"dropping-particle":"","family":"Vu","given":"Anthony Q.","non-dropping-particle":"","parse-names":false,"suffix":""},{"dropping-particle":"","family":"Wang","given":"Steven C.","non-dropping-particle":"","parse-names":false,"suffix":""},{"dropping-particle":"","family":"Weldon","given":"K.","non-dropping-particle":"","parse-names":false,"suffix":""},{"dropping-particle":"","family":"Wilson","given":"K.","non-dropping-particle":"","parse-names":false,"suffix":""},{"dropping-particle":"","family":"Wozniak","given":"Jacob M.","non-dropping-particle":"","parse-names":false,"suffix":""},{"dropping-particle":"","family":"Yoon","given":"Michael","non-dropping-particle":"","parse-names":false,"suffix":""},{"dropping-particle":"","family":"Bandeira","given":"Nuno","non-dropping-particle":"","parse-names":false,"suffix":""},{"dropping-particle":"","family":"Dorrestein","given":"Pieter C.","non-dropping-particle":"","parse-names":false,"suffix":""}],"container-title":"Food Chemistry","id":"ITEM-1","issue":"June 2018","issued":{"date-parts":[["2020"]]},"note":"For full methods, see supplemental info\n\n\nMentioned in supplemental: Caffeine was a high-intensity contaminant b/w runs?","page":"125290","publisher":"Elsevier","title":"Untargeted mass spectrometry-based metabolomics approach unveils molecular changes in raw and processed foods and beverages","type":"article-journal","volume":"302"},"uris":["http://www.mendeley.com/documents/?uuid=b1c39a7e-b15e-4a62-928b-72504919df89"]}],"mendeley":{"formattedCitation":"&lt;sup&gt;39&lt;/sup&gt;","plainTextFormattedCitation":"39","previouslyFormattedCitation":"&lt;sup&gt;39&lt;/sup&gt;"},"properties":{"noteIndex":0},"schema":"https://github.com/citation-style-language/schema/raw/master/csl-citation.json"}</w:instrText>
      </w:r>
      <w:r w:rsidR="006B6CD4" w:rsidRPr="00901194">
        <w:rPr>
          <w:rFonts w:cs="Times New Roman"/>
        </w:rPr>
        <w:fldChar w:fldCharType="separate"/>
      </w:r>
      <w:r w:rsidR="006B6CD4" w:rsidRPr="00901194">
        <w:rPr>
          <w:rFonts w:cs="Times New Roman"/>
          <w:noProof/>
          <w:vertAlign w:val="superscript"/>
        </w:rPr>
        <w:t>39</w:t>
      </w:r>
      <w:r w:rsidR="006B6CD4" w:rsidRPr="00901194">
        <w:rPr>
          <w:rFonts w:cs="Times New Roman"/>
        </w:rPr>
        <w:fldChar w:fldCharType="end"/>
      </w:r>
      <w:r w:rsidR="00267AFA" w:rsidRPr="00901194">
        <w:rPr>
          <w:rFonts w:cs="Times New Roman"/>
        </w:rPr>
        <w:t xml:space="preserve">, </w:t>
      </w:r>
      <w:r w:rsidR="008D66E5" w:rsidRPr="00901194">
        <w:rPr>
          <w:rFonts w:cs="Times New Roman"/>
        </w:rPr>
        <w:t xml:space="preserve">while </w:t>
      </w:r>
      <w:r w:rsidR="00267AFA" w:rsidRPr="00901194">
        <w:rPr>
          <w:rFonts w:cs="Times New Roman"/>
        </w:rPr>
        <w:t xml:space="preserve">our study </w:t>
      </w:r>
      <w:r w:rsidR="008D66E5" w:rsidRPr="00901194">
        <w:rPr>
          <w:rFonts w:cs="Times New Roman"/>
        </w:rPr>
        <w:t xml:space="preserve">examined </w:t>
      </w:r>
      <w:r w:rsidR="00267AFA" w:rsidRPr="00901194">
        <w:rPr>
          <w:rFonts w:cs="Times New Roman"/>
        </w:rPr>
        <w:t xml:space="preserve">dietary products relevant to archaeological and Indigenous communities. </w:t>
      </w:r>
      <w:r w:rsidR="00BD2BF3" w:rsidRPr="00901194">
        <w:rPr>
          <w:rFonts w:cs="Times New Roman"/>
        </w:rPr>
        <w:t xml:space="preserve">Through generating untargeted metabolomics profiles of </w:t>
      </w:r>
      <w:r w:rsidR="006B6CD4" w:rsidRPr="00901194">
        <w:rPr>
          <w:rFonts w:cs="Times New Roman"/>
        </w:rPr>
        <w:t>plants</w:t>
      </w:r>
      <w:r w:rsidR="00BD2BF3" w:rsidRPr="00901194">
        <w:rPr>
          <w:rFonts w:cs="Times New Roman"/>
        </w:rPr>
        <w:t xml:space="preserve"> and other dietary samples, </w:t>
      </w:r>
      <w:r w:rsidR="008D66E5" w:rsidRPr="00901194">
        <w:rPr>
          <w:rFonts w:cs="Times New Roman"/>
        </w:rPr>
        <w:t xml:space="preserve">we expect to see a rise in the number and quality of annotations seen in residue analysis studies. </w:t>
      </w:r>
      <w:r w:rsidR="006202D6" w:rsidRPr="00901194">
        <w:rPr>
          <w:rFonts w:cs="Times New Roman"/>
        </w:rPr>
        <w:t>Moreover, detailing the extraction</w:t>
      </w:r>
      <w:r w:rsidR="006B6CD4" w:rsidRPr="00901194">
        <w:rPr>
          <w:rFonts w:cs="Times New Roman"/>
        </w:rPr>
        <w:t>/</w:t>
      </w:r>
      <w:r w:rsidR="006202D6" w:rsidRPr="00901194">
        <w:rPr>
          <w:rFonts w:cs="Times New Roman"/>
        </w:rPr>
        <w:t xml:space="preserve">analysis methods used and making the data accessible create opportunities for other researchers to apply these approaches and data to their own work. While </w:t>
      </w:r>
      <w:r w:rsidR="00032CB7" w:rsidRPr="00901194">
        <w:rPr>
          <w:rFonts w:cs="Times New Roman"/>
        </w:rPr>
        <w:t>detailed analyses of the plant metabolomic profiles are forthcoming, this dissertation chapter will describe our untargeted LC-MS/MS approach and preliminary results of these plant data.</w:t>
      </w:r>
    </w:p>
    <w:p w14:paraId="63170A2A" w14:textId="37AF219B" w:rsidR="00005504" w:rsidRPr="00901194" w:rsidRDefault="00005504" w:rsidP="00005504">
      <w:pPr>
        <w:pStyle w:val="Sub-ChapterHading"/>
      </w:pPr>
      <w:bookmarkStart w:id="89" w:name="_Toc134185982"/>
      <w:r w:rsidRPr="00901194">
        <w:lastRenderedPageBreak/>
        <w:t>4.3 MATERIALS AND METHODS</w:t>
      </w:r>
      <w:bookmarkEnd w:id="89"/>
    </w:p>
    <w:p w14:paraId="2D8897E3" w14:textId="74C11321" w:rsidR="00F17A42" w:rsidRPr="00901194" w:rsidRDefault="00F17A42" w:rsidP="00F17A42">
      <w:pPr>
        <w:pStyle w:val="Subsub-chapterHeading"/>
      </w:pPr>
      <w:bookmarkStart w:id="90" w:name="_Toc134185983"/>
      <w:r w:rsidRPr="00901194">
        <w:t>Project Design</w:t>
      </w:r>
      <w:bookmarkEnd w:id="90"/>
    </w:p>
    <w:p w14:paraId="762840FA" w14:textId="30E6D3CC" w:rsidR="006B197C" w:rsidRPr="00901194" w:rsidRDefault="00FA1854" w:rsidP="00D314D1">
      <w:pPr>
        <w:ind w:firstLine="720"/>
        <w:rPr>
          <w:rFonts w:cs="Times New Roman"/>
        </w:rPr>
      </w:pPr>
      <w:r w:rsidRPr="00901194">
        <w:rPr>
          <w:rFonts w:cs="Times New Roman"/>
        </w:rPr>
        <w:t xml:space="preserve">A total of 281 plant samples were collected from three </w:t>
      </w:r>
      <w:r w:rsidR="004E5234" w:rsidRPr="00901194">
        <w:rPr>
          <w:rFonts w:cs="Times New Roman"/>
        </w:rPr>
        <w:t>locations</w:t>
      </w:r>
      <w:r w:rsidR="006B197C" w:rsidRPr="00901194">
        <w:rPr>
          <w:rFonts w:cs="Times New Roman"/>
        </w:rPr>
        <w:t xml:space="preserve"> in the Americas (Figure 4.1)</w:t>
      </w:r>
      <w:r w:rsidRPr="00901194">
        <w:rPr>
          <w:rFonts w:cs="Times New Roman"/>
        </w:rPr>
        <w:t>: Mexico (</w:t>
      </w:r>
      <w:r w:rsidRPr="00901194">
        <w:rPr>
          <w:rFonts w:cs="Times New Roman"/>
          <w:i/>
          <w:iCs/>
        </w:rPr>
        <w:t>n</w:t>
      </w:r>
      <w:r w:rsidRPr="00901194">
        <w:rPr>
          <w:rFonts w:cs="Times New Roman"/>
        </w:rPr>
        <w:t>=155), New Mexico (</w:t>
      </w:r>
      <w:r w:rsidRPr="00901194">
        <w:rPr>
          <w:rFonts w:cs="Times New Roman"/>
          <w:i/>
          <w:iCs/>
        </w:rPr>
        <w:t>n</w:t>
      </w:r>
      <w:r w:rsidRPr="00901194">
        <w:rPr>
          <w:rFonts w:cs="Times New Roman"/>
        </w:rPr>
        <w:t>=88), and Southern Belize (</w:t>
      </w:r>
      <w:r w:rsidRPr="00901194">
        <w:rPr>
          <w:rFonts w:cs="Times New Roman"/>
          <w:i/>
          <w:iCs/>
        </w:rPr>
        <w:t>n</w:t>
      </w:r>
      <w:r w:rsidRPr="00901194">
        <w:rPr>
          <w:rFonts w:cs="Times New Roman"/>
        </w:rPr>
        <w:t>=34). Sample collection occurred at different times, but sample treatment protocols were standardized across the regions.</w:t>
      </w:r>
      <w:r w:rsidR="008A262C" w:rsidRPr="00901194">
        <w:rPr>
          <w:rFonts w:cs="Times New Roman"/>
        </w:rPr>
        <w:t xml:space="preserve"> Plants included </w:t>
      </w:r>
      <w:r w:rsidR="00E51E43" w:rsidRPr="00901194">
        <w:rPr>
          <w:rFonts w:cs="Times New Roman"/>
        </w:rPr>
        <w:t xml:space="preserve">grains, fruits, nuts, berries, chiles, roots, inhalants, medicinal and cultural herbs, etc. (see Table S4.1 for full </w:t>
      </w:r>
      <w:r w:rsidR="00237855" w:rsidRPr="00901194">
        <w:rPr>
          <w:rFonts w:cs="Times New Roman"/>
        </w:rPr>
        <w:t xml:space="preserve">plant </w:t>
      </w:r>
      <w:r w:rsidR="00E51E43" w:rsidRPr="00901194">
        <w:rPr>
          <w:rFonts w:cs="Times New Roman"/>
        </w:rPr>
        <w:t>list).</w:t>
      </w:r>
      <w:r w:rsidR="00BA1AAD" w:rsidRPr="00901194">
        <w:rPr>
          <w:rFonts w:cs="Times New Roman"/>
        </w:rPr>
        <w:t xml:space="preserve"> Additionally, some plants were present across all three regions</w:t>
      </w:r>
      <w:r w:rsidR="009A58A9" w:rsidRPr="00901194">
        <w:rPr>
          <w:rFonts w:cs="Times New Roman"/>
        </w:rPr>
        <w:t xml:space="preserve"> and multiple parts of plants were subsampled to examine differences based on collected region and different bioactive parts of the plants.</w:t>
      </w:r>
    </w:p>
    <w:p w14:paraId="37477597" w14:textId="6B968965" w:rsidR="000C0D27" w:rsidRPr="00901194" w:rsidRDefault="009A58A9" w:rsidP="006B197C">
      <w:pPr>
        <w:pStyle w:val="CaptionJH"/>
        <w:spacing w:line="240" w:lineRule="auto"/>
        <w:rPr>
          <w:b/>
          <w:bCs w:val="0"/>
        </w:rPr>
      </w:pPr>
      <w:bookmarkStart w:id="91" w:name="_Toc131186560"/>
      <w:r w:rsidRPr="00901194">
        <w:rPr>
          <w:noProof/>
        </w:rPr>
        <w:drawing>
          <wp:anchor distT="0" distB="0" distL="114300" distR="114300" simplePos="0" relativeHeight="251742208" behindDoc="0" locked="0" layoutInCell="1" allowOverlap="1" wp14:anchorId="3A3DE347" wp14:editId="0921E4AD">
            <wp:simplePos x="0" y="0"/>
            <wp:positionH relativeFrom="margin">
              <wp:align>right</wp:align>
            </wp:positionH>
            <wp:positionV relativeFrom="paragraph">
              <wp:posOffset>31930</wp:posOffset>
            </wp:positionV>
            <wp:extent cx="5943600" cy="4226560"/>
            <wp:effectExtent l="0" t="0" r="0" b="2540"/>
            <wp:wrapTopAndBottom/>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943600" cy="4226560"/>
                    </a:xfrm>
                    <a:prstGeom prst="rect">
                      <a:avLst/>
                    </a:prstGeom>
                  </pic:spPr>
                </pic:pic>
              </a:graphicData>
            </a:graphic>
          </wp:anchor>
        </w:drawing>
      </w:r>
      <w:r w:rsidR="006B197C" w:rsidRPr="00901194">
        <w:rPr>
          <w:b/>
          <w:bCs w:val="0"/>
        </w:rPr>
        <w:t xml:space="preserve">Figure 4.1: Plant sampling </w:t>
      </w:r>
      <w:r w:rsidR="0065734E" w:rsidRPr="00901194">
        <w:rPr>
          <w:b/>
          <w:bCs w:val="0"/>
        </w:rPr>
        <w:t>locations</w:t>
      </w:r>
      <w:r w:rsidR="006B197C" w:rsidRPr="00901194">
        <w:rPr>
          <w:b/>
          <w:bCs w:val="0"/>
        </w:rPr>
        <w:t>.</w:t>
      </w:r>
      <w:bookmarkEnd w:id="91"/>
    </w:p>
    <w:p w14:paraId="2E63702F" w14:textId="1422DF4D" w:rsidR="000C0D27" w:rsidRPr="00901194" w:rsidRDefault="000C0D27" w:rsidP="006B197C">
      <w:pPr>
        <w:pStyle w:val="CaptionJH"/>
        <w:spacing w:line="240" w:lineRule="auto"/>
        <w:rPr>
          <w:b/>
          <w:bCs w:val="0"/>
        </w:rPr>
      </w:pPr>
    </w:p>
    <w:p w14:paraId="18DD3C1B" w14:textId="77777777" w:rsidR="0065734E" w:rsidRPr="00901194" w:rsidRDefault="0065734E" w:rsidP="0065734E">
      <w:pPr>
        <w:rPr>
          <w:rFonts w:cs="Times New Roman"/>
        </w:rPr>
      </w:pPr>
    </w:p>
    <w:p w14:paraId="32114205" w14:textId="3AAC449D" w:rsidR="00D314D1" w:rsidRPr="00901194" w:rsidRDefault="00D314D1" w:rsidP="00D314D1">
      <w:pPr>
        <w:pStyle w:val="Subsub-chapterHeading"/>
      </w:pPr>
      <w:bookmarkStart w:id="92" w:name="_Toc134185984"/>
      <w:r w:rsidRPr="00901194">
        <w:lastRenderedPageBreak/>
        <w:t>Sample</w:t>
      </w:r>
      <w:r w:rsidR="002C1CA2" w:rsidRPr="00901194">
        <w:t xml:space="preserve"> Collection</w:t>
      </w:r>
      <w:bookmarkEnd w:id="92"/>
    </w:p>
    <w:p w14:paraId="326242FD" w14:textId="46CC9594" w:rsidR="00D314D1" w:rsidRPr="00901194" w:rsidRDefault="005B5811" w:rsidP="005C6807">
      <w:pPr>
        <w:rPr>
          <w:rFonts w:cs="Times New Roman"/>
        </w:rPr>
      </w:pPr>
      <w:r w:rsidRPr="00901194">
        <w:rPr>
          <w:rFonts w:cs="Times New Roman"/>
        </w:rPr>
        <w:tab/>
      </w:r>
      <w:r w:rsidR="0041080D" w:rsidRPr="00901194">
        <w:rPr>
          <w:rFonts w:cs="Times New Roman"/>
        </w:rPr>
        <w:t xml:space="preserve">Mexico </w:t>
      </w:r>
      <w:r w:rsidR="005C595C" w:rsidRPr="00901194">
        <w:rPr>
          <w:rFonts w:cs="Times New Roman"/>
        </w:rPr>
        <w:t xml:space="preserve">samples </w:t>
      </w:r>
      <w:r w:rsidR="0041080D" w:rsidRPr="00901194">
        <w:rPr>
          <w:rFonts w:cs="Times New Roman"/>
        </w:rPr>
        <w:t xml:space="preserve">were collected by </w:t>
      </w:r>
      <w:r w:rsidR="006B6CD4" w:rsidRPr="00901194">
        <w:rPr>
          <w:rFonts w:cs="Times New Roman"/>
        </w:rPr>
        <w:t xml:space="preserve">co-author </w:t>
      </w:r>
      <w:r w:rsidR="0041080D" w:rsidRPr="00901194">
        <w:rPr>
          <w:rFonts w:cs="Times New Roman"/>
        </w:rPr>
        <w:t xml:space="preserve">Dr. Christina Warinner in 2005-2006 from </w:t>
      </w:r>
      <w:r w:rsidR="006B6CD4" w:rsidRPr="00901194">
        <w:rPr>
          <w:rFonts w:cs="Times New Roman"/>
        </w:rPr>
        <w:t xml:space="preserve">public </w:t>
      </w:r>
      <w:r w:rsidR="0041080D" w:rsidRPr="00901194">
        <w:rPr>
          <w:rFonts w:cs="Times New Roman"/>
        </w:rPr>
        <w:t>markets in two different areas</w:t>
      </w:r>
      <w:r w:rsidRPr="00901194">
        <w:rPr>
          <w:rFonts w:cs="Times New Roman"/>
        </w:rPr>
        <w:t xml:space="preserve">: </w:t>
      </w:r>
      <w:r w:rsidR="006B6CD4" w:rsidRPr="00901194">
        <w:rPr>
          <w:rFonts w:cs="Times New Roman"/>
        </w:rPr>
        <w:t xml:space="preserve">Mercado Benito Juárez in Oaxaca City </w:t>
      </w:r>
      <w:r w:rsidR="0041080D" w:rsidRPr="00901194">
        <w:rPr>
          <w:rFonts w:cs="Times New Roman"/>
        </w:rPr>
        <w:t>(</w:t>
      </w:r>
      <w:r w:rsidR="001A53CA" w:rsidRPr="00901194">
        <w:rPr>
          <w:rFonts w:cs="Times New Roman"/>
          <w:i/>
          <w:iCs/>
        </w:rPr>
        <w:t>n</w:t>
      </w:r>
      <w:r w:rsidR="001A53CA" w:rsidRPr="00901194">
        <w:rPr>
          <w:rFonts w:cs="Times New Roman"/>
        </w:rPr>
        <w:t xml:space="preserve">=105, </w:t>
      </w:r>
      <w:r w:rsidR="0041080D" w:rsidRPr="00901194">
        <w:rPr>
          <w:rFonts w:cs="Times New Roman"/>
        </w:rPr>
        <w:t>summer and winter collections)</w:t>
      </w:r>
      <w:r w:rsidRPr="00901194">
        <w:rPr>
          <w:rFonts w:cs="Times New Roman"/>
        </w:rPr>
        <w:t>, and Villahermosa</w:t>
      </w:r>
      <w:r w:rsidR="0041080D" w:rsidRPr="00901194">
        <w:rPr>
          <w:rFonts w:cs="Times New Roman"/>
        </w:rPr>
        <w:t xml:space="preserve"> market</w:t>
      </w:r>
      <w:r w:rsidR="001A53CA" w:rsidRPr="00901194">
        <w:rPr>
          <w:rFonts w:cs="Times New Roman"/>
        </w:rPr>
        <w:t xml:space="preserve"> (</w:t>
      </w:r>
      <w:r w:rsidR="001A53CA" w:rsidRPr="00901194">
        <w:rPr>
          <w:rFonts w:cs="Times New Roman"/>
          <w:i/>
          <w:iCs/>
        </w:rPr>
        <w:t>n</w:t>
      </w:r>
      <w:r w:rsidR="001A53CA" w:rsidRPr="00901194">
        <w:rPr>
          <w:rFonts w:cs="Times New Roman"/>
        </w:rPr>
        <w:t>=50)</w:t>
      </w:r>
      <w:r w:rsidR="0041080D" w:rsidRPr="00901194">
        <w:rPr>
          <w:rFonts w:cs="Times New Roman"/>
        </w:rPr>
        <w:t xml:space="preserve">. </w:t>
      </w:r>
      <w:r w:rsidRPr="00901194">
        <w:rPr>
          <w:rFonts w:cs="Times New Roman"/>
        </w:rPr>
        <w:t xml:space="preserve">All </w:t>
      </w:r>
      <w:r w:rsidR="005C595C" w:rsidRPr="00901194">
        <w:rPr>
          <w:rFonts w:cs="Times New Roman"/>
        </w:rPr>
        <w:t>samples</w:t>
      </w:r>
      <w:r w:rsidRPr="00901194">
        <w:rPr>
          <w:rFonts w:cs="Times New Roman"/>
        </w:rPr>
        <w:t xml:space="preserve"> were purchased from </w:t>
      </w:r>
      <w:r w:rsidR="0041080D" w:rsidRPr="00901194">
        <w:rPr>
          <w:rFonts w:cs="Times New Roman"/>
        </w:rPr>
        <w:t xml:space="preserve">these </w:t>
      </w:r>
      <w:r w:rsidRPr="00901194">
        <w:rPr>
          <w:rFonts w:cs="Times New Roman"/>
        </w:rPr>
        <w:t>public markets</w:t>
      </w:r>
      <w:r w:rsidR="005E09EF" w:rsidRPr="00901194">
        <w:rPr>
          <w:rFonts w:cs="Times New Roman"/>
        </w:rPr>
        <w:t xml:space="preserve">. </w:t>
      </w:r>
      <w:r w:rsidR="006B6CD4" w:rsidRPr="00901194">
        <w:rPr>
          <w:rFonts w:cs="Times New Roman"/>
        </w:rPr>
        <w:t xml:space="preserve">Samples </w:t>
      </w:r>
      <w:r w:rsidR="005E09EF" w:rsidRPr="00901194">
        <w:rPr>
          <w:rFonts w:cs="Times New Roman"/>
        </w:rPr>
        <w:t xml:space="preserve">were then subsampled, frozen, and transported by hand to the Harvard University Biochemistry Laboratory. Upon arrival, plants were lyophilized then stored at room temperature. </w:t>
      </w:r>
      <w:r w:rsidR="005C595C" w:rsidRPr="00901194">
        <w:rPr>
          <w:rFonts w:cs="Times New Roman"/>
        </w:rPr>
        <w:t>Additionally, samples</w:t>
      </w:r>
      <w:r w:rsidR="005E09EF" w:rsidRPr="00901194">
        <w:rPr>
          <w:rFonts w:cs="Times New Roman"/>
        </w:rPr>
        <w:t xml:space="preserve"> underwent δ13C and δ15N isotopic analysis by Dr. Warinner</w:t>
      </w:r>
      <w:r w:rsidR="005C595C" w:rsidRPr="00901194">
        <w:rPr>
          <w:rFonts w:cs="Times New Roman"/>
        </w:rPr>
        <w:fldChar w:fldCharType="begin" w:fldLock="1"/>
      </w:r>
      <w:r w:rsidR="00CC184B" w:rsidRPr="00901194">
        <w:rPr>
          <w:rFonts w:cs="Times New Roman"/>
        </w:rPr>
        <w:instrText>ADDIN CSL_CITATION {"citationItems":[{"id":"ITEM-1","itemData":{"DOI":"10.1016/j.jas.2012.07.003","ISSN":"0305-4403","author":[{"dropping-particle":"","family":"Warinner","given":"Christina","non-dropping-particle":"","parse-names":false,"suffix":""},{"dropping-particle":"","family":"Robles","given":"Nelly","non-dropping-particle":"","parse-names":false,"suffix":""},{"dropping-particle":"","family":"Tuross","given":"Noreen","non-dropping-particle":"","parse-names":false,"suffix":""}],"container-title":"Journal of Archaeological Science","id":"ITEM-1","issue":"2","issued":{"date-parts":[["2013"]]},"page":"868-873","publisher":"Elsevier Ltd","title":"Maize, beans and the floral isotopic diversity of highland Oaxaca, Mexico","type":"article-journal","volume":"40"},"uris":["http://www.mendeley.com/documents/?uuid=9f608825-2d0a-499c-9e6a-c9568b2eeaee"]}],"mendeley":{"formattedCitation":"&lt;sup&gt;219&lt;/sup&gt;","plainTextFormattedCitation":"219","previouslyFormattedCitation":"&lt;sup&gt;219&lt;/sup&gt;"},"properties":{"noteIndex":0},"schema":"https://github.com/citation-style-language/schema/raw/master/csl-citation.json"}</w:instrText>
      </w:r>
      <w:r w:rsidR="005C595C" w:rsidRPr="00901194">
        <w:rPr>
          <w:rFonts w:cs="Times New Roman"/>
        </w:rPr>
        <w:fldChar w:fldCharType="separate"/>
      </w:r>
      <w:r w:rsidR="00975A3E" w:rsidRPr="00901194">
        <w:rPr>
          <w:rFonts w:cs="Times New Roman"/>
          <w:noProof/>
          <w:vertAlign w:val="superscript"/>
        </w:rPr>
        <w:t>219</w:t>
      </w:r>
      <w:r w:rsidR="005C595C" w:rsidRPr="00901194">
        <w:rPr>
          <w:rFonts w:cs="Times New Roman"/>
        </w:rPr>
        <w:fldChar w:fldCharType="end"/>
      </w:r>
      <w:r w:rsidR="005E09EF" w:rsidRPr="00901194">
        <w:rPr>
          <w:rFonts w:cs="Times New Roman"/>
        </w:rPr>
        <w:t xml:space="preserve"> prior to work for this project</w:t>
      </w:r>
      <w:r w:rsidR="005C595C" w:rsidRPr="00901194">
        <w:rPr>
          <w:rFonts w:cs="Times New Roman"/>
        </w:rPr>
        <w:t xml:space="preserve">. Samples were then </w:t>
      </w:r>
      <w:r w:rsidR="00FE0E8F" w:rsidRPr="00901194">
        <w:rPr>
          <w:rFonts w:cs="Times New Roman"/>
          <w:szCs w:val="24"/>
        </w:rPr>
        <w:t xml:space="preserve">shipped to </w:t>
      </w:r>
      <w:r w:rsidR="001A3471" w:rsidRPr="00901194">
        <w:rPr>
          <w:rFonts w:cs="Times New Roman"/>
          <w:szCs w:val="24"/>
        </w:rPr>
        <w:t>the Laboratories of Molecular Anthropology and Microbiome Research</w:t>
      </w:r>
      <w:r w:rsidR="005F3946" w:rsidRPr="00901194">
        <w:rPr>
          <w:rFonts w:cs="Times New Roman"/>
          <w:szCs w:val="24"/>
        </w:rPr>
        <w:t xml:space="preserve"> (LMAMR)</w:t>
      </w:r>
      <w:r w:rsidR="001A3471" w:rsidRPr="00901194">
        <w:rPr>
          <w:rFonts w:cs="Times New Roman"/>
          <w:szCs w:val="24"/>
        </w:rPr>
        <w:t xml:space="preserve"> in Norman, Oklahoma.</w:t>
      </w:r>
      <w:r w:rsidR="005C595C" w:rsidRPr="00901194">
        <w:rPr>
          <w:rFonts w:cs="Times New Roman"/>
          <w:szCs w:val="24"/>
        </w:rPr>
        <w:t xml:space="preserve"> </w:t>
      </w:r>
    </w:p>
    <w:p w14:paraId="701AC165" w14:textId="69011A9E" w:rsidR="001A3471" w:rsidRPr="00901194" w:rsidRDefault="001A3471" w:rsidP="00266D98">
      <w:pPr>
        <w:rPr>
          <w:rFonts w:cs="Times New Roman"/>
          <w:szCs w:val="24"/>
        </w:rPr>
      </w:pPr>
      <w:r w:rsidRPr="00901194">
        <w:rPr>
          <w:rFonts w:cs="Times New Roman"/>
          <w:szCs w:val="24"/>
        </w:rPr>
        <w:tab/>
        <w:t>New Mexico plant samples were collected in summer 202</w:t>
      </w:r>
      <w:r w:rsidR="004E1021" w:rsidRPr="00901194">
        <w:rPr>
          <w:rFonts w:cs="Times New Roman"/>
          <w:szCs w:val="24"/>
        </w:rPr>
        <w:t>2</w:t>
      </w:r>
      <w:r w:rsidRPr="00901194">
        <w:rPr>
          <w:rFonts w:cs="Times New Roman"/>
          <w:szCs w:val="24"/>
        </w:rPr>
        <w:t xml:space="preserve"> from two primary locations: </w:t>
      </w:r>
      <w:r w:rsidR="006B6CD4" w:rsidRPr="00901194">
        <w:rPr>
          <w:rFonts w:cs="Times New Roman"/>
          <w:szCs w:val="24"/>
        </w:rPr>
        <w:t xml:space="preserve">the </w:t>
      </w:r>
      <w:r w:rsidRPr="00901194">
        <w:rPr>
          <w:rFonts w:cs="Times New Roman"/>
          <w:szCs w:val="24"/>
        </w:rPr>
        <w:t>Flowering Tree Permaculture Institute in Espa</w:t>
      </w:r>
      <w:r w:rsidR="00FC10F6" w:rsidRPr="00901194">
        <w:rPr>
          <w:rFonts w:cs="Times New Roman"/>
          <w:szCs w:val="24"/>
        </w:rPr>
        <w:t>ñola, New Mexico</w:t>
      </w:r>
      <w:r w:rsidR="001A53CA" w:rsidRPr="00901194">
        <w:rPr>
          <w:rFonts w:cs="Times New Roman"/>
          <w:szCs w:val="24"/>
        </w:rPr>
        <w:t xml:space="preserve"> (</w:t>
      </w:r>
      <w:r w:rsidR="001A53CA" w:rsidRPr="00901194">
        <w:rPr>
          <w:rFonts w:cs="Times New Roman"/>
          <w:i/>
          <w:iCs/>
          <w:szCs w:val="24"/>
        </w:rPr>
        <w:t>n</w:t>
      </w:r>
      <w:r w:rsidR="001A53CA" w:rsidRPr="00901194">
        <w:rPr>
          <w:rFonts w:cs="Times New Roman"/>
          <w:szCs w:val="24"/>
        </w:rPr>
        <w:t>=83)</w:t>
      </w:r>
      <w:r w:rsidR="00FC10F6" w:rsidRPr="00901194">
        <w:rPr>
          <w:rFonts w:cs="Times New Roman"/>
          <w:szCs w:val="24"/>
        </w:rPr>
        <w:t>; Plants of the Southwest plant nursery</w:t>
      </w:r>
      <w:r w:rsidR="002571CE" w:rsidRPr="00901194">
        <w:rPr>
          <w:rFonts w:cs="Times New Roman"/>
          <w:szCs w:val="24"/>
        </w:rPr>
        <w:t xml:space="preserve"> </w:t>
      </w:r>
      <w:r w:rsidR="00FC10F6" w:rsidRPr="00901194">
        <w:rPr>
          <w:rFonts w:cs="Times New Roman"/>
          <w:szCs w:val="24"/>
        </w:rPr>
        <w:t>in Albuquerque, New Mexico</w:t>
      </w:r>
      <w:r w:rsidR="001A53CA" w:rsidRPr="00901194">
        <w:rPr>
          <w:rFonts w:cs="Times New Roman"/>
          <w:szCs w:val="24"/>
        </w:rPr>
        <w:t xml:space="preserve"> (</w:t>
      </w:r>
      <w:r w:rsidR="001A53CA" w:rsidRPr="00901194">
        <w:rPr>
          <w:rFonts w:cs="Times New Roman"/>
          <w:i/>
          <w:iCs/>
          <w:szCs w:val="24"/>
        </w:rPr>
        <w:t>n</w:t>
      </w:r>
      <w:r w:rsidR="001A53CA" w:rsidRPr="00901194">
        <w:rPr>
          <w:rFonts w:cs="Times New Roman"/>
          <w:szCs w:val="24"/>
        </w:rPr>
        <w:t>=5)</w:t>
      </w:r>
      <w:r w:rsidR="00FC10F6" w:rsidRPr="00901194">
        <w:rPr>
          <w:rFonts w:cs="Times New Roman"/>
          <w:szCs w:val="24"/>
        </w:rPr>
        <w:t>.</w:t>
      </w:r>
      <w:r w:rsidR="009E5BC7" w:rsidRPr="00901194">
        <w:rPr>
          <w:rFonts w:cs="Times New Roman"/>
          <w:szCs w:val="24"/>
        </w:rPr>
        <w:t xml:space="preserve"> </w:t>
      </w:r>
      <w:r w:rsidR="002571CE" w:rsidRPr="00901194">
        <w:rPr>
          <w:rFonts w:cs="Times New Roman"/>
          <w:szCs w:val="24"/>
        </w:rPr>
        <w:t>F</w:t>
      </w:r>
      <w:r w:rsidR="001A53CA" w:rsidRPr="00901194">
        <w:rPr>
          <w:rFonts w:cs="Times New Roman"/>
          <w:szCs w:val="24"/>
        </w:rPr>
        <w:t>lowering Tree</w:t>
      </w:r>
      <w:r w:rsidR="002571CE" w:rsidRPr="00901194">
        <w:rPr>
          <w:rFonts w:cs="Times New Roman"/>
          <w:szCs w:val="24"/>
        </w:rPr>
        <w:t xml:space="preserve"> sample collection was directed by </w:t>
      </w:r>
      <w:r w:rsidR="001A53CA" w:rsidRPr="00901194">
        <w:rPr>
          <w:rFonts w:cs="Times New Roman"/>
          <w:szCs w:val="24"/>
        </w:rPr>
        <w:t>Roxanne Swentzell, a renowned artist and expert in local plant history and usage</w:t>
      </w:r>
      <w:r w:rsidR="00235101" w:rsidRPr="00901194">
        <w:rPr>
          <w:rFonts w:cs="Times New Roman"/>
          <w:szCs w:val="24"/>
        </w:rPr>
        <w:t xml:space="preserve">, who provided guidance on which plants </w:t>
      </w:r>
      <w:r w:rsidR="001A53CA" w:rsidRPr="00901194">
        <w:rPr>
          <w:rFonts w:cs="Times New Roman"/>
          <w:szCs w:val="24"/>
        </w:rPr>
        <w:t>were relevant to Indigenous communities historically and today</w:t>
      </w:r>
      <w:r w:rsidR="00235101" w:rsidRPr="00901194">
        <w:rPr>
          <w:rFonts w:cs="Times New Roman"/>
          <w:szCs w:val="24"/>
        </w:rPr>
        <w:t xml:space="preserve">. All </w:t>
      </w:r>
      <w:r w:rsidR="001A53CA" w:rsidRPr="00901194">
        <w:rPr>
          <w:rFonts w:cs="Times New Roman"/>
          <w:szCs w:val="24"/>
        </w:rPr>
        <w:t>Flowering Tree</w:t>
      </w:r>
      <w:r w:rsidR="00235101" w:rsidRPr="00901194">
        <w:rPr>
          <w:rFonts w:cs="Times New Roman"/>
          <w:szCs w:val="24"/>
        </w:rPr>
        <w:t xml:space="preserve"> plants were collected </w:t>
      </w:r>
      <w:r w:rsidR="001A53CA" w:rsidRPr="00901194">
        <w:rPr>
          <w:rFonts w:cs="Times New Roman"/>
          <w:szCs w:val="24"/>
        </w:rPr>
        <w:t>on-</w:t>
      </w:r>
      <w:r w:rsidR="00235101" w:rsidRPr="00901194">
        <w:rPr>
          <w:rFonts w:cs="Times New Roman"/>
          <w:szCs w:val="24"/>
        </w:rPr>
        <w:t>site</w:t>
      </w:r>
      <w:r w:rsidR="001A53CA" w:rsidRPr="00901194">
        <w:rPr>
          <w:rFonts w:cs="Times New Roman"/>
          <w:szCs w:val="24"/>
        </w:rPr>
        <w:t>. Some</w:t>
      </w:r>
      <w:r w:rsidR="00E60840" w:rsidRPr="00901194">
        <w:rPr>
          <w:rFonts w:cs="Times New Roman"/>
          <w:szCs w:val="24"/>
        </w:rPr>
        <w:t xml:space="preserve"> plants (namely corns and peppers) were previously sun-dried for storage</w:t>
      </w:r>
      <w:r w:rsidR="001A53CA" w:rsidRPr="00901194">
        <w:rPr>
          <w:rFonts w:cs="Times New Roman"/>
          <w:szCs w:val="24"/>
        </w:rPr>
        <w:t xml:space="preserve">, while most plants were pulled directly from the ground. </w:t>
      </w:r>
      <w:r w:rsidR="00266D98" w:rsidRPr="00901194">
        <w:rPr>
          <w:rFonts w:cs="Times New Roman"/>
          <w:szCs w:val="24"/>
        </w:rPr>
        <w:t xml:space="preserve">Following in-field collection, all non-sun-dried plant materials underwent dehydration using a </w:t>
      </w:r>
      <w:r w:rsidR="001A53CA" w:rsidRPr="00901194">
        <w:rPr>
          <w:rFonts w:cs="Times New Roman"/>
          <w:szCs w:val="24"/>
        </w:rPr>
        <w:t xml:space="preserve">netted </w:t>
      </w:r>
      <w:r w:rsidR="00266D98" w:rsidRPr="00901194">
        <w:rPr>
          <w:rFonts w:cs="Times New Roman"/>
          <w:szCs w:val="24"/>
        </w:rPr>
        <w:t xml:space="preserve">food dehydrator until samples were </w:t>
      </w:r>
      <w:r w:rsidR="00751247" w:rsidRPr="00901194">
        <w:rPr>
          <w:rFonts w:cs="Times New Roman"/>
          <w:szCs w:val="24"/>
        </w:rPr>
        <w:t>desiccated</w:t>
      </w:r>
      <w:r w:rsidR="00266D98" w:rsidRPr="00901194">
        <w:rPr>
          <w:rFonts w:cs="Times New Roman"/>
          <w:szCs w:val="24"/>
        </w:rPr>
        <w:t xml:space="preserve">. Small aliquots, approximately </w:t>
      </w:r>
      <w:r w:rsidR="00ED1CD5" w:rsidRPr="00901194">
        <w:rPr>
          <w:rFonts w:cs="Times New Roman"/>
          <w:szCs w:val="24"/>
        </w:rPr>
        <w:t>50</w:t>
      </w:r>
      <w:r w:rsidR="00266D98" w:rsidRPr="00901194">
        <w:rPr>
          <w:rFonts w:cs="Times New Roman"/>
          <w:szCs w:val="24"/>
        </w:rPr>
        <w:t xml:space="preserve"> mg, were stored in 2mL </w:t>
      </w:r>
      <w:r w:rsidR="00991CFF" w:rsidRPr="00901194">
        <w:rPr>
          <w:rFonts w:cs="Times New Roman"/>
          <w:szCs w:val="24"/>
        </w:rPr>
        <w:t>Eppendorf tubes</w:t>
      </w:r>
      <w:r w:rsidR="00266D98" w:rsidRPr="00901194">
        <w:rPr>
          <w:rFonts w:cs="Times New Roman"/>
          <w:szCs w:val="24"/>
        </w:rPr>
        <w:t xml:space="preserve">. Following </w:t>
      </w:r>
      <w:r w:rsidR="00076B0B" w:rsidRPr="00901194">
        <w:rPr>
          <w:rFonts w:cs="Times New Roman"/>
          <w:szCs w:val="24"/>
        </w:rPr>
        <w:t>desiccation</w:t>
      </w:r>
      <w:r w:rsidR="00266D98" w:rsidRPr="00901194">
        <w:rPr>
          <w:rFonts w:cs="Times New Roman"/>
          <w:szCs w:val="24"/>
        </w:rPr>
        <w:t xml:space="preserve"> and subsampling, all remaining plant material were stored in plastic bags. While F</w:t>
      </w:r>
      <w:r w:rsidR="00FA26BE" w:rsidRPr="00901194">
        <w:rPr>
          <w:rFonts w:cs="Times New Roman"/>
          <w:szCs w:val="24"/>
        </w:rPr>
        <w:t>lowering Tree</w:t>
      </w:r>
      <w:r w:rsidR="00266D98" w:rsidRPr="00901194">
        <w:rPr>
          <w:rFonts w:cs="Times New Roman"/>
          <w:szCs w:val="24"/>
        </w:rPr>
        <w:t xml:space="preserve"> samples were drying down, </w:t>
      </w:r>
      <w:r w:rsidR="00FA26BE" w:rsidRPr="00901194">
        <w:rPr>
          <w:rFonts w:cs="Times New Roman"/>
          <w:szCs w:val="24"/>
        </w:rPr>
        <w:t xml:space="preserve">Plants of the Southwest </w:t>
      </w:r>
      <w:r w:rsidR="00266D98" w:rsidRPr="00901194">
        <w:rPr>
          <w:rFonts w:cs="Times New Roman"/>
          <w:szCs w:val="24"/>
        </w:rPr>
        <w:t xml:space="preserve">samples were collected from the plant nursery supplies according to </w:t>
      </w:r>
      <w:r w:rsidR="00355693" w:rsidRPr="00901194">
        <w:rPr>
          <w:rFonts w:cs="Times New Roman"/>
          <w:szCs w:val="24"/>
        </w:rPr>
        <w:t xml:space="preserve">direction </w:t>
      </w:r>
      <w:r w:rsidR="00266D98" w:rsidRPr="00901194">
        <w:rPr>
          <w:rFonts w:cs="Times New Roman"/>
          <w:szCs w:val="24"/>
        </w:rPr>
        <w:t xml:space="preserve">from </w:t>
      </w:r>
      <w:r w:rsidR="00355693" w:rsidRPr="00901194">
        <w:rPr>
          <w:rFonts w:cs="Times New Roman"/>
          <w:szCs w:val="24"/>
        </w:rPr>
        <w:t xml:space="preserve">nursery </w:t>
      </w:r>
      <w:r w:rsidR="00266D98" w:rsidRPr="00901194">
        <w:rPr>
          <w:rFonts w:cs="Times New Roman"/>
          <w:szCs w:val="24"/>
        </w:rPr>
        <w:t xml:space="preserve">employees. The </w:t>
      </w:r>
      <w:r w:rsidR="00FA26BE" w:rsidRPr="00901194">
        <w:rPr>
          <w:rFonts w:cs="Times New Roman"/>
          <w:szCs w:val="24"/>
        </w:rPr>
        <w:t>Plants of the Southwest</w:t>
      </w:r>
      <w:r w:rsidR="00266D98" w:rsidRPr="00901194">
        <w:rPr>
          <w:rFonts w:cs="Times New Roman"/>
          <w:szCs w:val="24"/>
        </w:rPr>
        <w:t xml:space="preserve"> </w:t>
      </w:r>
      <w:r w:rsidR="00991CFF" w:rsidRPr="00901194">
        <w:rPr>
          <w:rFonts w:cs="Times New Roman"/>
          <w:szCs w:val="24"/>
        </w:rPr>
        <w:t>nursery</w:t>
      </w:r>
      <w:r w:rsidR="00266D98" w:rsidRPr="00901194">
        <w:rPr>
          <w:rFonts w:cs="Times New Roman"/>
          <w:szCs w:val="24"/>
        </w:rPr>
        <w:t xml:space="preserve"> was chosen due to </w:t>
      </w:r>
      <w:r w:rsidR="00991CFF" w:rsidRPr="00901194">
        <w:rPr>
          <w:rFonts w:cs="Times New Roman"/>
          <w:szCs w:val="24"/>
        </w:rPr>
        <w:t xml:space="preserve">its </w:t>
      </w:r>
      <w:r w:rsidR="001A53CA" w:rsidRPr="00901194">
        <w:rPr>
          <w:rFonts w:cs="Times New Roman"/>
          <w:szCs w:val="24"/>
        </w:rPr>
        <w:t xml:space="preserve">plant type variety </w:t>
      </w:r>
      <w:r w:rsidR="00991CFF" w:rsidRPr="00901194">
        <w:rPr>
          <w:rFonts w:cs="Times New Roman"/>
          <w:szCs w:val="24"/>
        </w:rPr>
        <w:t xml:space="preserve">compared to other </w:t>
      </w:r>
      <w:r w:rsidR="001A53CA" w:rsidRPr="00901194">
        <w:rPr>
          <w:rFonts w:cs="Times New Roman"/>
          <w:szCs w:val="24"/>
        </w:rPr>
        <w:t xml:space="preserve">local </w:t>
      </w:r>
      <w:r w:rsidR="00991CFF" w:rsidRPr="00901194">
        <w:rPr>
          <w:rFonts w:cs="Times New Roman"/>
          <w:szCs w:val="24"/>
        </w:rPr>
        <w:t>nurseries and</w:t>
      </w:r>
      <w:r w:rsidR="00266D98" w:rsidRPr="00901194">
        <w:rPr>
          <w:rFonts w:cs="Times New Roman"/>
          <w:szCs w:val="24"/>
        </w:rPr>
        <w:t xml:space="preserve"> openness </w:t>
      </w:r>
      <w:r w:rsidR="00266D98" w:rsidRPr="00901194">
        <w:rPr>
          <w:rFonts w:cs="Times New Roman"/>
          <w:szCs w:val="24"/>
        </w:rPr>
        <w:lastRenderedPageBreak/>
        <w:t>for sample collection</w:t>
      </w:r>
      <w:r w:rsidR="00991CFF" w:rsidRPr="00901194">
        <w:rPr>
          <w:rFonts w:cs="Times New Roman"/>
          <w:szCs w:val="24"/>
        </w:rPr>
        <w:t xml:space="preserve">. </w:t>
      </w:r>
      <w:r w:rsidR="00355693" w:rsidRPr="00901194">
        <w:rPr>
          <w:rFonts w:cs="Times New Roman"/>
          <w:szCs w:val="24"/>
        </w:rPr>
        <w:t xml:space="preserve">Plant material was collected directly on-site and stored in plastic bags, according to nursery </w:t>
      </w:r>
      <w:r w:rsidR="006B6CD4" w:rsidRPr="00901194">
        <w:rPr>
          <w:rFonts w:cs="Times New Roman"/>
          <w:szCs w:val="24"/>
        </w:rPr>
        <w:t>employee requirements</w:t>
      </w:r>
      <w:r w:rsidR="00355693" w:rsidRPr="00901194">
        <w:rPr>
          <w:rFonts w:cs="Times New Roman"/>
          <w:szCs w:val="24"/>
        </w:rPr>
        <w:t>. After sampling, plants were dried down using the same protocol and instrument used with the F</w:t>
      </w:r>
      <w:r w:rsidR="00FA26BE" w:rsidRPr="00901194">
        <w:rPr>
          <w:rFonts w:cs="Times New Roman"/>
          <w:szCs w:val="24"/>
        </w:rPr>
        <w:t>lowering Tree</w:t>
      </w:r>
      <w:r w:rsidR="00355693" w:rsidRPr="00901194">
        <w:rPr>
          <w:rFonts w:cs="Times New Roman"/>
          <w:szCs w:val="24"/>
        </w:rPr>
        <w:t xml:space="preserve"> samples (all materials were cleaned between usage for the sites). </w:t>
      </w:r>
      <w:r w:rsidR="005F3946" w:rsidRPr="00901194">
        <w:rPr>
          <w:rFonts w:cs="Times New Roman"/>
          <w:szCs w:val="24"/>
        </w:rPr>
        <w:t xml:space="preserve">After </w:t>
      </w:r>
      <w:r w:rsidR="00076B0B" w:rsidRPr="00901194">
        <w:rPr>
          <w:rFonts w:cs="Times New Roman"/>
          <w:szCs w:val="24"/>
        </w:rPr>
        <w:t>desiccation</w:t>
      </w:r>
      <w:r w:rsidR="005F3946" w:rsidRPr="00901194">
        <w:rPr>
          <w:rFonts w:cs="Times New Roman"/>
          <w:szCs w:val="24"/>
        </w:rPr>
        <w:t>,</w:t>
      </w:r>
      <w:r w:rsidR="002D3BCA" w:rsidRPr="00901194">
        <w:rPr>
          <w:rFonts w:cs="Times New Roman"/>
          <w:szCs w:val="24"/>
        </w:rPr>
        <w:t xml:space="preserve"> all</w:t>
      </w:r>
      <w:r w:rsidR="005F3946" w:rsidRPr="00901194">
        <w:rPr>
          <w:rFonts w:cs="Times New Roman"/>
          <w:szCs w:val="24"/>
        </w:rPr>
        <w:t xml:space="preserve"> dried plant material was aliquoted into 2mL Eppendorf tubes. </w:t>
      </w:r>
      <w:r w:rsidR="00887368" w:rsidRPr="00901194">
        <w:rPr>
          <w:rFonts w:cs="Times New Roman"/>
          <w:szCs w:val="24"/>
        </w:rPr>
        <w:t xml:space="preserve">Additionally, four honey samples collected from </w:t>
      </w:r>
      <w:r w:rsidR="005B30E3" w:rsidRPr="00901194">
        <w:rPr>
          <w:rFonts w:cs="Times New Roman"/>
          <w:szCs w:val="24"/>
        </w:rPr>
        <w:t>New Mexico European honeybees (</w:t>
      </w:r>
      <w:r w:rsidR="005B30E3" w:rsidRPr="00901194">
        <w:rPr>
          <w:rFonts w:cs="Times New Roman"/>
          <w:i/>
          <w:iCs/>
          <w:szCs w:val="24"/>
        </w:rPr>
        <w:t>n</w:t>
      </w:r>
      <w:r w:rsidR="005B30E3" w:rsidRPr="00901194">
        <w:rPr>
          <w:rFonts w:cs="Times New Roman"/>
          <w:szCs w:val="24"/>
        </w:rPr>
        <w:t>=2) and Yucatán stingless bees (</w:t>
      </w:r>
      <w:r w:rsidR="005B30E3" w:rsidRPr="00901194">
        <w:rPr>
          <w:rFonts w:cs="Times New Roman"/>
          <w:i/>
          <w:iCs/>
          <w:szCs w:val="24"/>
        </w:rPr>
        <w:t>n</w:t>
      </w:r>
      <w:r w:rsidR="005B30E3" w:rsidRPr="00901194">
        <w:rPr>
          <w:rFonts w:cs="Times New Roman"/>
          <w:szCs w:val="24"/>
        </w:rPr>
        <w:t>=2) were included to serve as non-plant dietary material. Other non-plant samples included chokecherry-based jam and a soil sample from the F</w:t>
      </w:r>
      <w:r w:rsidR="001A53CA" w:rsidRPr="00901194">
        <w:rPr>
          <w:rFonts w:cs="Times New Roman"/>
          <w:szCs w:val="24"/>
        </w:rPr>
        <w:t>lowering Tree</w:t>
      </w:r>
      <w:r w:rsidR="005B30E3" w:rsidRPr="00901194">
        <w:rPr>
          <w:rFonts w:cs="Times New Roman"/>
          <w:szCs w:val="24"/>
        </w:rPr>
        <w:t xml:space="preserve"> site. Excluding the evaporation step, these </w:t>
      </w:r>
      <w:r w:rsidR="002D3BCA" w:rsidRPr="00901194">
        <w:rPr>
          <w:rFonts w:cs="Times New Roman"/>
          <w:szCs w:val="24"/>
        </w:rPr>
        <w:t xml:space="preserve">non-plant </w:t>
      </w:r>
      <w:r w:rsidR="005B30E3" w:rsidRPr="00901194">
        <w:rPr>
          <w:rFonts w:cs="Times New Roman"/>
          <w:szCs w:val="24"/>
        </w:rPr>
        <w:t>samples were treated identically to the plant samples. After in-field collection and preparation w</w:t>
      </w:r>
      <w:r w:rsidR="00751247" w:rsidRPr="00901194">
        <w:rPr>
          <w:rFonts w:cs="Times New Roman"/>
          <w:szCs w:val="24"/>
        </w:rPr>
        <w:t>ere</w:t>
      </w:r>
      <w:r w:rsidR="005B30E3" w:rsidRPr="00901194">
        <w:rPr>
          <w:rFonts w:cs="Times New Roman"/>
          <w:szCs w:val="24"/>
        </w:rPr>
        <w:t xml:space="preserve"> completed, </w:t>
      </w:r>
      <w:r w:rsidR="001A2627" w:rsidRPr="00901194">
        <w:rPr>
          <w:rFonts w:cs="Times New Roman"/>
          <w:szCs w:val="24"/>
        </w:rPr>
        <w:t xml:space="preserve">samples were brought to </w:t>
      </w:r>
      <w:r w:rsidR="001A53CA" w:rsidRPr="00901194">
        <w:rPr>
          <w:rFonts w:cs="Times New Roman"/>
          <w:szCs w:val="24"/>
        </w:rPr>
        <w:t>LMAMR and stored at room temperature</w:t>
      </w:r>
      <w:r w:rsidR="005F3946" w:rsidRPr="00901194">
        <w:rPr>
          <w:rFonts w:cs="Times New Roman"/>
          <w:szCs w:val="24"/>
        </w:rPr>
        <w:t>.</w:t>
      </w:r>
    </w:p>
    <w:p w14:paraId="6D746B2A" w14:textId="4E9843B7" w:rsidR="005F3946" w:rsidRPr="00901194" w:rsidRDefault="005F3946" w:rsidP="00266D98">
      <w:pPr>
        <w:rPr>
          <w:rFonts w:cs="Times New Roman"/>
          <w:szCs w:val="24"/>
        </w:rPr>
      </w:pPr>
      <w:r w:rsidRPr="00901194">
        <w:rPr>
          <w:rFonts w:cs="Times New Roman"/>
          <w:szCs w:val="24"/>
        </w:rPr>
        <w:tab/>
      </w:r>
      <w:r w:rsidR="001A53CA" w:rsidRPr="00901194">
        <w:rPr>
          <w:rFonts w:cs="Times New Roman"/>
          <w:szCs w:val="24"/>
        </w:rPr>
        <w:t xml:space="preserve">Belize sample </w:t>
      </w:r>
      <w:r w:rsidRPr="00901194">
        <w:rPr>
          <w:rFonts w:cs="Times New Roman"/>
          <w:szCs w:val="24"/>
        </w:rPr>
        <w:t xml:space="preserve">material was collected </w:t>
      </w:r>
      <w:r w:rsidR="004E1021" w:rsidRPr="00901194">
        <w:rPr>
          <w:rFonts w:cs="Times New Roman"/>
          <w:szCs w:val="24"/>
        </w:rPr>
        <w:t xml:space="preserve">in 2021-2022 </w:t>
      </w:r>
      <w:r w:rsidRPr="00901194">
        <w:rPr>
          <w:rFonts w:cs="Times New Roman"/>
          <w:szCs w:val="24"/>
        </w:rPr>
        <w:t xml:space="preserve">from </w:t>
      </w:r>
      <w:r w:rsidR="00FA1854" w:rsidRPr="00901194">
        <w:rPr>
          <w:rFonts w:cs="Times New Roman"/>
          <w:szCs w:val="24"/>
        </w:rPr>
        <w:t>the Bladen Nature Reserve and the Toledo District of the Santa Cruz Village</w:t>
      </w:r>
      <w:r w:rsidR="00961A07" w:rsidRPr="00901194">
        <w:rPr>
          <w:rFonts w:cs="Times New Roman"/>
          <w:szCs w:val="24"/>
        </w:rPr>
        <w:t xml:space="preserve"> with </w:t>
      </w:r>
      <w:r w:rsidR="009C14E2" w:rsidRPr="00901194">
        <w:rPr>
          <w:rFonts w:cs="Times New Roman"/>
          <w:szCs w:val="24"/>
        </w:rPr>
        <w:t xml:space="preserve">guidance </w:t>
      </w:r>
      <w:r w:rsidR="00961A07" w:rsidRPr="00901194">
        <w:rPr>
          <w:rFonts w:cs="Times New Roman"/>
          <w:szCs w:val="24"/>
        </w:rPr>
        <w:t>from local farmer Jose Mes</w:t>
      </w:r>
      <w:r w:rsidR="007E36C5" w:rsidRPr="00901194">
        <w:rPr>
          <w:rFonts w:cs="Times New Roman"/>
          <w:szCs w:val="24"/>
        </w:rPr>
        <w:t xml:space="preserve">, who </w:t>
      </w:r>
      <w:r w:rsidR="009C14E2" w:rsidRPr="00901194">
        <w:rPr>
          <w:rFonts w:cs="Times New Roman"/>
          <w:szCs w:val="24"/>
        </w:rPr>
        <w:t xml:space="preserve">contributed plants from his farm and directed plant </w:t>
      </w:r>
      <w:r w:rsidR="002907A6" w:rsidRPr="00901194">
        <w:rPr>
          <w:rFonts w:cs="Times New Roman"/>
          <w:szCs w:val="24"/>
        </w:rPr>
        <w:t xml:space="preserve">identification and </w:t>
      </w:r>
      <w:r w:rsidR="009C14E2" w:rsidRPr="00901194">
        <w:rPr>
          <w:rFonts w:cs="Times New Roman"/>
          <w:szCs w:val="24"/>
        </w:rPr>
        <w:t>collection</w:t>
      </w:r>
      <w:r w:rsidRPr="00901194">
        <w:rPr>
          <w:rFonts w:cs="Times New Roman"/>
          <w:szCs w:val="24"/>
        </w:rPr>
        <w:t xml:space="preserve">. </w:t>
      </w:r>
      <w:r w:rsidR="002907A6" w:rsidRPr="00901194">
        <w:rPr>
          <w:rFonts w:cs="Times New Roman"/>
          <w:szCs w:val="24"/>
        </w:rPr>
        <w:t>After collection, s</w:t>
      </w:r>
      <w:r w:rsidR="00DF151C" w:rsidRPr="00901194">
        <w:rPr>
          <w:rFonts w:cs="Times New Roman"/>
          <w:szCs w:val="24"/>
        </w:rPr>
        <w:t xml:space="preserve">amples were then shipped to </w:t>
      </w:r>
      <w:r w:rsidR="001D5650" w:rsidRPr="00901194">
        <w:rPr>
          <w:rFonts w:cs="Times New Roman"/>
          <w:szCs w:val="24"/>
        </w:rPr>
        <w:t>the Center for Stable Isotopes at Albuquerque, NM</w:t>
      </w:r>
      <w:r w:rsidR="00FA1854" w:rsidRPr="00901194">
        <w:rPr>
          <w:rFonts w:cs="Times New Roman"/>
          <w:szCs w:val="24"/>
        </w:rPr>
        <w:t>.</w:t>
      </w:r>
      <w:r w:rsidR="00BC34BF" w:rsidRPr="00901194">
        <w:rPr>
          <w:rFonts w:cs="Times New Roman"/>
          <w:szCs w:val="24"/>
        </w:rPr>
        <w:t xml:space="preserve"> </w:t>
      </w:r>
      <w:r w:rsidR="002D3BCA" w:rsidRPr="00901194">
        <w:rPr>
          <w:rFonts w:cs="Times New Roman"/>
          <w:szCs w:val="24"/>
        </w:rPr>
        <w:t>Upon</w:t>
      </w:r>
      <w:r w:rsidR="00FA1854" w:rsidRPr="00901194">
        <w:rPr>
          <w:rFonts w:cs="Times New Roman"/>
          <w:szCs w:val="24"/>
        </w:rPr>
        <w:t xml:space="preserve"> </w:t>
      </w:r>
      <w:r w:rsidR="002D3BCA" w:rsidRPr="00901194">
        <w:rPr>
          <w:rFonts w:cs="Times New Roman"/>
          <w:szCs w:val="24"/>
        </w:rPr>
        <w:t xml:space="preserve">arrival </w:t>
      </w:r>
      <w:r w:rsidR="00FA1854" w:rsidRPr="00901194">
        <w:rPr>
          <w:rFonts w:cs="Times New Roman"/>
          <w:szCs w:val="24"/>
        </w:rPr>
        <w:t xml:space="preserve">in Albuquerque, </w:t>
      </w:r>
      <w:r w:rsidR="00DF151C" w:rsidRPr="00901194">
        <w:rPr>
          <w:rFonts w:cs="Times New Roman"/>
          <w:szCs w:val="24"/>
        </w:rPr>
        <w:t xml:space="preserve">samples were air-desiccated using a netted dehydrator and subsamples were lyophilized for long-term storage. </w:t>
      </w:r>
      <w:r w:rsidR="00BC34BF" w:rsidRPr="00901194">
        <w:rPr>
          <w:rFonts w:cs="Times New Roman"/>
          <w:szCs w:val="24"/>
        </w:rPr>
        <w:t xml:space="preserve">Following </w:t>
      </w:r>
      <w:r w:rsidR="00076B0B" w:rsidRPr="00901194">
        <w:rPr>
          <w:rFonts w:cs="Times New Roman"/>
          <w:szCs w:val="24"/>
        </w:rPr>
        <w:t>desiccation</w:t>
      </w:r>
      <w:r w:rsidR="00BC34BF" w:rsidRPr="00901194">
        <w:rPr>
          <w:rFonts w:cs="Times New Roman"/>
          <w:szCs w:val="24"/>
        </w:rPr>
        <w:t xml:space="preserve">, </w:t>
      </w:r>
      <w:r w:rsidR="00ED1CD5" w:rsidRPr="00901194">
        <w:rPr>
          <w:rFonts w:cs="Times New Roman"/>
          <w:szCs w:val="24"/>
        </w:rPr>
        <w:t>50</w:t>
      </w:r>
      <w:r w:rsidR="00BC34BF" w:rsidRPr="00901194">
        <w:rPr>
          <w:rFonts w:cs="Times New Roman"/>
          <w:szCs w:val="24"/>
        </w:rPr>
        <w:t xml:space="preserve"> mg aliquots were stored in 2mL Eppendorf Safe-Lock tubes and </w:t>
      </w:r>
      <w:r w:rsidR="002907A6" w:rsidRPr="00901194">
        <w:rPr>
          <w:rFonts w:cs="Times New Roman"/>
          <w:szCs w:val="24"/>
        </w:rPr>
        <w:t xml:space="preserve">brought </w:t>
      </w:r>
      <w:r w:rsidR="00BC34BF" w:rsidRPr="00901194">
        <w:rPr>
          <w:rFonts w:cs="Times New Roman"/>
          <w:szCs w:val="24"/>
        </w:rPr>
        <w:t>to LMAMR.</w:t>
      </w:r>
    </w:p>
    <w:p w14:paraId="5E0AE156" w14:textId="52EE553F" w:rsidR="002C1CA2" w:rsidRPr="00901194" w:rsidRDefault="002C1CA2" w:rsidP="008B359D">
      <w:pPr>
        <w:pStyle w:val="Subsub-chapterHeading"/>
      </w:pPr>
      <w:bookmarkStart w:id="93" w:name="_Toc134185985"/>
      <w:r w:rsidRPr="00901194">
        <w:t>Sample Treatment and Extraction</w:t>
      </w:r>
      <w:bookmarkEnd w:id="93"/>
    </w:p>
    <w:p w14:paraId="515A5A13" w14:textId="31578E8F" w:rsidR="00A55025" w:rsidRPr="00901194" w:rsidRDefault="00CD4B3F" w:rsidP="00CE185F">
      <w:pPr>
        <w:ind w:firstLine="720"/>
        <w:rPr>
          <w:rFonts w:cs="Times New Roman"/>
          <w:szCs w:val="24"/>
        </w:rPr>
      </w:pPr>
      <w:r w:rsidRPr="00901194">
        <w:rPr>
          <w:rFonts w:cs="Times New Roman"/>
        </w:rPr>
        <w:t xml:space="preserve">Once all samples </w:t>
      </w:r>
      <w:r w:rsidR="005C595C" w:rsidRPr="00901194">
        <w:rPr>
          <w:rFonts w:cs="Times New Roman"/>
        </w:rPr>
        <w:t>arrived at</w:t>
      </w:r>
      <w:r w:rsidRPr="00901194">
        <w:rPr>
          <w:rFonts w:cs="Times New Roman"/>
        </w:rPr>
        <w:t xml:space="preserve"> LMAMR, dried sample aliquots were stored </w:t>
      </w:r>
      <w:r w:rsidR="005C595C" w:rsidRPr="00901194">
        <w:rPr>
          <w:rFonts w:cs="Times New Roman"/>
        </w:rPr>
        <w:t>at room temperature</w:t>
      </w:r>
      <w:r w:rsidRPr="00901194">
        <w:rPr>
          <w:rFonts w:cs="Times New Roman"/>
          <w:szCs w:val="24"/>
        </w:rPr>
        <w:t xml:space="preserve">. </w:t>
      </w:r>
      <w:r w:rsidR="00ED1CD5" w:rsidRPr="00901194">
        <w:rPr>
          <w:rFonts w:cs="Times New Roman"/>
          <w:szCs w:val="24"/>
        </w:rPr>
        <w:t>Prior to untargeted metabolite extraction, all subsampled aliquots</w:t>
      </w:r>
      <w:r w:rsidR="00036B93" w:rsidRPr="00901194">
        <w:rPr>
          <w:rFonts w:cs="Times New Roman"/>
          <w:szCs w:val="24"/>
        </w:rPr>
        <w:t xml:space="preserve"> (~50 mg)</w:t>
      </w:r>
      <w:r w:rsidR="00ED1CD5" w:rsidRPr="00901194">
        <w:rPr>
          <w:rFonts w:cs="Times New Roman"/>
          <w:szCs w:val="24"/>
        </w:rPr>
        <w:t xml:space="preserve"> were transferred to </w:t>
      </w:r>
      <w:r w:rsidR="00D11254" w:rsidRPr="00901194">
        <w:rPr>
          <w:rFonts w:cs="Times New Roman"/>
          <w:szCs w:val="24"/>
        </w:rPr>
        <w:t xml:space="preserve">Sarsedt </w:t>
      </w:r>
      <w:r w:rsidR="00ED1CD5" w:rsidRPr="00901194">
        <w:rPr>
          <w:rFonts w:cs="Times New Roman"/>
          <w:szCs w:val="24"/>
        </w:rPr>
        <w:t>2mL screw-cap tubes</w:t>
      </w:r>
      <w:r w:rsidR="003E4791" w:rsidRPr="00901194">
        <w:rPr>
          <w:rFonts w:cs="Times New Roman"/>
          <w:szCs w:val="24"/>
        </w:rPr>
        <w:t>. The o</w:t>
      </w:r>
      <w:r w:rsidR="00751247" w:rsidRPr="00901194">
        <w:rPr>
          <w:rFonts w:cs="Times New Roman"/>
          <w:szCs w:val="24"/>
        </w:rPr>
        <w:t>riginal sample collection was done using 2 mL Eppendorf Safe-Lock tubes,</w:t>
      </w:r>
      <w:r w:rsidR="00A55025" w:rsidRPr="00901194">
        <w:rPr>
          <w:rFonts w:cs="Times New Roman"/>
          <w:szCs w:val="24"/>
        </w:rPr>
        <w:t xml:space="preserve"> but </w:t>
      </w:r>
      <w:r w:rsidR="003E4791" w:rsidRPr="00901194">
        <w:rPr>
          <w:rFonts w:cs="Times New Roman"/>
          <w:szCs w:val="24"/>
        </w:rPr>
        <w:t xml:space="preserve">the Sarsedt </w:t>
      </w:r>
      <w:r w:rsidR="00751247" w:rsidRPr="00901194">
        <w:rPr>
          <w:rFonts w:cs="Times New Roman"/>
          <w:szCs w:val="24"/>
        </w:rPr>
        <w:t xml:space="preserve">2 mL screw-cap tubes </w:t>
      </w:r>
      <w:r w:rsidR="003E4791" w:rsidRPr="00901194">
        <w:rPr>
          <w:rFonts w:cs="Times New Roman"/>
          <w:szCs w:val="24"/>
        </w:rPr>
        <w:t xml:space="preserve">were later preferred </w:t>
      </w:r>
      <w:r w:rsidR="00751247" w:rsidRPr="00901194">
        <w:rPr>
          <w:rFonts w:cs="Times New Roman"/>
          <w:szCs w:val="24"/>
        </w:rPr>
        <w:t xml:space="preserve">because the screw-cap lids </w:t>
      </w:r>
      <w:r w:rsidR="00693151" w:rsidRPr="00901194">
        <w:rPr>
          <w:rFonts w:cs="Times New Roman"/>
          <w:szCs w:val="24"/>
        </w:rPr>
        <w:t xml:space="preserve">better </w:t>
      </w:r>
      <w:r w:rsidR="00751247" w:rsidRPr="00901194">
        <w:rPr>
          <w:rFonts w:cs="Times New Roman"/>
          <w:szCs w:val="24"/>
        </w:rPr>
        <w:t>minimize leaks during sample homogenization</w:t>
      </w:r>
      <w:r w:rsidR="00693151" w:rsidRPr="00901194">
        <w:rPr>
          <w:rFonts w:cs="Times New Roman"/>
          <w:szCs w:val="24"/>
        </w:rPr>
        <w:t xml:space="preserve"> than the</w:t>
      </w:r>
      <w:r w:rsidR="003E4791" w:rsidRPr="00901194">
        <w:rPr>
          <w:rFonts w:cs="Times New Roman"/>
          <w:szCs w:val="24"/>
        </w:rPr>
        <w:t xml:space="preserve"> </w:t>
      </w:r>
      <w:r w:rsidR="00693151" w:rsidRPr="00901194">
        <w:rPr>
          <w:rFonts w:cs="Times New Roman"/>
          <w:szCs w:val="24"/>
        </w:rPr>
        <w:t xml:space="preserve">Eppendorf </w:t>
      </w:r>
      <w:r w:rsidR="00A44551" w:rsidRPr="00901194">
        <w:rPr>
          <w:rFonts w:cs="Times New Roman"/>
          <w:szCs w:val="24"/>
        </w:rPr>
        <w:t>lids</w:t>
      </w:r>
      <w:r w:rsidR="00751247" w:rsidRPr="00901194">
        <w:rPr>
          <w:rFonts w:cs="Times New Roman"/>
          <w:szCs w:val="24"/>
        </w:rPr>
        <w:t xml:space="preserve">. </w:t>
      </w:r>
      <w:r w:rsidR="00ED1CD5" w:rsidRPr="00901194">
        <w:rPr>
          <w:rFonts w:cs="Times New Roman"/>
          <w:szCs w:val="24"/>
        </w:rPr>
        <w:lastRenderedPageBreak/>
        <w:t xml:space="preserve">Extraction </w:t>
      </w:r>
      <w:r w:rsidR="006712D7" w:rsidRPr="00901194">
        <w:rPr>
          <w:rFonts w:cs="Times New Roman"/>
          <w:szCs w:val="24"/>
        </w:rPr>
        <w:t xml:space="preserve">protocol was optimized from </w:t>
      </w:r>
      <w:r w:rsidR="00ED1CD5" w:rsidRPr="00901194">
        <w:rPr>
          <w:rFonts w:cs="Times New Roman"/>
          <w:szCs w:val="24"/>
        </w:rPr>
        <w:t>an untargeted metabolite extraction technique with proven success</w:t>
      </w:r>
      <w:r w:rsidR="00ED1CD5" w:rsidRPr="00901194">
        <w:rPr>
          <w:rFonts w:cs="Times New Roman"/>
          <w:szCs w:val="24"/>
        </w:rPr>
        <w:fldChar w:fldCharType="begin" w:fldLock="1"/>
      </w:r>
      <w:r w:rsidR="000A1931" w:rsidRPr="00901194">
        <w:rPr>
          <w:rFonts w:cs="Times New Roman"/>
          <w:szCs w:val="24"/>
        </w:rPr>
        <w:instrText>ADDIN CSL_CITATION {"citationItems":[{"id":"ITEM-1","itemData":{"DOI":"10.1038/nprot.2012.135","ISSN":"17542189","abstract":"Obtaining comprehensive, untargeted metabolic profiles for complex solid samples, e.g., animal tissues, requires sample preparation and access to information-rich analytical methodologies such as mass spectrometry (MS). Here we describe a practical two-step process for tissue samples that is based on extraction into 'aqueous' and 'organic' phases for polar and nonpolar metabolites. Separation methods such as ultraperformance liquid chromatography (UPLC) in combination with MS are needed to obtain sufficient resolution to create diagnostic metabolic profiles and identify candidate biomarkers. We provide detailed protocols for sample preparation, chromatographic procedures, multivariate analysis and metabolite identification via tandem MS (MS/MS) techniques and high-resolution MS. By using these optimized approaches, analysis of a set of samples using a 96-well plate format would take ~48 h: 1 h for system setup, 8-10 h for sample preparation, 34 h for UPLC-MS analysis and 2-3 h for preliminary/exploratory data processing, representing a robust method for untargeted metabolic screening of tissue samples.","author":[{"dropping-particle":"","family":"Want","given":"Elizabeth J.","non-dropping-particle":"","parse-names":false,"suffix":""},{"dropping-particle":"","family":"Masson","given":"Perrine","non-dropping-particle":"","parse-names":false,"suffix":""},{"dropping-particle":"","family":"Michopoulos","given":"Filippos","non-dropping-particle":"","parse-names":false,"suffix":""},{"dropping-particle":"","family":"Wilson","given":"Ian D.","non-dropping-particle":"","parse-names":false,"suffix":""},{"dropping-particle":"","family":"Theodoridis","given":"Georgios","non-dropping-particle":"","parse-names":false,"suffix":""},{"dropping-particle":"","family":"Plumb","given":"Robert S.","non-dropping-particle":"","parse-names":false,"suffix":""},{"dropping-particle":"","family":"Shockcor","given":"John","non-dropping-particle":"","parse-names":false,"suffix":""},{"dropping-particle":"","family":"Loftus","given":"Neil","non-dropping-particle":"","parse-names":false,"suffix":""},{"dropping-particle":"","family":"Holmes","given":"Elaine","non-dropping-particle":"","parse-names":false,"suffix":""},{"dropping-particle":"","family":"Nicholson","given":"Jeremy K.","non-dropping-particle":"","parse-names":false,"suffix":""}],"container-title":"Nature Protocols","id":"ITEM-1","issue":"1","issued":{"date-parts":[["2013"]]},"note":"Summary: Describes a new protocol for global metabolite profiling of tissues using LC-MS, outlining the same protocol we use. Discusses the two-step process by extraction into aqueous and organic phases to detect both polar and nonpolar metaboloites. Also describes general best practices for MS experimentation (using QCs, how to make QCs, importance of random sample order, general MS run orders, etc.) \n\n\nMcCall lab's LC-MS/MS fecal sample prep is based on the method from this article. This paper uses tissue samples, but the method applies for feces\nGood for endogenous and exogenous metabolites","page":"17-32","title":"Global metabolic profiling of animal and human tissues via UPLC-MS","type":"article-journal","volume":"8"},"uris":["http://www.mendeley.com/documents/?uuid=9d217013-ac5c-40d2-ac62-ce3dafa74529"]}],"mendeley":{"formattedCitation":"&lt;sup&gt;97&lt;/sup&gt;","plainTextFormattedCitation":"97","previouslyFormattedCitation":"&lt;sup&gt;97&lt;/sup&gt;"},"properties":{"noteIndex":0},"schema":"https://github.com/citation-style-language/schema/raw/master/csl-citation.json"}</w:instrText>
      </w:r>
      <w:r w:rsidR="00ED1CD5" w:rsidRPr="00901194">
        <w:rPr>
          <w:rFonts w:cs="Times New Roman"/>
          <w:szCs w:val="24"/>
        </w:rPr>
        <w:fldChar w:fldCharType="separate"/>
      </w:r>
      <w:r w:rsidR="00AB5632" w:rsidRPr="00901194">
        <w:rPr>
          <w:rFonts w:cs="Times New Roman"/>
          <w:noProof/>
          <w:szCs w:val="24"/>
          <w:vertAlign w:val="superscript"/>
        </w:rPr>
        <w:t>97</w:t>
      </w:r>
      <w:r w:rsidR="00ED1CD5" w:rsidRPr="00901194">
        <w:rPr>
          <w:rFonts w:cs="Times New Roman"/>
          <w:szCs w:val="24"/>
        </w:rPr>
        <w:fldChar w:fldCharType="end"/>
      </w:r>
      <w:r w:rsidR="00A44551" w:rsidRPr="00901194">
        <w:rPr>
          <w:rFonts w:cs="Times New Roman"/>
          <w:szCs w:val="24"/>
        </w:rPr>
        <w:t xml:space="preserve">. One extra step was added: </w:t>
      </w:r>
      <w:r w:rsidR="00ED1CD5" w:rsidRPr="00901194">
        <w:rPr>
          <w:rFonts w:cs="Times New Roman"/>
          <w:szCs w:val="24"/>
        </w:rPr>
        <w:t xml:space="preserve">a 24-hour sample soak using extraction solvents. </w:t>
      </w:r>
      <w:r w:rsidR="00A55025" w:rsidRPr="00901194">
        <w:rPr>
          <w:rFonts w:cs="Times New Roman"/>
          <w:szCs w:val="24"/>
        </w:rPr>
        <w:t>While all samples were analyzed as a single batch via LC-MS/MS, m</w:t>
      </w:r>
      <w:r w:rsidR="00CE185F" w:rsidRPr="00901194">
        <w:rPr>
          <w:rFonts w:cs="Times New Roman"/>
          <w:szCs w:val="24"/>
        </w:rPr>
        <w:t xml:space="preserve">etabolite extractions were done as separate batches based on sample region, with three extraction batches total (one Mexico, one New Mexico, and one Southern Belize). </w:t>
      </w:r>
    </w:p>
    <w:p w14:paraId="74504534" w14:textId="29706F7D" w:rsidR="00CE185F" w:rsidRPr="00901194" w:rsidRDefault="00B50D87" w:rsidP="00A55025">
      <w:pPr>
        <w:ind w:firstLine="720"/>
        <w:rPr>
          <w:rFonts w:cs="Times New Roman"/>
        </w:rPr>
      </w:pPr>
      <w:r w:rsidRPr="00901194">
        <w:rPr>
          <w:rFonts w:cs="Times New Roman"/>
          <w:szCs w:val="24"/>
        </w:rPr>
        <w:t xml:space="preserve">All used solvents were LC-MS grade. </w:t>
      </w:r>
      <w:r w:rsidR="00A44551" w:rsidRPr="00901194">
        <w:rPr>
          <w:rFonts w:cs="Times New Roman"/>
          <w:szCs w:val="24"/>
        </w:rPr>
        <w:t>After subsampling</w:t>
      </w:r>
      <w:r w:rsidR="00036B93" w:rsidRPr="00901194">
        <w:rPr>
          <w:rFonts w:cs="Times New Roman"/>
          <w:szCs w:val="24"/>
        </w:rPr>
        <w:t>, 2 mL of 50% methanol was added to each sample tub</w:t>
      </w:r>
      <w:r w:rsidR="00C413E3" w:rsidRPr="00901194">
        <w:rPr>
          <w:rFonts w:cs="Times New Roman"/>
          <w:szCs w:val="24"/>
        </w:rPr>
        <w:t xml:space="preserve">e. All </w:t>
      </w:r>
      <w:r w:rsidR="00036B93" w:rsidRPr="00901194">
        <w:rPr>
          <w:rFonts w:cs="Times New Roman"/>
          <w:szCs w:val="24"/>
        </w:rPr>
        <w:t xml:space="preserve">tubes were </w:t>
      </w:r>
      <w:r w:rsidR="00C413E3" w:rsidRPr="00901194">
        <w:rPr>
          <w:rFonts w:cs="Times New Roman"/>
          <w:szCs w:val="24"/>
        </w:rPr>
        <w:t xml:space="preserve">then </w:t>
      </w:r>
      <w:r w:rsidR="00036B93" w:rsidRPr="00901194">
        <w:rPr>
          <w:rFonts w:cs="Times New Roman"/>
          <w:szCs w:val="24"/>
        </w:rPr>
        <w:t>left at room temperature to soak for approximately 24 hours.</w:t>
      </w:r>
      <w:r w:rsidR="004A089F" w:rsidRPr="00901194">
        <w:rPr>
          <w:rFonts w:cs="Times New Roman"/>
          <w:szCs w:val="24"/>
        </w:rPr>
        <w:t xml:space="preserve"> </w:t>
      </w:r>
      <w:r w:rsidR="00CE185F" w:rsidRPr="00901194">
        <w:rPr>
          <w:rFonts w:cs="Times New Roman"/>
          <w:szCs w:val="24"/>
        </w:rPr>
        <w:t xml:space="preserve">This 24-hour soak allows the extraction solvent to completely soak and permeate plant material. After </w:t>
      </w:r>
      <w:r w:rsidR="00C413E3" w:rsidRPr="00901194">
        <w:rPr>
          <w:rFonts w:cs="Times New Roman"/>
          <w:szCs w:val="24"/>
        </w:rPr>
        <w:t>the soak</w:t>
      </w:r>
      <w:r w:rsidR="00CE185F" w:rsidRPr="00901194">
        <w:rPr>
          <w:rFonts w:cs="Times New Roman"/>
          <w:szCs w:val="24"/>
        </w:rPr>
        <w:t>, supernatant</w:t>
      </w:r>
      <w:r w:rsidR="00B672C4" w:rsidRPr="00901194">
        <w:rPr>
          <w:rFonts w:cs="Times New Roman"/>
          <w:szCs w:val="24"/>
        </w:rPr>
        <w:t xml:space="preserve">s were </w:t>
      </w:r>
      <w:r w:rsidR="00CE185F" w:rsidRPr="00901194">
        <w:rPr>
          <w:rFonts w:cs="Times New Roman"/>
          <w:szCs w:val="24"/>
        </w:rPr>
        <w:t>removed and stored in separate tube</w:t>
      </w:r>
      <w:r w:rsidR="00B672C4" w:rsidRPr="00901194">
        <w:rPr>
          <w:rFonts w:cs="Times New Roman"/>
          <w:szCs w:val="24"/>
        </w:rPr>
        <w:t>s</w:t>
      </w:r>
      <w:r w:rsidR="00CE185F" w:rsidRPr="00901194">
        <w:rPr>
          <w:rFonts w:cs="Times New Roman"/>
          <w:szCs w:val="24"/>
        </w:rPr>
        <w:t xml:space="preserve"> as backup</w:t>
      </w:r>
      <w:r w:rsidR="00B672C4" w:rsidRPr="00901194">
        <w:rPr>
          <w:rFonts w:cs="Times New Roman"/>
          <w:szCs w:val="24"/>
        </w:rPr>
        <w:t>s</w:t>
      </w:r>
      <w:r w:rsidR="00CE185F" w:rsidRPr="00901194">
        <w:rPr>
          <w:rFonts w:cs="Times New Roman"/>
          <w:szCs w:val="24"/>
        </w:rPr>
        <w:t>.</w:t>
      </w:r>
      <w:r w:rsidR="00036B93" w:rsidRPr="00901194">
        <w:rPr>
          <w:rFonts w:cs="Times New Roman"/>
          <w:szCs w:val="24"/>
        </w:rPr>
        <w:t xml:space="preserve"> </w:t>
      </w:r>
      <w:r w:rsidR="00CE185F" w:rsidRPr="00901194">
        <w:rPr>
          <w:rFonts w:cs="Times New Roman"/>
          <w:szCs w:val="24"/>
        </w:rPr>
        <w:t xml:space="preserve">The remaining sample material was subject to </w:t>
      </w:r>
      <w:r w:rsidR="00B672C4" w:rsidRPr="00901194">
        <w:rPr>
          <w:rFonts w:cs="Times New Roman"/>
          <w:szCs w:val="24"/>
        </w:rPr>
        <w:t xml:space="preserve">subsequent </w:t>
      </w:r>
      <w:r w:rsidR="00CE185F" w:rsidRPr="00901194">
        <w:rPr>
          <w:rFonts w:cs="Times New Roman"/>
          <w:szCs w:val="24"/>
        </w:rPr>
        <w:t>treatment for metabolite extraction.</w:t>
      </w:r>
      <w:r w:rsidR="00A55025" w:rsidRPr="00901194">
        <w:rPr>
          <w:rFonts w:cs="Times New Roman"/>
          <w:szCs w:val="24"/>
        </w:rPr>
        <w:t xml:space="preserve"> </w:t>
      </w:r>
      <w:r w:rsidR="005D757B" w:rsidRPr="00901194">
        <w:rPr>
          <w:rFonts w:cs="Times New Roman"/>
          <w:szCs w:val="24"/>
        </w:rPr>
        <w:t xml:space="preserve">Following the </w:t>
      </w:r>
      <w:r w:rsidR="00DD29B8" w:rsidRPr="00901194">
        <w:rPr>
          <w:rFonts w:cs="Times New Roman"/>
          <w:szCs w:val="24"/>
        </w:rPr>
        <w:t>supernatant removal</w:t>
      </w:r>
      <w:r w:rsidR="005D757B" w:rsidRPr="00901194">
        <w:rPr>
          <w:rFonts w:cs="Times New Roman"/>
          <w:szCs w:val="24"/>
        </w:rPr>
        <w:t xml:space="preserve">, a single 5mm Qiagen steel bead was </w:t>
      </w:r>
      <w:r w:rsidRPr="00901194">
        <w:rPr>
          <w:rFonts w:cs="Times New Roman"/>
          <w:szCs w:val="24"/>
        </w:rPr>
        <w:t xml:space="preserve">placed in </w:t>
      </w:r>
      <w:r w:rsidR="005D757B" w:rsidRPr="00901194">
        <w:rPr>
          <w:rFonts w:cs="Times New Roman"/>
          <w:szCs w:val="24"/>
        </w:rPr>
        <w:t xml:space="preserve">each </w:t>
      </w:r>
      <w:r w:rsidRPr="00901194">
        <w:rPr>
          <w:rFonts w:cs="Times New Roman"/>
          <w:szCs w:val="24"/>
        </w:rPr>
        <w:t xml:space="preserve">sample </w:t>
      </w:r>
      <w:r w:rsidR="005D757B" w:rsidRPr="00901194">
        <w:rPr>
          <w:rFonts w:cs="Times New Roman"/>
          <w:szCs w:val="24"/>
        </w:rPr>
        <w:t xml:space="preserve">tube </w:t>
      </w:r>
      <w:r w:rsidRPr="00901194">
        <w:rPr>
          <w:rFonts w:cs="Times New Roman"/>
          <w:szCs w:val="24"/>
        </w:rPr>
        <w:t>to assist with homogenization</w:t>
      </w:r>
      <w:r w:rsidR="005D757B" w:rsidRPr="00901194">
        <w:rPr>
          <w:rFonts w:cs="Times New Roman"/>
          <w:szCs w:val="24"/>
        </w:rPr>
        <w:t>. Next, varying amounts of chilled 50% methanol spiked with 2</w:t>
      </w:r>
      <w:r w:rsidR="005D757B" w:rsidRPr="00901194">
        <w:rPr>
          <w:rFonts w:cs="Times New Roman"/>
        </w:rPr>
        <w:t xml:space="preserve"> </w:t>
      </w:r>
      <w:r w:rsidR="005D757B" w:rsidRPr="00901194">
        <w:rPr>
          <w:rFonts w:cs="Times New Roman"/>
          <w:szCs w:val="24"/>
        </w:rPr>
        <w:t>µM sulfachloropyridazine was added to each tube. Volumes were normalized by sample weight</w:t>
      </w:r>
      <w:r w:rsidR="00D450D7" w:rsidRPr="00901194">
        <w:rPr>
          <w:rFonts w:cs="Times New Roman"/>
          <w:szCs w:val="24"/>
        </w:rPr>
        <w:t>;</w:t>
      </w:r>
      <w:r w:rsidR="005D757B" w:rsidRPr="00901194">
        <w:rPr>
          <w:rFonts w:cs="Times New Roman"/>
          <w:szCs w:val="24"/>
        </w:rPr>
        <w:t xml:space="preserve"> 50 mg sample corresponds with 1000 µL 50% methanol. After adding extraction solvent, samples were homogenized using a Qiagen Tissuelyzer</w:t>
      </w:r>
      <w:r w:rsidR="00D90CFA" w:rsidRPr="00901194">
        <w:rPr>
          <w:rFonts w:cs="Times New Roman"/>
          <w:szCs w:val="24"/>
        </w:rPr>
        <w:t xml:space="preserve"> at 25 Hz for six minutes and centrifuged at 16,000 x g at 4</w:t>
      </w:r>
      <w:r w:rsidR="00D90CFA" w:rsidRPr="00901194">
        <w:rPr>
          <w:rFonts w:cs="Times New Roman"/>
        </w:rPr>
        <w:t xml:space="preserve"> ºC for ten minutes. </w:t>
      </w:r>
      <w:r w:rsidR="006E7810" w:rsidRPr="00901194">
        <w:rPr>
          <w:rFonts w:cs="Times New Roman"/>
        </w:rPr>
        <w:t xml:space="preserve">Sample tubes were placed on ice </w:t>
      </w:r>
      <w:r w:rsidR="00B617D4" w:rsidRPr="00901194">
        <w:rPr>
          <w:rFonts w:cs="Times New Roman"/>
        </w:rPr>
        <w:t>while</w:t>
      </w:r>
      <w:r w:rsidR="006E7810" w:rsidRPr="00901194">
        <w:rPr>
          <w:rFonts w:cs="Times New Roman"/>
        </w:rPr>
        <w:t xml:space="preserve"> 120 </w:t>
      </w:r>
      <w:r w:rsidR="006E7810" w:rsidRPr="00901194">
        <w:rPr>
          <w:rFonts w:cs="Times New Roman"/>
          <w:szCs w:val="24"/>
        </w:rPr>
        <w:t>µL aqueous-layer supernatant</w:t>
      </w:r>
      <w:r w:rsidR="00B617D4" w:rsidRPr="00901194">
        <w:rPr>
          <w:rFonts w:cs="Times New Roman"/>
          <w:szCs w:val="24"/>
        </w:rPr>
        <w:t>s</w:t>
      </w:r>
      <w:r w:rsidR="006E7810" w:rsidRPr="00901194">
        <w:rPr>
          <w:rFonts w:cs="Times New Roman"/>
          <w:szCs w:val="24"/>
        </w:rPr>
        <w:t xml:space="preserve"> </w:t>
      </w:r>
      <w:r w:rsidR="00B617D4" w:rsidRPr="00901194">
        <w:rPr>
          <w:rFonts w:cs="Times New Roman"/>
          <w:szCs w:val="24"/>
        </w:rPr>
        <w:t xml:space="preserve">were collected and placed </w:t>
      </w:r>
      <w:r w:rsidR="006E7810" w:rsidRPr="00901194">
        <w:rPr>
          <w:rFonts w:cs="Times New Roman"/>
          <w:szCs w:val="24"/>
        </w:rPr>
        <w:t>in a 96-well plate. Th</w:t>
      </w:r>
      <w:r w:rsidR="00B617D4" w:rsidRPr="00901194">
        <w:rPr>
          <w:rFonts w:cs="Times New Roman"/>
          <w:szCs w:val="24"/>
        </w:rPr>
        <w:t xml:space="preserve">ese aqueous sample </w:t>
      </w:r>
      <w:r w:rsidR="006E7810" w:rsidRPr="00901194">
        <w:rPr>
          <w:rFonts w:cs="Times New Roman"/>
          <w:szCs w:val="24"/>
        </w:rPr>
        <w:t>supernatant</w:t>
      </w:r>
      <w:r w:rsidR="00B617D4" w:rsidRPr="00901194">
        <w:rPr>
          <w:rFonts w:cs="Times New Roman"/>
          <w:szCs w:val="24"/>
        </w:rPr>
        <w:t>s</w:t>
      </w:r>
      <w:r w:rsidR="006E7810" w:rsidRPr="00901194">
        <w:rPr>
          <w:rFonts w:cs="Times New Roman"/>
          <w:szCs w:val="24"/>
        </w:rPr>
        <w:t xml:space="preserve"> </w:t>
      </w:r>
      <w:r w:rsidR="00B617D4" w:rsidRPr="00901194">
        <w:rPr>
          <w:rFonts w:cs="Times New Roman"/>
          <w:szCs w:val="24"/>
        </w:rPr>
        <w:t xml:space="preserve">were </w:t>
      </w:r>
      <w:r w:rsidR="006E7810" w:rsidRPr="00901194">
        <w:rPr>
          <w:rFonts w:cs="Times New Roman"/>
          <w:szCs w:val="24"/>
        </w:rPr>
        <w:t xml:space="preserve">dried down in a SpeedVac vacuum concentrator to minimize matrix-specific metabolites. All remaining supernatant was transferred to a separate well plate and stored at -80 </w:t>
      </w:r>
      <w:r w:rsidR="006E7810" w:rsidRPr="00901194">
        <w:rPr>
          <w:rFonts w:cs="Times New Roman"/>
        </w:rPr>
        <w:t xml:space="preserve">ºC for long-term storage. </w:t>
      </w:r>
      <w:r w:rsidR="00B617D4" w:rsidRPr="00901194">
        <w:rPr>
          <w:rFonts w:cs="Times New Roman"/>
        </w:rPr>
        <w:t xml:space="preserve">The leftover sample pellet (comprised of organic metabolites) was kept as part of the </w:t>
      </w:r>
      <w:r w:rsidRPr="00901194">
        <w:rPr>
          <w:rFonts w:cs="Times New Roman"/>
        </w:rPr>
        <w:t xml:space="preserve">subsequent organic </w:t>
      </w:r>
      <w:r w:rsidR="00B617D4" w:rsidRPr="00901194">
        <w:rPr>
          <w:rFonts w:cs="Times New Roman"/>
        </w:rPr>
        <w:t xml:space="preserve">extraction. </w:t>
      </w:r>
      <w:r w:rsidR="006E7810" w:rsidRPr="00901194">
        <w:rPr>
          <w:rFonts w:cs="Times New Roman"/>
        </w:rPr>
        <w:t>For organic-layer metabolite extraction, 1000</w:t>
      </w:r>
      <w:r w:rsidR="006E7810" w:rsidRPr="00901194">
        <w:rPr>
          <w:rFonts w:cs="Times New Roman"/>
          <w:szCs w:val="24"/>
        </w:rPr>
        <w:t xml:space="preserve"> µL prechilled 3:1 dichloromethane:methanol (spiked with 2 µM sulfachloropyridazine as IS) per 50 mg sample volume was added to sample pellets. Samples were homogenized </w:t>
      </w:r>
      <w:r w:rsidR="00F3621A" w:rsidRPr="00901194">
        <w:rPr>
          <w:rFonts w:cs="Times New Roman"/>
          <w:szCs w:val="24"/>
        </w:rPr>
        <w:t>at</w:t>
      </w:r>
      <w:r w:rsidR="006E7810" w:rsidRPr="00901194">
        <w:rPr>
          <w:rFonts w:cs="Times New Roman"/>
          <w:szCs w:val="24"/>
        </w:rPr>
        <w:t xml:space="preserve"> 25 Hz for six </w:t>
      </w:r>
      <w:r w:rsidR="006E7810" w:rsidRPr="00901194">
        <w:rPr>
          <w:rFonts w:cs="Times New Roman"/>
          <w:szCs w:val="24"/>
        </w:rPr>
        <w:lastRenderedPageBreak/>
        <w:t>minutes and centrifuged at 16,000 x g 4</w:t>
      </w:r>
      <w:r w:rsidR="006E7810" w:rsidRPr="00901194">
        <w:rPr>
          <w:rFonts w:cs="Times New Roman"/>
        </w:rPr>
        <w:t xml:space="preserve"> ºC for ten minutes. After homogenization and centrifugation, 120 </w:t>
      </w:r>
      <w:r w:rsidR="006E7810" w:rsidRPr="00901194">
        <w:rPr>
          <w:rFonts w:cs="Times New Roman"/>
          <w:szCs w:val="24"/>
        </w:rPr>
        <w:t xml:space="preserve">µL of each supernatant was placed into a 96-well plate (matching the well position used for the aqueous supernatants) and left to air-dry in a fume hood overnight. The remaining organic-layer supernatant was stored at -80 </w:t>
      </w:r>
      <w:r w:rsidR="006E7810" w:rsidRPr="00901194">
        <w:rPr>
          <w:rFonts w:cs="Times New Roman"/>
        </w:rPr>
        <w:t xml:space="preserve">ºC for long-term storage. After aqueous and organic layers were completely dried down, </w:t>
      </w:r>
      <w:r w:rsidR="000B33A6" w:rsidRPr="00901194">
        <w:rPr>
          <w:rFonts w:cs="Times New Roman"/>
        </w:rPr>
        <w:t>the sample 96-well plates were stored at -80 ºC until LC-MS/MS analysis.</w:t>
      </w:r>
      <w:r w:rsidR="00386B0F" w:rsidRPr="00901194">
        <w:rPr>
          <w:rFonts w:cs="Times New Roman"/>
        </w:rPr>
        <w:t xml:space="preserve"> Negative</w:t>
      </w:r>
      <w:r w:rsidR="00B617D4" w:rsidRPr="00901194">
        <w:rPr>
          <w:rFonts w:cs="Times New Roman"/>
        </w:rPr>
        <w:t xml:space="preserve"> controls with </w:t>
      </w:r>
      <w:r w:rsidR="00386B0F" w:rsidRPr="00901194">
        <w:rPr>
          <w:rFonts w:cs="Times New Roman"/>
        </w:rPr>
        <w:t xml:space="preserve">water were included for each extraction batch and underwent identical treatments as plant samples. </w:t>
      </w:r>
      <w:r w:rsidR="00173E10" w:rsidRPr="00901194">
        <w:rPr>
          <w:rFonts w:cs="Times New Roman"/>
        </w:rPr>
        <w:t xml:space="preserve">Sample treatment is </w:t>
      </w:r>
      <w:r w:rsidR="00E51E43" w:rsidRPr="00901194">
        <w:rPr>
          <w:rFonts w:cs="Times New Roman"/>
          <w:noProof/>
        </w:rPr>
        <w:drawing>
          <wp:anchor distT="0" distB="0" distL="114300" distR="114300" simplePos="0" relativeHeight="251743232" behindDoc="0" locked="0" layoutInCell="1" allowOverlap="1" wp14:anchorId="428EB435" wp14:editId="6DA1D520">
            <wp:simplePos x="0" y="0"/>
            <wp:positionH relativeFrom="column">
              <wp:posOffset>-20155</wp:posOffset>
            </wp:positionH>
            <wp:positionV relativeFrom="paragraph">
              <wp:posOffset>2702312</wp:posOffset>
            </wp:positionV>
            <wp:extent cx="5515610" cy="4083050"/>
            <wp:effectExtent l="0" t="0" r="8890" b="0"/>
            <wp:wrapTopAndBottom/>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5515610" cy="4083050"/>
                    </a:xfrm>
                    <a:prstGeom prst="rect">
                      <a:avLst/>
                    </a:prstGeom>
                  </pic:spPr>
                </pic:pic>
              </a:graphicData>
            </a:graphic>
            <wp14:sizeRelH relativeFrom="margin">
              <wp14:pctWidth>0</wp14:pctWidth>
            </wp14:sizeRelH>
            <wp14:sizeRelV relativeFrom="margin">
              <wp14:pctHeight>0</wp14:pctHeight>
            </wp14:sizeRelV>
          </wp:anchor>
        </w:drawing>
      </w:r>
      <w:r w:rsidR="00173E10" w:rsidRPr="00901194">
        <w:rPr>
          <w:rFonts w:cs="Times New Roman"/>
        </w:rPr>
        <w:t>also visualized in Figure 4.</w:t>
      </w:r>
      <w:r w:rsidR="006B197C" w:rsidRPr="00901194">
        <w:rPr>
          <w:rFonts w:cs="Times New Roman"/>
        </w:rPr>
        <w:t>2</w:t>
      </w:r>
      <w:r w:rsidR="00173E10" w:rsidRPr="00901194">
        <w:rPr>
          <w:rFonts w:cs="Times New Roman"/>
        </w:rPr>
        <w:t>.</w:t>
      </w:r>
    </w:p>
    <w:p w14:paraId="559D8436" w14:textId="404BC2D0" w:rsidR="00E42E28" w:rsidRPr="00901194" w:rsidRDefault="00E42E28" w:rsidP="00E42E28">
      <w:pPr>
        <w:pStyle w:val="CaptionJH"/>
        <w:spacing w:line="240" w:lineRule="auto"/>
        <w:rPr>
          <w:b/>
          <w:bCs w:val="0"/>
        </w:rPr>
      </w:pPr>
      <w:bookmarkStart w:id="94" w:name="_Toc131186561"/>
      <w:r w:rsidRPr="00901194">
        <w:rPr>
          <w:b/>
          <w:bCs w:val="0"/>
        </w:rPr>
        <w:t>Figure 4.2: Experiment design.</w:t>
      </w:r>
      <w:bookmarkEnd w:id="94"/>
    </w:p>
    <w:p w14:paraId="1AB219BF" w14:textId="0E4C7329" w:rsidR="00E42E28" w:rsidRPr="00901194" w:rsidRDefault="00E42E28" w:rsidP="00422B63">
      <w:pPr>
        <w:rPr>
          <w:rFonts w:cs="Times New Roman"/>
        </w:rPr>
      </w:pPr>
    </w:p>
    <w:p w14:paraId="3AAEC8D6" w14:textId="7CFCA990" w:rsidR="000B33A6" w:rsidRPr="00901194" w:rsidRDefault="000B33A6" w:rsidP="005D757B">
      <w:pPr>
        <w:ind w:firstLine="720"/>
        <w:rPr>
          <w:rFonts w:cs="Times New Roman"/>
          <w:szCs w:val="24"/>
        </w:rPr>
      </w:pPr>
      <w:r w:rsidRPr="00901194">
        <w:rPr>
          <w:rFonts w:cs="Times New Roman"/>
        </w:rPr>
        <w:t xml:space="preserve">On day of LC-MS/MS run, sample plates thawed at room temperature and 120 </w:t>
      </w:r>
      <w:r w:rsidRPr="00901194">
        <w:rPr>
          <w:rFonts w:cs="Times New Roman"/>
          <w:szCs w:val="24"/>
        </w:rPr>
        <w:t xml:space="preserve">µL of 50% methanol spiked with 2 µM sulfadimethoxine (second IS) was added to each well to </w:t>
      </w:r>
      <w:r w:rsidRPr="00901194">
        <w:rPr>
          <w:rFonts w:cs="Times New Roman"/>
          <w:szCs w:val="24"/>
        </w:rPr>
        <w:lastRenderedPageBreak/>
        <w:t xml:space="preserve">resuspend sample material. </w:t>
      </w:r>
      <w:r w:rsidR="00B617D4" w:rsidRPr="00901194">
        <w:rPr>
          <w:rFonts w:cs="Times New Roman"/>
          <w:szCs w:val="24"/>
        </w:rPr>
        <w:t>Sample-matched</w:t>
      </w:r>
      <w:r w:rsidRPr="00901194">
        <w:rPr>
          <w:rFonts w:cs="Times New Roman"/>
          <w:szCs w:val="24"/>
        </w:rPr>
        <w:t xml:space="preserve"> supernatants were combined and added to a separate 96-well plate for LC-MS/MS analysis.</w:t>
      </w:r>
      <w:r w:rsidR="00386B0F" w:rsidRPr="00901194">
        <w:rPr>
          <w:rFonts w:cs="Times New Roman"/>
          <w:szCs w:val="24"/>
        </w:rPr>
        <w:t xml:space="preserve"> All 96-well plates were sonicated using a Fisher Scientific Ultrasonic Cleaning Bath to dislodge any remaining sample particulates. </w:t>
      </w:r>
      <w:r w:rsidR="00B617D4" w:rsidRPr="00901194">
        <w:rPr>
          <w:rFonts w:cs="Times New Roman"/>
          <w:szCs w:val="24"/>
        </w:rPr>
        <w:t>Each well plate had a single well with 150 µL of 50% methanol to serve as</w:t>
      </w:r>
      <w:r w:rsidR="00B50D87" w:rsidRPr="00901194">
        <w:rPr>
          <w:rFonts w:cs="Times New Roman"/>
          <w:szCs w:val="24"/>
        </w:rPr>
        <w:t xml:space="preserve"> a</w:t>
      </w:r>
      <w:r w:rsidR="00B617D4" w:rsidRPr="00901194">
        <w:rPr>
          <w:rFonts w:cs="Times New Roman"/>
          <w:szCs w:val="24"/>
        </w:rPr>
        <w:t xml:space="preserve"> blank control.</w:t>
      </w:r>
    </w:p>
    <w:p w14:paraId="4404F964" w14:textId="2DF90763" w:rsidR="00386B0F" w:rsidRPr="00901194" w:rsidRDefault="00386B0F" w:rsidP="00386B0F">
      <w:pPr>
        <w:pStyle w:val="Subsub-chapterHeading"/>
      </w:pPr>
      <w:bookmarkStart w:id="95" w:name="_Toc134185986"/>
      <w:r w:rsidRPr="00901194">
        <w:t>LC-MS/MS Analysis</w:t>
      </w:r>
      <w:bookmarkEnd w:id="95"/>
    </w:p>
    <w:p w14:paraId="199A2244" w14:textId="01D450FD" w:rsidR="00155CB5" w:rsidRPr="00901194" w:rsidRDefault="006B6E43" w:rsidP="006B6E43">
      <w:pPr>
        <w:rPr>
          <w:rFonts w:cs="Times New Roman"/>
        </w:rPr>
      </w:pPr>
      <w:r w:rsidRPr="00901194">
        <w:rPr>
          <w:rFonts w:cs="Times New Roman"/>
        </w:rPr>
        <w:tab/>
        <w:t xml:space="preserve">LC separation was done using a Polar C18 column (Kinetix </w:t>
      </w:r>
      <w:r w:rsidR="00215F9C" w:rsidRPr="00901194">
        <w:rPr>
          <w:rFonts w:cs="Times New Roman"/>
        </w:rPr>
        <w:t>10</w:t>
      </w:r>
      <w:r w:rsidRPr="00901194">
        <w:rPr>
          <w:rFonts w:cs="Times New Roman"/>
        </w:rPr>
        <w:t xml:space="preserve">0 x 2.1mm, </w:t>
      </w:r>
      <w:r w:rsidR="00215F9C" w:rsidRPr="00901194">
        <w:rPr>
          <w:rFonts w:cs="Times New Roman"/>
        </w:rPr>
        <w:t>2.6</w:t>
      </w:r>
      <w:r w:rsidRPr="00901194">
        <w:rPr>
          <w:rFonts w:cs="Times New Roman"/>
        </w:rPr>
        <w:t xml:space="preserve"> μM particle size, 100 Å pore size) kept in a ThermoFisher Scientific Vanquish Flex Binary LC system column compartment maintained at 40 °C. All sample 96-well plates were kept in the LC system’s autosampler</w:t>
      </w:r>
      <w:r w:rsidR="00151842" w:rsidRPr="00901194">
        <w:rPr>
          <w:rFonts w:cs="Times New Roman"/>
        </w:rPr>
        <w:t xml:space="preserve">, which was kept at </w:t>
      </w:r>
      <w:r w:rsidRPr="00901194">
        <w:rPr>
          <w:rFonts w:cs="Times New Roman"/>
        </w:rPr>
        <w:t xml:space="preserve">4 °C. LC mobile phases were LC-MS grade water with 0.1% formic acid and LC-MS grade acetronitrile with 0.1% formic acid as solvent A and B, respectively. A 12.5-minute runtime gradient was used </w:t>
      </w:r>
      <w:r w:rsidR="00DE5BBA" w:rsidRPr="00901194">
        <w:rPr>
          <w:rFonts w:cs="Times New Roman"/>
        </w:rPr>
        <w:t>with the following steps</w:t>
      </w:r>
      <w:r w:rsidRPr="00901194">
        <w:rPr>
          <w:rFonts w:cs="Times New Roman"/>
        </w:rPr>
        <w:t>: start</w:t>
      </w:r>
      <w:r w:rsidR="0040208B" w:rsidRPr="00901194">
        <w:rPr>
          <w:rFonts w:cs="Times New Roman"/>
        </w:rPr>
        <w:t>ed</w:t>
      </w:r>
      <w:r w:rsidRPr="00901194">
        <w:rPr>
          <w:rFonts w:cs="Times New Roman"/>
        </w:rPr>
        <w:t xml:space="preserve"> at 5% solvent B at 0.5 ml/min and maintain</w:t>
      </w:r>
      <w:r w:rsidR="0040208B" w:rsidRPr="00901194">
        <w:rPr>
          <w:rFonts w:cs="Times New Roman"/>
        </w:rPr>
        <w:t>ed</w:t>
      </w:r>
      <w:r w:rsidRPr="00901194">
        <w:rPr>
          <w:rFonts w:cs="Times New Roman"/>
        </w:rPr>
        <w:t xml:space="preserve"> until 1 minute; after one minute, slowly increase</w:t>
      </w:r>
      <w:r w:rsidR="0040208B" w:rsidRPr="00901194">
        <w:rPr>
          <w:rFonts w:cs="Times New Roman"/>
        </w:rPr>
        <w:t>d</w:t>
      </w:r>
      <w:r w:rsidRPr="00901194">
        <w:rPr>
          <w:rFonts w:cs="Times New Roman"/>
        </w:rPr>
        <w:t xml:space="preserve"> </w:t>
      </w:r>
      <w:r w:rsidR="0040208B" w:rsidRPr="00901194">
        <w:rPr>
          <w:rFonts w:cs="Times New Roman"/>
        </w:rPr>
        <w:t xml:space="preserve">solvent B percentage until reaching 100% solvent B </w:t>
      </w:r>
      <w:r w:rsidR="00DE5BBA" w:rsidRPr="00901194">
        <w:rPr>
          <w:rFonts w:cs="Times New Roman"/>
        </w:rPr>
        <w:t>by</w:t>
      </w:r>
      <w:r w:rsidR="0040208B" w:rsidRPr="00901194">
        <w:rPr>
          <w:rFonts w:cs="Times New Roman"/>
        </w:rPr>
        <w:t xml:space="preserve"> nine minutes</w:t>
      </w:r>
      <w:r w:rsidR="00DE5BBA" w:rsidRPr="00901194">
        <w:rPr>
          <w:rFonts w:cs="Times New Roman"/>
        </w:rPr>
        <w:t xml:space="preserve"> total</w:t>
      </w:r>
      <w:r w:rsidR="0040208B" w:rsidRPr="00901194">
        <w:rPr>
          <w:rFonts w:cs="Times New Roman"/>
        </w:rPr>
        <w:t xml:space="preserve">; </w:t>
      </w:r>
      <w:r w:rsidR="0057388C" w:rsidRPr="00901194">
        <w:rPr>
          <w:rFonts w:cs="Times New Roman"/>
        </w:rPr>
        <w:t>he</w:t>
      </w:r>
      <w:r w:rsidR="0040208B" w:rsidRPr="00901194">
        <w:rPr>
          <w:rFonts w:cs="Times New Roman"/>
        </w:rPr>
        <w:t xml:space="preserve">ld at 100% solvent B for two minutes; </w:t>
      </w:r>
      <w:r w:rsidR="0057388C" w:rsidRPr="00901194">
        <w:rPr>
          <w:rFonts w:cs="Times New Roman"/>
        </w:rPr>
        <w:t xml:space="preserve">decreased back to 5% solvent B over 0.5 minutes; and kept at 5% solvent B for the remaining minute. Samples were injected in a randomized order to minimize carryover. </w:t>
      </w:r>
      <w:r w:rsidR="003543C0" w:rsidRPr="00901194">
        <w:rPr>
          <w:rFonts w:cs="Times New Roman"/>
        </w:rPr>
        <w:t>Sample i</w:t>
      </w:r>
      <w:r w:rsidR="0057388C" w:rsidRPr="00901194">
        <w:rPr>
          <w:rFonts w:cs="Times New Roman"/>
        </w:rPr>
        <w:t>njection volume was 5 μL.</w:t>
      </w:r>
    </w:p>
    <w:p w14:paraId="685AD7E4" w14:textId="4E684340" w:rsidR="00EA7DFC" w:rsidRPr="00901194" w:rsidRDefault="0057388C" w:rsidP="006B6E43">
      <w:pPr>
        <w:rPr>
          <w:rFonts w:cs="Times New Roman"/>
        </w:rPr>
      </w:pPr>
      <w:r w:rsidRPr="00901194">
        <w:rPr>
          <w:rFonts w:cs="Times New Roman"/>
        </w:rPr>
        <w:tab/>
      </w:r>
      <w:r w:rsidR="00FB649E" w:rsidRPr="00901194">
        <w:rPr>
          <w:rFonts w:cs="Times New Roman"/>
        </w:rPr>
        <w:t>MS/MS analysis was conducted using a ThermoFisher Q Exactive Plus Hybrid Quadrupole-Orbitrap Mass Spectrometer. Only positive mode data were collected. Full MS resolution was 70,000, scan range from 70 to 1500</w:t>
      </w:r>
      <w:r w:rsidR="00317D15" w:rsidRPr="00901194">
        <w:rPr>
          <w:rFonts w:cs="Times New Roman"/>
        </w:rPr>
        <w:t xml:space="preserve"> </w:t>
      </w:r>
      <w:r w:rsidR="00317D15" w:rsidRPr="00901194">
        <w:rPr>
          <w:rFonts w:cs="Times New Roman"/>
          <w:i/>
          <w:iCs/>
        </w:rPr>
        <w:t>m/z</w:t>
      </w:r>
      <w:r w:rsidR="00317D15" w:rsidRPr="00901194">
        <w:rPr>
          <w:rFonts w:cs="Times New Roman"/>
        </w:rPr>
        <w:t xml:space="preserve">, </w:t>
      </w:r>
      <w:r w:rsidR="00FB649E" w:rsidRPr="00901194">
        <w:rPr>
          <w:rFonts w:cs="Times New Roman"/>
        </w:rPr>
        <w:t xml:space="preserve">AGC target was 1e6, and maximum IT was 246 ms. </w:t>
      </w:r>
      <w:r w:rsidR="00317D15" w:rsidRPr="00901194">
        <w:rPr>
          <w:rFonts w:cs="Times New Roman"/>
        </w:rPr>
        <w:t xml:space="preserve">For MS2 data analysis, resolution was 17,500, AGC target was 2e6, maximum IT was 54ms, loop count was 5,  and isolation window was 1 </w:t>
      </w:r>
      <w:r w:rsidR="00317D15" w:rsidRPr="00901194">
        <w:rPr>
          <w:rFonts w:cs="Times New Roman"/>
          <w:i/>
          <w:iCs/>
        </w:rPr>
        <w:t xml:space="preserve">m/z. </w:t>
      </w:r>
      <w:r w:rsidR="00321364" w:rsidRPr="00901194">
        <w:rPr>
          <w:rFonts w:cs="Times New Roman"/>
        </w:rPr>
        <w:t xml:space="preserve">MS2 data were collected with data-dependent acquisition where the most abundant ion of each MS/MS cycle was identified. For each of these ions, 5 MS/MS scans were recorded. For data-dependent acquisition, minimum </w:t>
      </w:r>
      <w:r w:rsidR="00321364" w:rsidRPr="00901194">
        <w:rPr>
          <w:rFonts w:cs="Times New Roman"/>
        </w:rPr>
        <w:lastRenderedPageBreak/>
        <w:t>AGC target was 8e3, IT was 1.5e5, and dynamic exclusion was 10 seconds. At start of MS analysis</w:t>
      </w:r>
      <w:r w:rsidR="00215F9C" w:rsidRPr="00901194">
        <w:rPr>
          <w:rFonts w:cs="Times New Roman"/>
        </w:rPr>
        <w:t xml:space="preserve">, a well containing resuspension solvent was run and the top 1,000 </w:t>
      </w:r>
      <w:r w:rsidR="00C43CB1" w:rsidRPr="00901194">
        <w:rPr>
          <w:rFonts w:cs="Times New Roman"/>
        </w:rPr>
        <w:t>features were selected to use as an exclusion list</w:t>
      </w:r>
      <w:r w:rsidR="002A692E" w:rsidRPr="00901194">
        <w:rPr>
          <w:rFonts w:cs="Times New Roman"/>
        </w:rPr>
        <w:t xml:space="preserve"> where these top 1,000 abundant features were excluded from MS analysis</w:t>
      </w:r>
      <w:r w:rsidR="00C43CB1" w:rsidRPr="00901194">
        <w:rPr>
          <w:rFonts w:cs="Times New Roman"/>
        </w:rPr>
        <w:t xml:space="preserve">. All subsequent samples were run according to the parameters listed above with the exclusion list. </w:t>
      </w:r>
    </w:p>
    <w:p w14:paraId="4C252303" w14:textId="37B1C361" w:rsidR="006E7810" w:rsidRPr="00901194" w:rsidRDefault="00200536" w:rsidP="004E5234">
      <w:pPr>
        <w:pStyle w:val="Subsub-chapterHeading"/>
      </w:pPr>
      <w:bookmarkStart w:id="96" w:name="_Toc134185987"/>
      <w:r w:rsidRPr="00901194">
        <w:t>Data Analysis</w:t>
      </w:r>
      <w:r w:rsidR="00847356" w:rsidRPr="00901194">
        <w:t xml:space="preserve"> and Processing</w:t>
      </w:r>
      <w:bookmarkEnd w:id="96"/>
    </w:p>
    <w:p w14:paraId="46FBF982" w14:textId="77777777" w:rsidR="00C93B0F" w:rsidRPr="00901194" w:rsidRDefault="00847356" w:rsidP="00CD3406">
      <w:pPr>
        <w:rPr>
          <w:rFonts w:cs="Times New Roman"/>
        </w:rPr>
      </w:pPr>
      <w:r w:rsidRPr="00901194">
        <w:rPr>
          <w:rFonts w:cs="Times New Roman"/>
        </w:rPr>
        <w:tab/>
      </w:r>
      <w:r w:rsidR="00CD3406" w:rsidRPr="00901194">
        <w:rPr>
          <w:rFonts w:cs="Times New Roman"/>
        </w:rPr>
        <w:t>After LC-MS/MS analysis, raw data were converted from .RAW format to .mzXML using MSConvert</w:t>
      </w:r>
      <w:r w:rsidR="00DA731C" w:rsidRPr="00901194">
        <w:rPr>
          <w:rFonts w:cs="Times New Roman"/>
        </w:rPr>
        <w:fldChar w:fldCharType="begin" w:fldLock="1"/>
      </w:r>
      <w:r w:rsidR="00DA731C" w:rsidRPr="00901194">
        <w:rPr>
          <w:rFonts w:cs="Times New Roman"/>
        </w:rPr>
        <w:instrText>ADDIN CSL_CITATION {"citationItems":[{"id":"ITEM-1","itemData":{"DOI":"10.1038/nbt.2377","ISSN":"1087-0156","abstract":"Mass-spectrometry-based proteomics has become an important component of biological research. Numerous proteomics methods have been developed to identify and quantify the proteins in biological and clinical samples1, identify pathways affected by endogenous and exogenous perturbations2, and characterize protein complexes3. Despite successes, the interpretation of vast proteomics datasets remains a challenge. There have been several calls for improvements and standardization of proteomics data analysis frameworks, as well as for an application- programming interface for proteomics data access4,5. In response, we have developed the ProteoWizard Toolkit, a robust set of open-source, software libraries and applications designed to facilitate proteomics research. The libraries implement the first-ever, non-commercial, unified data access interface for proteomics, bridging field-standard open formats and all common vendor formats. In addition, diverse software classes enable rapid development of vendor-agnostic proteomics software. Additionally, ProteoWizard projects and applications, building upon the core libraries, are becoming standard tools for enabling significant proteomics inquiries.","author":[{"dropping-particle":"","family":"Chambers","given":"Matthew C","non-dropping-particle":"","parse-names":false,"suffix":""},{"dropping-particle":"","family":"Maclean","given":"Brendan","non-dropping-particle":"","parse-names":false,"suffix":""},{"dropping-particle":"","family":"Burke","given":"Robert","non-dropping-particle":"","parse-names":false,"suffix":""},{"dropping-particle":"","family":"Amodei","given":"Dario","non-dropping-particle":"","parse-names":false,"suffix":""},{"dropping-particle":"","family":"Ruderman","given":"Daniel L","non-dropping-particle":"","parse-names":false,"suffix":""},{"dropping-particle":"","family":"Neumann","given":"Steffen","non-dropping-particle":"","parse-names":false,"suffix":""},{"dropping-particle":"","family":"Gatto","given":"Laurent","non-dropping-particle":"","parse-names":false,"suffix":""},{"dropping-particle":"","family":"Fischer","given":"Bernd","non-dropping-particle":"","parse-names":false,"suffix":""},{"dropping-particle":"","family":"Pratt","given":"Brian","non-dropping-particle":"","parse-names":false,"suffix":""},{"dropping-particle":"","family":"Egertson","given":"Jarrett","non-dropping-particle":"","parse-names":false,"suffix":""},{"dropping-particle":"","family":"Hoff","given":"Katherine","non-dropping-particle":"","parse-names":false,"suffix":""},{"dropping-particle":"","family":"Kessner","given":"Darren","non-dropping-particle":"","parse-names":false,"suffix":""},{"dropping-particle":"","family":"Tasman","given":"Natalie","non-dropping-particle":"","parse-names":false,"suffix":""},{"dropping-particle":"","family":"Shulman","given":"Nicholas","non-dropping-particle":"","parse-names":false,"suffix":""},{"dropping-particle":"","family":"Frewen","given":"Barbara","non-dropping-particle":"","parse-names":false,"suffix":""},{"dropping-particle":"","family":"Baker","given":"Tahmina A","non-dropping-particle":"","parse-names":false,"suffix":""},{"dropping-particle":"","family":"Brusniak","given":"Mi-Youn","non-dropping-particle":"","parse-names":false,"suffix":""},{"dropping-particle":"","family":"Paulse","given":"Christopher","non-dropping-particle":"","parse-names":false,"suffix":""},{"dropping-particle":"","family":"Creasy","given":"David","non-dropping-particle":"","parse-names":false,"suffix":""},{"dropping-particle":"","family":"Flashner","given":"Lisa","non-dropping-particle":"","parse-names":false,"suffix":""},{"dropping-particle":"","family":"Kani","given":"Kian","non-dropping-particle":"","parse-names":false,"suffix":""},{"dropping-particle":"","family":"Moulding","given":"Chris","non-dropping-particle":"","parse-names":false,"suffix":""},{"dropping-particle":"","family":"Seymour","given":"Sean L","non-dropping-particle":"","parse-names":false,"suffix":""},{"dropping-particle":"","family":"Nuwaysir","given":"Lydia M","non-dropping-particle":"","parse-names":false,"suffix":""},{"dropping-particle":"","family":"Lefebvre","given":"Brent","non-dropping-particle":"","parse-names":false,"suffix":""},{"dropping-particle":"","family":"Kuhlmann","given":"Frank","non-dropping-particle":"","parse-names":false,"suffix":""},{"dropping-particle":"","family":"Roark","given":"Joe","non-dropping-particle":"","parse-names":false,"suffix":""},{"dropping-particle":"","family":"Rainer","given":"Paape","non-dropping-particle":"","parse-names":false,"suffix":""},{"dropping-particle":"","family":"Detlev","given":"Suckau","non-dropping-particle":"","parse-names":false,"suffix":""},{"dropping-particle":"","family":"Hemenway","given":"Tina","non-dropping-particle":"","parse-names":false,"suffix":""},{"dropping-particle":"","family":"Huhmer","given":"Andreas","non-dropping-particle":"","parse-names":false,"suffix":""},{"dropping-particle":"","family":"Langridge","given":"James","non-dropping-particle":"","parse-names":false,"suffix":""},{"dropping-particle":"","family":"Connolly","given":"Brian","non-dropping-particle":"","parse-names":false,"suffix":""},{"dropping-particle":"","family":"Chadick","given":"Trey","non-dropping-particle":"","parse-names":false,"suffix":""},{"dropping-particle":"","family":"Holly","given":"Krisztina","non-dropping-particle":"","parse-names":false,"suffix":""},{"dropping-particle":"","family":"Eckels","given":"Josh","non-dropping-particle":"","parse-names":false,"suffix":""},{"dropping-particle":"","family":"Deutsch","given":"Eric W","non-dropping-particle":"","parse-names":false,"suffix":""},{"dropping-particle":"","family":"Moritz","given":"Robert L","non-dropping-particle":"","parse-names":false,"suffix":""},{"dropping-particle":"","family":"Katz","given":"Jonathan E","non-dropping-particle":"","parse-names":false,"suffix":""},{"dropping-particle":"","family":"Agus","given":"David B","non-dropping-particle":"","parse-names":false,"suffix":""},{"dropping-particle":"","family":"MacCoss","given":"Michael","non-dropping-particle":"","parse-names":false,"suffix":""},{"dropping-particle":"","family":"Tabb","given":"David L","non-dropping-particle":"","parse-names":false,"suffix":""},{"dropping-particle":"","family":"Mallick","given":"Parag","non-dropping-particle":"","parse-names":false,"suffix":""}],"container-title":"Nature Biotechnology","id":"ITEM-1","issue":"10","issued":{"date-parts":[["2012"]]},"page":"918-920","title":"A cross-platform toolkit for mass spectrometry and proteomics","type":"article-journal","volume":"30"},"uris":["http://www.mendeley.com/documents/?uuid=ddae3bb1-e2d9-4551-8e01-279f63da7e17"]}],"mendeley":{"formattedCitation":"&lt;sup&gt;98&lt;/sup&gt;","plainTextFormattedCitation":"98","previouslyFormattedCitation":"&lt;sup&gt;98&lt;/sup&gt;"},"properties":{"noteIndex":0},"schema":"https://github.com/citation-style-language/schema/raw/master/csl-citation.json"}</w:instrText>
      </w:r>
      <w:r w:rsidR="00DA731C" w:rsidRPr="00901194">
        <w:rPr>
          <w:rFonts w:cs="Times New Roman"/>
        </w:rPr>
        <w:fldChar w:fldCharType="separate"/>
      </w:r>
      <w:r w:rsidR="00DA731C" w:rsidRPr="00901194">
        <w:rPr>
          <w:rFonts w:cs="Times New Roman"/>
          <w:noProof/>
          <w:vertAlign w:val="superscript"/>
        </w:rPr>
        <w:t>98</w:t>
      </w:r>
      <w:r w:rsidR="00DA731C" w:rsidRPr="00901194">
        <w:rPr>
          <w:rFonts w:cs="Times New Roman"/>
        </w:rPr>
        <w:fldChar w:fldCharType="end"/>
      </w:r>
      <w:r w:rsidR="00CD3406" w:rsidRPr="00901194">
        <w:rPr>
          <w:rFonts w:cs="Times New Roman"/>
        </w:rPr>
        <w:t xml:space="preserve"> v</w:t>
      </w:r>
      <w:r w:rsidR="0028094F" w:rsidRPr="00901194">
        <w:rPr>
          <w:rFonts w:cs="Times New Roman"/>
          <w:szCs w:val="24"/>
        </w:rPr>
        <w:t xml:space="preserve"> v3.0.19014</w:t>
      </w:r>
      <w:r w:rsidR="00EE7BA0" w:rsidRPr="00901194">
        <w:rPr>
          <w:rFonts w:cs="Times New Roman"/>
        </w:rPr>
        <w:t xml:space="preserve">. </w:t>
      </w:r>
      <w:r w:rsidR="00C357FC" w:rsidRPr="00901194">
        <w:rPr>
          <w:rFonts w:cs="Times New Roman"/>
        </w:rPr>
        <w:t>All files (.raw and .mzXML) were uploaded to MassIVE</w:t>
      </w:r>
      <w:r w:rsidR="00DA731C" w:rsidRPr="00901194">
        <w:rPr>
          <w:rFonts w:cs="Times New Roman"/>
        </w:rPr>
        <w:fldChar w:fldCharType="begin" w:fldLock="1"/>
      </w:r>
      <w:r w:rsidR="00DA731C" w:rsidRPr="00901194">
        <w:rPr>
          <w:rFonts w:cs="Times New Roman"/>
        </w:rPr>
        <w:instrText>ADDIN CSL_CITATION {"citationItems":[{"id":"ITEM-1","itemData":{"author":[{"dropping-particle":"","family":"Aron","given":"Allegra T.","non-dropping-particle":"","parse-names":false,"suffix":""},{"dropping-particle":"","family":"Gentry","given":"Emily C.","non-dropping-particle":"","parse-names":false,"suffix":""},{"dropping-particle":"","family":"McPhail","given":"Kerry L.","non-dropping-particle":"","parse-names":false,"suffix":""},{"dropping-particle":"","family":"Nothias","given":"Louis Felix","non-dropping-particle":"","parse-names":false,"suffix":""},{"dropping-particle":"","family":"Nothias-Esposito","given":"Melissa","non-dropping-particle":"","parse-names":false,"suffix":""},{"dropping-particle":"","family":"Bousilmani","given":"Amina","non-dropping-particle":"","parse-names":false,"suffix":""},{"dropping-particle":"","family":"Petras","given":"Daniel","non-dropping-particle":"","parse-names":false,"suffix":""},{"dropping-particle":"","family":"Gauglitz","given":"Julia M.","non-dropping-particle":"","parse-names":false,"suffix":""},{"dropping-particle":"","family":"Sikora","given":"Nicole","non-dropping-particle":"","parse-names":false,"suffix":""},{"dropping-particle":"","family":"Vargas","given":"Fernando","non-dropping-particle":"","parse-names":false,"suffix":""},{"dropping-particle":"","family":"Hooft","given":"Justin J.J.","non-dropping-particle":"van der","parse-names":false,"suffix":""},{"dropping-particle":"","family":"Ernst","given":"Madeleine","non-dropping-particle":"","parse-names":false,"suffix":""},{"dropping-particle":"","family":"Kang","given":"Kyo","non-dropping-particle":"Bin","parse-names":false,"suffix":""},{"dropping-particle":"","family":"Aceves","given":"Christine M.","non-dropping-particle":"","parse-names":false,"suffix":""},{"dropping-particle":"","family":"Mauricio","given":"Caraballo-Rodriguez Andres","non-dropping-particle":"","parse-names":false,"suffix":""},{"dropping-particle":"","family":"Koester","given":"Irina","non-dropping-particle":"","parse-names":false,"suffix":""},{"dropping-particle":"","family":"Weldon","given":"Kelly C.","non-dropping-particle":"","parse-names":false,"suffix":""},{"dropping-particle":"","family":"Bertrand","given":"Samuel","non-dropping-particle":"","parse-names":false,"suffix":""},{"dropping-particle":"","family":"Roullier","given":"Catherine","non-dropping-particle":"","parse-names":false,"suffix":""},{"dropping-particle":"","family":"Sun","given":"Kunyang","non-dropping-particle":"","parse-names":false,"suffix":""},{"dropping-particle":"","family":"Tehan","given":"Richard M.","non-dropping-particle":"","parse-names":false,"suffix":""},{"dropping-particle":"","family":"Boya","given":"Christopher A.","non-dropping-particle":"","parse-names":false,"suffix":""},{"dropping-particle":"","family":"Martin H.","given":"Christian","non-dropping-particle":"","parse-names":false,"suffix":""},{"dropping-particle":"","family":"Gutierrez","given":"Marcelino","non-dropping-particle":"","parse-names":false,"suffix":""},{"dropping-particle":"","family":"Ulloa","given":"Aldo Moreno","non-dropping-particle":"","parse-names":false,"suffix":""},{"dropping-particle":"","family":"Mora","given":"Javier Andres Tejeda","non-dropping-particle":"","parse-names":false,"suffix":""},{"dropping-particle":"","family":"Mojica-Flores","given":"Randy","non-dropping-particle":"","parse-names":false,"suffix":""},{"dropping-particle":"","family":"Lakey-Beitia","given":"Johant","non-dropping-particle":"","parse-names":false,"suffix":""},{"dropping-particle":"","family":"Vasquez-Chaves","given":"Victor","non-dropping-particle":"","parse-names":false,"suffix":""},{"dropping-particle":"","family":"Zhang","given":"Yilue","non-dropping-particle":"","parse-names":false,"suffix":""},{"dropping-particle":"","family":"Calderon","given":"Angela I.","non-dropping-particle":"","parse-names":false,"suffix":""},{"dropping-particle":"","family":"Tayler","given":"Nicole","non-dropping-particle":"","parse-names":false,"suffix":""},{"dropping-particle":"","family":"Keyzers","given":"Robert A.","non-dropping-particle":"","parse-names":false,"suffix":""},{"dropping-particle":"","family":"Tugizimana","given":"Fidele","non-dropping-particle":"","parse-names":false,"suffix":""},{"dropping-particle":"","family":"Ndlovu","given":"Nombuso","non-dropping-particle":"","parse-names":false,"suffix":""},{"dropping-particle":"","family":"Aksenov","given":"Alexander A.","non-dropping-particle":"","parse-names":false,"suffix":""},{"dropping-particle":"","family":"Jarmusch","given":"Alan","non-dropping-particle":"","parse-names":false,"suffix":""},{"dropping-particle":"","family":"Schmid","given":"Robin","non-dropping-particle":"","parse-names":false,"suffix":""},{"dropping-particle":"","family":"Truman","given":"Andrew W.","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C.","non-dropping-particle":"","parse-names":false,"suffix":""}],"container-title":"ChemRxiv","id":"ITEM-1","issued":{"date-parts":[["2019"]]},"note":"Describes workflow for processing MS-based mtbm data. McCall lab/protocols use these processes","title":"Reproducible Molecular Networking of Untargeted Mass Spectrometry Data Using GNPS","type":"article-journal"},"uris":["http://www.mendeley.com/documents/?uuid=5c028a8f-063d-4762-a3e2-37e5de078552"]}],"mendeley":{"formattedCitation":"&lt;sup&gt;46&lt;/sup&gt;","plainTextFormattedCitation":"46","previouslyFormattedCitation":"&lt;sup&gt;46&lt;/sup&gt;"},"properties":{"noteIndex":0},"schema":"https://github.com/citation-style-language/schema/raw/master/csl-citation.json"}</w:instrText>
      </w:r>
      <w:r w:rsidR="00DA731C" w:rsidRPr="00901194">
        <w:rPr>
          <w:rFonts w:cs="Times New Roman"/>
        </w:rPr>
        <w:fldChar w:fldCharType="separate"/>
      </w:r>
      <w:r w:rsidR="00DA731C" w:rsidRPr="00901194">
        <w:rPr>
          <w:rFonts w:cs="Times New Roman"/>
          <w:noProof/>
          <w:vertAlign w:val="superscript"/>
        </w:rPr>
        <w:t>46</w:t>
      </w:r>
      <w:r w:rsidR="00DA731C" w:rsidRPr="00901194">
        <w:rPr>
          <w:rFonts w:cs="Times New Roman"/>
        </w:rPr>
        <w:fldChar w:fldCharType="end"/>
      </w:r>
      <w:r w:rsidR="00C357FC" w:rsidRPr="00901194">
        <w:rPr>
          <w:rFonts w:cs="Times New Roman"/>
        </w:rPr>
        <w:t xml:space="preserve"> (also see Data Availability) for storage and </w:t>
      </w:r>
      <w:r w:rsidR="00DA731C" w:rsidRPr="00901194">
        <w:rPr>
          <w:rFonts w:cs="Times New Roman"/>
        </w:rPr>
        <w:t xml:space="preserve">to </w:t>
      </w:r>
      <w:r w:rsidR="00C357FC" w:rsidRPr="00901194">
        <w:rPr>
          <w:rFonts w:cs="Times New Roman"/>
        </w:rPr>
        <w:t>enable classical molecular networking analyses</w:t>
      </w:r>
      <w:r w:rsidR="00DA731C" w:rsidRPr="00901194">
        <w:rPr>
          <w:rFonts w:cs="Times New Roman"/>
        </w:rPr>
        <w:fldChar w:fldCharType="begin" w:fldLock="1"/>
      </w:r>
      <w:r w:rsidR="00491844" w:rsidRPr="00901194">
        <w:rPr>
          <w:rFonts w:cs="Times New Roman"/>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00DA731C" w:rsidRPr="00901194">
        <w:rPr>
          <w:rFonts w:cs="Times New Roman"/>
        </w:rPr>
        <w:fldChar w:fldCharType="separate"/>
      </w:r>
      <w:r w:rsidR="00DA731C" w:rsidRPr="00901194">
        <w:rPr>
          <w:rFonts w:cs="Times New Roman"/>
          <w:noProof/>
          <w:vertAlign w:val="superscript"/>
        </w:rPr>
        <w:t>45</w:t>
      </w:r>
      <w:r w:rsidR="00DA731C" w:rsidRPr="00901194">
        <w:rPr>
          <w:rFonts w:cs="Times New Roman"/>
        </w:rPr>
        <w:fldChar w:fldCharType="end"/>
      </w:r>
      <w:r w:rsidR="00C357FC" w:rsidRPr="00901194">
        <w:rPr>
          <w:rFonts w:cs="Times New Roman"/>
        </w:rPr>
        <w:t xml:space="preserve">. </w:t>
      </w:r>
      <w:r w:rsidR="00DA731C" w:rsidRPr="00901194">
        <w:rPr>
          <w:rFonts w:cs="Times New Roman"/>
        </w:rPr>
        <w:t>Molecular networking was done using the “Metabolomics-SNETS-V2” GNPS v30 workflow. Classical molecular networking parameters were</w:t>
      </w:r>
      <w:r w:rsidR="0038647F" w:rsidRPr="00901194">
        <w:rPr>
          <w:rFonts w:cs="Times New Roman"/>
        </w:rPr>
        <w:t xml:space="preserve"> as follows</w:t>
      </w:r>
      <w:r w:rsidR="00DA731C" w:rsidRPr="00901194">
        <w:rPr>
          <w:rFonts w:cs="Times New Roman"/>
        </w:rPr>
        <w:t xml:space="preserve">: precursor ion mass tolerance was 0.02 Da, fragment ion mass tolerance was 0.02 Da; </w:t>
      </w:r>
      <w:r w:rsidR="005B5785" w:rsidRPr="00901194">
        <w:rPr>
          <w:rFonts w:cs="Times New Roman"/>
        </w:rPr>
        <w:t>advanced networking options: minimum pairs cosine score was 0.7,</w:t>
      </w:r>
      <w:r w:rsidR="0038647F" w:rsidRPr="00901194">
        <w:rPr>
          <w:rFonts w:cs="Times New Roman"/>
        </w:rPr>
        <w:t xml:space="preserve"> network TopK was 10, maximum connected component size was 100, minimum matched fragment ions was 4, minimum cluster size was 2 with MSCluster enabled, and maximum precursor ion shift was 500 Da; advanced library search options: default spectral libraries were selected, library search minimum matched peaks was 4, analog searches was enabled, minimum cosine score threshold was 0.7, and maximum analog search mass difference was 100; advanced filtering options: filter below standard deviation was 0, filter precursor window was enabled, filtered peaks in 50 Da window as enabled, filtered spectra from Group 6 as blanks before networking was enabled, minimum peak intensity was 0, and filtered libraries was enabled.</w:t>
      </w:r>
      <w:r w:rsidR="00491844" w:rsidRPr="00901194">
        <w:rPr>
          <w:rFonts w:cs="Times New Roman"/>
        </w:rPr>
        <w:t xml:space="preserve"> </w:t>
      </w:r>
    </w:p>
    <w:p w14:paraId="5B3C84A5" w14:textId="4892C5E4" w:rsidR="004E1021" w:rsidRPr="00901194" w:rsidRDefault="00491844" w:rsidP="00C93B0F">
      <w:pPr>
        <w:ind w:firstLine="720"/>
        <w:rPr>
          <w:rFonts w:cs="Times New Roman"/>
        </w:rPr>
      </w:pPr>
      <w:r w:rsidRPr="00901194">
        <w:rPr>
          <w:rFonts w:cs="Times New Roman"/>
        </w:rPr>
        <w:t xml:space="preserve">Once </w:t>
      </w:r>
      <w:r w:rsidR="00C93B0F" w:rsidRPr="00901194">
        <w:rPr>
          <w:rFonts w:cs="Times New Roman"/>
        </w:rPr>
        <w:t xml:space="preserve">molecular networking was </w:t>
      </w:r>
      <w:r w:rsidRPr="00901194">
        <w:rPr>
          <w:rFonts w:cs="Times New Roman"/>
        </w:rPr>
        <w:t>completed, the MolNetEnhancer</w:t>
      </w:r>
      <w:r w:rsidRPr="00901194">
        <w:rPr>
          <w:rFonts w:cs="Times New Roman"/>
        </w:rPr>
        <w:fldChar w:fldCharType="begin" w:fldLock="1"/>
      </w:r>
      <w:r w:rsidR="004F4263" w:rsidRPr="00901194">
        <w:rPr>
          <w:rFonts w:cs="Times New Roman"/>
        </w:rPr>
        <w:instrText>ADDIN CSL_CITATION {"citationItems":[{"id":"ITEM-1","itemData":{"DOI":"10.3390/metabo9070144","ISSN":"2218-1989","abstract":"Metabolomics has started to embrace computational approaches for chemical interpretation of large data sets. Yet, metabolite annotation remains a key challenge. Recently, molecular networking and MS2LDA emerged as molecular mining tools that find molecular families and substructures in mass spectrometry fragmentation data. Moreover, in silico annotation tools obtain and rank candidate molecules for fragmentation spectra. Ideally, all structural information obtained and inferred from these computational tools could be combined to increase the resulting chemical insight one can obtain from a data set. However, integration is currently hampered as each tool has its own output format and efficient matching of data across these tools is lacking. Here, we introduce MolNetEnhancer, a workflow that combines the outputs from molecular networking, MS2LDA, in silico annotation tools (such as Network Annotation Propagation or DEREPLICATOR), and the automated chemical classification through ClassyFire to provide a more comprehensive chemical overview of metabolomics data whilst at the same time illuminating structural details for each fragmentation spectrum. We present examples from four plant and bacterial case studies and show how MolNetEnhancer enables the chemical annotation, visualization, and discovery of the subtle substructural diversity within molecular families. We conclude that MolNetEnhancer is a useful tool that greatly assists the metabolomics researcher in deciphering the metabolome through combination of multiple independent in silico pipelines.","author":[{"dropping-particle":"","family":"Ernst","given":"Madeleine","non-dropping-particle":"","parse-names":false,"suffix":""},{"dropping-particle":"Bin","family":"Kang","given":"Kyo","non-dropping-particle":"","parse-names":false,"suffix":""},{"dropping-particle":"","family":"Caraballo-Rodríguez","given":"Andrés Mauricio","non-dropping-particle":"","parse-names":false,"suffix":""},{"dropping-particle":"","family":"Nothias","given":"Louis-Felix","non-dropping-particle":"","parse-names":false,"suffix":""},{"dropping-particle":"","family":"Wandy","given":"Joe","non-dropping-particle":"","parse-names":false,"suffix":""},{"dropping-particle":"","family":"Chen","given":"Christopher","non-dropping-particle":"","parse-names":false,"suffix":""},{"dropping-particle":"","family":"Wang","given":"Mingxun","non-dropping-particle":"","parse-names":false,"suffix":""},{"dropping-particle":"","family":"Rogers","given":"Simon","non-dropping-particle":"","parse-names":false,"suffix":""},{"dropping-particle":"","family":"Medema","given":"Marnix H.","non-dropping-particle":"","parse-names":false,"suffix":""},{"dropping-particle":"","family":"Dorrestein","given":"Pieter C.","non-dropping-particle":"","parse-names":false,"suffix":""},{"dropping-particle":"","family":"Hooft","given":"Justin J.J.","non-dropping-particle":"van der","parse-names":false,"suffix":""}],"container-title":"Metabolites","id":"ITEM-1","issue":"7","issued":{"date-parts":[["2019"]]},"note":"Summary: Paper describes MolNetEnhancer, which takes MS2 info about molecular networking and chemical families, then calculates/estimates what chemical class best matches to that molecular network for each metabolite feature. Provides ways of getting more annotation info/details about metabolite features in your data, and designed to integrate with existing LC-MS/MS data analysis tools like GNPS and FBMN. Also discusses 4 case studies that show how MolNetEnhancer enhances chemical info in datasets.\nAssessment: Overall good, but hard to understand by itself. Think I get the general gist and how it works though\n\n\nPresents case studies showing how MolNetEnhancer provided more info about detected metab features by giving estimated chemical class info (derived from molecular networking that groups by chemical structure)\n\nBased upon Mass2Motifs principle\n\nMolNetEnhancer is a Python and R package","page":"144","title":"MolNetEnhancer: Enhanced Molecular Networks by Integrating Metabolome Mining and Annotation Tools","type":"article-journal","volume":"9"},"uris":["http://www.mendeley.com/documents/?uuid=182fc1cc-64df-4bee-8e11-0642f1f32c90"]}],"mendeley":{"formattedCitation":"&lt;sup&gt;105&lt;/sup&gt;","plainTextFormattedCitation":"105","previouslyFormattedCitation":"&lt;sup&gt;105&lt;/sup&gt;"},"properties":{"noteIndex":0},"schema":"https://github.com/citation-style-language/schema/raw/master/csl-citation.json"}</w:instrText>
      </w:r>
      <w:r w:rsidRPr="00901194">
        <w:rPr>
          <w:rFonts w:cs="Times New Roman"/>
        </w:rPr>
        <w:fldChar w:fldCharType="separate"/>
      </w:r>
      <w:r w:rsidRPr="00901194">
        <w:rPr>
          <w:rFonts w:cs="Times New Roman"/>
          <w:noProof/>
          <w:vertAlign w:val="superscript"/>
        </w:rPr>
        <w:t>105</w:t>
      </w:r>
      <w:r w:rsidRPr="00901194">
        <w:rPr>
          <w:rFonts w:cs="Times New Roman"/>
        </w:rPr>
        <w:fldChar w:fldCharType="end"/>
      </w:r>
      <w:r w:rsidRPr="00901194">
        <w:rPr>
          <w:rFonts w:cs="Times New Roman"/>
        </w:rPr>
        <w:t xml:space="preserve"> </w:t>
      </w:r>
      <w:r w:rsidR="001F468B" w:rsidRPr="00901194">
        <w:rPr>
          <w:rFonts w:cs="Times New Roman"/>
        </w:rPr>
        <w:t xml:space="preserve">v22 </w:t>
      </w:r>
      <w:r w:rsidRPr="00901194">
        <w:rPr>
          <w:rFonts w:cs="Times New Roman"/>
        </w:rPr>
        <w:t>workflow</w:t>
      </w:r>
      <w:r w:rsidR="004F4263" w:rsidRPr="00901194">
        <w:rPr>
          <w:rFonts w:cs="Times New Roman"/>
        </w:rPr>
        <w:t xml:space="preserve"> was </w:t>
      </w:r>
      <w:r w:rsidR="00C93B0F" w:rsidRPr="00901194">
        <w:rPr>
          <w:rFonts w:cs="Times New Roman"/>
        </w:rPr>
        <w:t>used</w:t>
      </w:r>
      <w:r w:rsidR="004F4263" w:rsidRPr="00901194">
        <w:rPr>
          <w:rFonts w:cs="Times New Roman"/>
        </w:rPr>
        <w:t xml:space="preserve"> to </w:t>
      </w:r>
      <w:r w:rsidR="00C93B0F" w:rsidRPr="00901194">
        <w:rPr>
          <w:rFonts w:cs="Times New Roman"/>
        </w:rPr>
        <w:t xml:space="preserve">estimate </w:t>
      </w:r>
      <w:r w:rsidR="004F4263" w:rsidRPr="00901194">
        <w:rPr>
          <w:rFonts w:cs="Times New Roman"/>
        </w:rPr>
        <w:t xml:space="preserve">chemical taxonomic classifications for level 3 annotations according to the </w:t>
      </w:r>
      <w:r w:rsidR="004F4263" w:rsidRPr="00901194">
        <w:rPr>
          <w:rFonts w:cs="Times New Roman"/>
        </w:rPr>
        <w:lastRenderedPageBreak/>
        <w:t>MSI</w:t>
      </w:r>
      <w:r w:rsidR="004F4263" w:rsidRPr="00901194">
        <w:rPr>
          <w:rFonts w:cs="Times New Roman"/>
        </w:rPr>
        <w:fldChar w:fldCharType="begin" w:fldLock="1"/>
      </w:r>
      <w:r w:rsidR="00A96B22"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4F4263" w:rsidRPr="00901194">
        <w:rPr>
          <w:rFonts w:cs="Times New Roman"/>
        </w:rPr>
        <w:fldChar w:fldCharType="separate"/>
      </w:r>
      <w:r w:rsidR="004F4263" w:rsidRPr="00901194">
        <w:rPr>
          <w:rFonts w:cs="Times New Roman"/>
          <w:noProof/>
          <w:vertAlign w:val="superscript"/>
        </w:rPr>
        <w:t>41</w:t>
      </w:r>
      <w:r w:rsidR="004F4263" w:rsidRPr="00901194">
        <w:rPr>
          <w:rFonts w:cs="Times New Roman"/>
        </w:rPr>
        <w:fldChar w:fldCharType="end"/>
      </w:r>
      <w:r w:rsidR="004F4263" w:rsidRPr="00901194">
        <w:rPr>
          <w:rFonts w:cs="Times New Roman"/>
        </w:rPr>
        <w:t xml:space="preserve">. </w:t>
      </w:r>
      <w:r w:rsidR="00C93B0F" w:rsidRPr="00901194">
        <w:rPr>
          <w:rFonts w:cs="Times New Roman"/>
        </w:rPr>
        <w:t xml:space="preserve">MolNetEnhancer </w:t>
      </w:r>
      <w:r w:rsidR="00C51849" w:rsidRPr="00901194">
        <w:rPr>
          <w:rFonts w:cs="Times New Roman"/>
        </w:rPr>
        <w:t xml:space="preserve">data </w:t>
      </w:r>
      <w:r w:rsidRPr="00901194">
        <w:rPr>
          <w:rFonts w:cs="Times New Roman"/>
        </w:rPr>
        <w:t>were exported to Cytoscape</w:t>
      </w:r>
      <w:r w:rsidRPr="00901194">
        <w:rPr>
          <w:rFonts w:cs="Times New Roman"/>
        </w:rPr>
        <w:fldChar w:fldCharType="begin" w:fldLock="1"/>
      </w:r>
      <w:r w:rsidRPr="00901194">
        <w:rPr>
          <w:rFonts w:cs="Times New Roman"/>
        </w:rPr>
        <w:instrText>ADDIN CSL_CITATION {"citationItems":[{"id":"ITEM-1","itemData":{"DOI":"10.1101/gr.1239303.metabolite","ISBN":"1088-9051 (Print) 1088-9051 (Linking)","ISSN":"1088-9051","PMID":"14597658","abstract":"Cytoscape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author":[{"dropping-particle":"","family":"Shannon","given":"Paul","non-dropping-particle":"","parse-names":false,"suffix":""},{"dropping-particle":"","family":"Markiel","given":"Andrew","non-dropping-particle":"","parse-names":false,"suffix":""},{"dropping-particle":"","family":"Ozier","given":"Owen","non-dropping-particle":"","parse-names":false,"suffix":""},{"dropping-particle":"","family":"Baliga","given":"Nitin S.","non-dropping-particle":"","parse-names":false,"suffix":""},{"dropping-particle":"","family":"Wang","given":"Jonathan T.","non-dropping-particle":"","parse-names":false,"suffix":""},{"dropping-particle":"","family":"Ramage","given":"Daniel","non-dropping-particle":"","parse-names":false,"suffix":""},{"dropping-particle":"","family":"Amin","given":"Nada","non-dropping-particle":"","parse-names":false,"suffix":""},{"dropping-particle":"","family":"Schikowski","given":"Benno","non-dropping-particle":"","parse-names":false,"suffix":""},{"dropping-particle":"","family":"Ideker","given":"Trey","non-dropping-particle":"","parse-names":false,"suffix":""}],"container-title":"Genome Research","id":"ITEM-1","issued":{"date-parts":[["2003"]]},"page":"2498-2504","title":"Cytoscape: A Software Environment for Integrated Models","type":"article-journal","volume":"13"},"uris":["http://www.mendeley.com/documents/?uuid=efe6b25c-e11a-48d6-b318-db1a486bcade"]}],"mendeley":{"formattedCitation":"&lt;sup&gt;103&lt;/sup&gt;","plainTextFormattedCitation":"103","previouslyFormattedCitation":"&lt;sup&gt;103&lt;/sup&gt;"},"properties":{"noteIndex":0},"schema":"https://github.com/citation-style-language/schema/raw/master/csl-citation.json"}</w:instrText>
      </w:r>
      <w:r w:rsidRPr="00901194">
        <w:rPr>
          <w:rFonts w:cs="Times New Roman"/>
        </w:rPr>
        <w:fldChar w:fldCharType="separate"/>
      </w:r>
      <w:r w:rsidRPr="00901194">
        <w:rPr>
          <w:rFonts w:cs="Times New Roman"/>
          <w:noProof/>
          <w:vertAlign w:val="superscript"/>
        </w:rPr>
        <w:t>103</w:t>
      </w:r>
      <w:r w:rsidRPr="00901194">
        <w:rPr>
          <w:rFonts w:cs="Times New Roman"/>
        </w:rPr>
        <w:fldChar w:fldCharType="end"/>
      </w:r>
      <w:r w:rsidRPr="00901194">
        <w:rPr>
          <w:rFonts w:cs="Times New Roman"/>
        </w:rPr>
        <w:t xml:space="preserve"> v3.9.1 to visualize and inspect molecular networks</w:t>
      </w:r>
      <w:r w:rsidR="004F4263" w:rsidRPr="00901194">
        <w:rPr>
          <w:rFonts w:cs="Times New Roman"/>
        </w:rPr>
        <w:t>.</w:t>
      </w:r>
      <w:r w:rsidR="00E51E43" w:rsidRPr="00901194">
        <w:rPr>
          <w:rFonts w:cs="Times New Roman"/>
        </w:rPr>
        <w:t xml:space="preserve"> </w:t>
      </w:r>
      <w:r w:rsidR="004E1021" w:rsidRPr="00901194">
        <w:rPr>
          <w:rFonts w:cs="Times New Roman"/>
        </w:rPr>
        <w:t>World map used in Figure 4.1 was made using the “rworldmap” package</w:t>
      </w:r>
      <w:r w:rsidR="004E1021" w:rsidRPr="00901194">
        <w:rPr>
          <w:rFonts w:cs="Times New Roman"/>
        </w:rPr>
        <w:fldChar w:fldCharType="begin" w:fldLock="1"/>
      </w:r>
      <w:r w:rsidR="00D252A4" w:rsidRPr="00901194">
        <w:rPr>
          <w:rFonts w:cs="Times New Roman"/>
        </w:rPr>
        <w:instrText>ADDIN CSL_CITATION {"citationItems":[{"id":"ITEM-1","itemData":{"DOI":"10.32614/rj-2011-006","ISSN":"20734859","abstract":"rworldmap is a relatively new package available on CRAN for the mapping and visualisation of global data. The vision is to make the display of global data easier, to facilitate understanding and communication. The initial focus is on data referenced by country or grid due to the frequency of use of such data in global assessments. Tools to link data referenced by country (either name or code) to a map, and then to display the map are provided as are functions to map global gridded data. Country and gridded functions accept the same arguments to specify the nature of categories and colour and how legends are formatted. This package builds on the functionality of existing packages, particularly sp, maptools and fields. Example code is provided to produce maps, to link with the packages classInt, RColorBrewer and ncdf, and to plot examples of publicly available country and gridded data.","author":[{"dropping-particle":"","family":"South","given":"Andy","non-dropping-particle":"","parse-names":false,"suffix":""}],"container-title":"R Journal","id":"ITEM-1","issue":"1","issued":{"date-parts":[["2011"]]},"page":"35-43","title":"rworldmap: A new R package for mapping global data","type":"article-journal","volume":"3"},"uris":["http://www.mendeley.com/documents/?uuid=8f84645d-d6b7-4649-98ce-0c5d79c565d1"]}],"mendeley":{"formattedCitation":"&lt;sup&gt;120&lt;/sup&gt;","plainTextFormattedCitation":"120","previouslyFormattedCitation":"&lt;sup&gt;120&lt;/sup&gt;"},"properties":{"noteIndex":0},"schema":"https://github.com/citation-style-language/schema/raw/master/csl-citation.json"}</w:instrText>
      </w:r>
      <w:r w:rsidR="004E1021" w:rsidRPr="00901194">
        <w:rPr>
          <w:rFonts w:cs="Times New Roman"/>
        </w:rPr>
        <w:fldChar w:fldCharType="separate"/>
      </w:r>
      <w:r w:rsidR="004E1021" w:rsidRPr="00901194">
        <w:rPr>
          <w:rFonts w:cs="Times New Roman"/>
          <w:noProof/>
          <w:vertAlign w:val="superscript"/>
        </w:rPr>
        <w:t>120</w:t>
      </w:r>
      <w:r w:rsidR="004E1021" w:rsidRPr="00901194">
        <w:rPr>
          <w:rFonts w:cs="Times New Roman"/>
        </w:rPr>
        <w:fldChar w:fldCharType="end"/>
      </w:r>
      <w:r w:rsidR="004E1021" w:rsidRPr="00901194">
        <w:rPr>
          <w:rFonts w:cs="Times New Roman"/>
        </w:rPr>
        <w:t xml:space="preserve">. Parts of Figure 4.2 (i.e., tubes, MS instrument, etc.) were created with </w:t>
      </w:r>
      <w:hyperlink r:id="rId50" w:history="1">
        <w:r w:rsidR="004E1021" w:rsidRPr="00901194">
          <w:rPr>
            <w:rStyle w:val="Hyperlink"/>
            <w:rFonts w:cs="Times New Roman"/>
          </w:rPr>
          <w:t>BioRender.com</w:t>
        </w:r>
      </w:hyperlink>
      <w:r w:rsidR="004E1021" w:rsidRPr="00901194">
        <w:rPr>
          <w:rFonts w:cs="Times New Roman"/>
        </w:rPr>
        <w:t>.</w:t>
      </w:r>
      <w:r w:rsidR="002D780B">
        <w:rPr>
          <w:rFonts w:cs="Times New Roman"/>
        </w:rPr>
        <w:t xml:space="preserve"> Statistical analyses were performed using PERMANOVA</w:t>
      </w:r>
      <w:r w:rsidR="002D780B">
        <w:rPr>
          <w:rFonts w:cs="Times New Roman"/>
        </w:rPr>
        <w:fldChar w:fldCharType="begin" w:fldLock="1"/>
      </w:r>
      <w:r w:rsidR="002D780B">
        <w:rPr>
          <w:rFonts w:cs="Times New Roman"/>
        </w:rPr>
        <w:instrText>ADDIN CSL_CITATION {"citationItems":[{"id":"ITEM-1","itemData":{"DOI":"10.1002/9781118445112.stat07841","ISBN":"9781118445112","abstract":"PERMANOVA is a computer program for testing the simultaneous response of one or more variables to one or more factors in an ANOVA experimental design on the basis of any distance measure, using permutation methods. These notes for users assume knowledge of multi-factorial ANOVA, which has the same basic logic in multivariate as in univariate analysis, and an understanding of what it means to test a multivariate hypothesis. A more complete description of the method is given in Anderson (2001a) and McArdle &amp; Anderson (2001). The program includes: choice of appropriate transformation and/or standardization of the data; choice of 19 distance (or dissimilarity) measures to use as the basis of the analysis; option to rank the distances in the distance matrix before the analysis; analysis and partitioning of the total sum of squares according to the full model, including appropriate treatment of factors that are fixed or random, crossed (orthogonal) or nested (hierarchical), and all interaction terms; correct calculation of an appropriate distance-based pseudo F-statistic for each term in the model, based on expected mean squares as in univariate ANOVA (Winer et al. 1991, Searle et al.1992); correct permutation procedures to obtain P-values for each term in the model, using the correct permutable units (Anderson &amp; ter Braak 2003); choice of permutation method: raw data units or residuals under either a reduced or a full model (Anderson 2001b, Anderson &amp; Legendre 1999, Anderson &amp; Robinson 2001); correct P-values also obtained through Monte Carlo random draws from the asymptotic permutation distribution (Anderson &amp; Robinson 2003); option to include one or more covariables (i.e., to perform ANCOVA or MANCOVA); pair-wise a posteriori comparisons of levels for single factors, including within individual levels of other factors in the case of significant interactions and the use of correct permutable units in each case.","author":[{"dropping-particle":"","family":"Anderson","given":"Marti J.","non-dropping-particle":"","parse-names":false,"suffix":""}],"container-title":"Wiley StatsRef: Statistics Reference Online","id":"ITEM-1","issued":{"date-parts":[["2017"]]},"page":"1-15","title":" Permutational Multivariate Analysis of Variance ( PERMANOVA ) ","type":"article-journal"},"uris":["http://www.mendeley.com/documents/?uuid=d29cbffc-ca9b-49d9-8535-5b9270184b5d"]}],"mendeley":{"formattedCitation":"&lt;sup&gt;118&lt;/sup&gt;","plainTextFormattedCitation":"118"},"properties":{"noteIndex":0},"schema":"https://github.com/citation-style-language/schema/raw/master/csl-citation.json"}</w:instrText>
      </w:r>
      <w:r w:rsidR="002D780B">
        <w:rPr>
          <w:rFonts w:cs="Times New Roman"/>
        </w:rPr>
        <w:fldChar w:fldCharType="separate"/>
      </w:r>
      <w:r w:rsidR="002D780B" w:rsidRPr="002D780B">
        <w:rPr>
          <w:rFonts w:cs="Times New Roman"/>
          <w:noProof/>
          <w:vertAlign w:val="superscript"/>
        </w:rPr>
        <w:t>118</w:t>
      </w:r>
      <w:r w:rsidR="002D780B">
        <w:rPr>
          <w:rFonts w:cs="Times New Roman"/>
        </w:rPr>
        <w:fldChar w:fldCharType="end"/>
      </w:r>
    </w:p>
    <w:p w14:paraId="40C5A085" w14:textId="18D64685" w:rsidR="00C357FC" w:rsidRPr="00901194" w:rsidRDefault="00C357FC" w:rsidP="00C357FC">
      <w:pPr>
        <w:pStyle w:val="Subsub-chapterHeading"/>
      </w:pPr>
      <w:bookmarkStart w:id="97" w:name="_Toc134185988"/>
      <w:r w:rsidRPr="00901194">
        <w:t>Data Availability</w:t>
      </w:r>
      <w:bookmarkEnd w:id="97"/>
    </w:p>
    <w:p w14:paraId="7FCCB8C9" w14:textId="2AF62C7E" w:rsidR="00A96B22" w:rsidRPr="00901194" w:rsidRDefault="00140EFB" w:rsidP="00140EFB">
      <w:pPr>
        <w:rPr>
          <w:rFonts w:cs="Times New Roman"/>
        </w:rPr>
      </w:pPr>
      <w:r w:rsidRPr="00901194">
        <w:rPr>
          <w:rFonts w:cs="Times New Roman"/>
        </w:rPr>
        <w:tab/>
        <w:t>Untargeted LC-MS/MS data have been uploaded to MassIVE</w:t>
      </w:r>
      <w:r w:rsidRPr="00901194">
        <w:rPr>
          <w:rFonts w:cs="Times New Roman"/>
        </w:rPr>
        <w:fldChar w:fldCharType="begin" w:fldLock="1"/>
      </w:r>
      <w:r w:rsidR="00F856A7" w:rsidRPr="00901194">
        <w:rPr>
          <w:rFonts w:cs="Times New Roman"/>
        </w:rPr>
        <w:instrText>ADDIN CSL_CITATION {"citationItems":[{"id":"ITEM-1","itemData":{"author":[{"dropping-particle":"","family":"Aron","given":"Allegra T.","non-dropping-particle":"","parse-names":false,"suffix":""},{"dropping-particle":"","family":"Gentry","given":"Emily C.","non-dropping-particle":"","parse-names":false,"suffix":""},{"dropping-particle":"","family":"McPhail","given":"Kerry L.","non-dropping-particle":"","parse-names":false,"suffix":""},{"dropping-particle":"","family":"Nothias","given":"Louis Felix","non-dropping-particle":"","parse-names":false,"suffix":""},{"dropping-particle":"","family":"Nothias-Esposito","given":"Melissa","non-dropping-particle":"","parse-names":false,"suffix":""},{"dropping-particle":"","family":"Bousilmani","given":"Amina","non-dropping-particle":"","parse-names":false,"suffix":""},{"dropping-particle":"","family":"Petras","given":"Daniel","non-dropping-particle":"","parse-names":false,"suffix":""},{"dropping-particle":"","family":"Gauglitz","given":"Julia M.","non-dropping-particle":"","parse-names":false,"suffix":""},{"dropping-particle":"","family":"Sikora","given":"Nicole","non-dropping-particle":"","parse-names":false,"suffix":""},{"dropping-particle":"","family":"Vargas","given":"Fernando","non-dropping-particle":"","parse-names":false,"suffix":""},{"dropping-particle":"","family":"Hooft","given":"Justin J.J.","non-dropping-particle":"van der","parse-names":false,"suffix":""},{"dropping-particle":"","family":"Ernst","given":"Madeleine","non-dropping-particle":"","parse-names":false,"suffix":""},{"dropping-particle":"","family":"Kang","given":"Kyo","non-dropping-particle":"Bin","parse-names":false,"suffix":""},{"dropping-particle":"","family":"Aceves","given":"Christine M.","non-dropping-particle":"","parse-names":false,"suffix":""},{"dropping-particle":"","family":"Mauricio","given":"Caraballo-Rodriguez Andres","non-dropping-particle":"","parse-names":false,"suffix":""},{"dropping-particle":"","family":"Koester","given":"Irina","non-dropping-particle":"","parse-names":false,"suffix":""},{"dropping-particle":"","family":"Weldon","given":"Kelly C.","non-dropping-particle":"","parse-names":false,"suffix":""},{"dropping-particle":"","family":"Bertrand","given":"Samuel","non-dropping-particle":"","parse-names":false,"suffix":""},{"dropping-particle":"","family":"Roullier","given":"Catherine","non-dropping-particle":"","parse-names":false,"suffix":""},{"dropping-particle":"","family":"Sun","given":"Kunyang","non-dropping-particle":"","parse-names":false,"suffix":""},{"dropping-particle":"","family":"Tehan","given":"Richard M.","non-dropping-particle":"","parse-names":false,"suffix":""},{"dropping-particle":"","family":"Boya","given":"Christopher A.","non-dropping-particle":"","parse-names":false,"suffix":""},{"dropping-particle":"","family":"Martin H.","given":"Christian","non-dropping-particle":"","parse-names":false,"suffix":""},{"dropping-particle":"","family":"Gutierrez","given":"Marcelino","non-dropping-particle":"","parse-names":false,"suffix":""},{"dropping-particle":"","family":"Ulloa","given":"Aldo Moreno","non-dropping-particle":"","parse-names":false,"suffix":""},{"dropping-particle":"","family":"Mora","given":"Javier Andres Tejeda","non-dropping-particle":"","parse-names":false,"suffix":""},{"dropping-particle":"","family":"Mojica-Flores","given":"Randy","non-dropping-particle":"","parse-names":false,"suffix":""},{"dropping-particle":"","family":"Lakey-Beitia","given":"Johant","non-dropping-particle":"","parse-names":false,"suffix":""},{"dropping-particle":"","family":"Vasquez-Chaves","given":"Victor","non-dropping-particle":"","parse-names":false,"suffix":""},{"dropping-particle":"","family":"Zhang","given":"Yilue","non-dropping-particle":"","parse-names":false,"suffix":""},{"dropping-particle":"","family":"Calderon","given":"Angela I.","non-dropping-particle":"","parse-names":false,"suffix":""},{"dropping-particle":"","family":"Tayler","given":"Nicole","non-dropping-particle":"","parse-names":false,"suffix":""},{"dropping-particle":"","family":"Keyzers","given":"Robert A.","non-dropping-particle":"","parse-names":false,"suffix":""},{"dropping-particle":"","family":"Tugizimana","given":"Fidele","non-dropping-particle":"","parse-names":false,"suffix":""},{"dropping-particle":"","family":"Ndlovu","given":"Nombuso","non-dropping-particle":"","parse-names":false,"suffix":""},{"dropping-particle":"","family":"Aksenov","given":"Alexander A.","non-dropping-particle":"","parse-names":false,"suffix":""},{"dropping-particle":"","family":"Jarmusch","given":"Alan","non-dropping-particle":"","parse-names":false,"suffix":""},{"dropping-particle":"","family":"Schmid","given":"Robin","non-dropping-particle":"","parse-names":false,"suffix":""},{"dropping-particle":"","family":"Truman","given":"Andrew W.","non-dropping-particle":"","parse-names":false,"suffix":""},{"dropping-particle":"","family":"Bandeira","given":"Nuno","non-dropping-particle":"","parse-names":false,"suffix":""},{"dropping-particle":"","family":"Wang","given":"Mingxun","non-dropping-particle":"","parse-names":false,"suffix":""},{"dropping-particle":"","family":"Dorrestein","given":"Pieter C.","non-dropping-particle":"","parse-names":false,"suffix":""}],"container-title":"ChemRxiv","id":"ITEM-1","issued":{"date-parts":[["2019"]]},"note":"Describes workflow for processing MS-based mtbm data. McCall lab/protocols use these processes","title":"Reproducible Molecular Networking of Untargeted Mass Spectrometry Data Using GNPS","type":"article-journal"},"uris":["http://www.mendeley.com/documents/?uuid=5c028a8f-063d-4762-a3e2-37e5de078552"]}],"mendeley":{"formattedCitation":"&lt;sup&gt;46&lt;/sup&gt;","plainTextFormattedCitation":"46","previouslyFormattedCitation":"&lt;sup&gt;46&lt;/sup&gt;"},"properties":{"noteIndex":0},"schema":"https://github.com/citation-style-language/schema/raw/master/csl-citation.json"}</w:instrText>
      </w:r>
      <w:r w:rsidRPr="00901194">
        <w:rPr>
          <w:rFonts w:cs="Times New Roman"/>
        </w:rPr>
        <w:fldChar w:fldCharType="separate"/>
      </w:r>
      <w:r w:rsidRPr="00901194">
        <w:rPr>
          <w:rFonts w:cs="Times New Roman"/>
          <w:noProof/>
          <w:vertAlign w:val="superscript"/>
        </w:rPr>
        <w:t>46</w:t>
      </w:r>
      <w:r w:rsidRPr="00901194">
        <w:rPr>
          <w:rFonts w:cs="Times New Roman"/>
        </w:rPr>
        <w:fldChar w:fldCharType="end"/>
      </w:r>
      <w:r w:rsidRPr="00901194">
        <w:rPr>
          <w:rFonts w:cs="Times New Roman"/>
        </w:rPr>
        <w:t xml:space="preserve"> under the accession number MSV000091215. This dataset is currently set to private </w:t>
      </w:r>
      <w:r w:rsidR="00D455BE" w:rsidRPr="00901194">
        <w:rPr>
          <w:rFonts w:cs="Times New Roman"/>
        </w:rPr>
        <w:t>and is password-protected</w:t>
      </w:r>
      <w:r w:rsidRPr="00901194">
        <w:rPr>
          <w:rFonts w:cs="Times New Roman"/>
        </w:rPr>
        <w:t>, but will be made public once data are ready for publishing</w:t>
      </w:r>
      <w:r w:rsidR="00585D7D" w:rsidRPr="00901194">
        <w:rPr>
          <w:rFonts w:cs="Times New Roman"/>
        </w:rPr>
        <w:t xml:space="preserve"> with co-author approval</w:t>
      </w:r>
      <w:r w:rsidRPr="00901194">
        <w:rPr>
          <w:rFonts w:cs="Times New Roman"/>
        </w:rPr>
        <w:t xml:space="preserve">. Classical molecular networking analysis is located at: </w:t>
      </w:r>
      <w:hyperlink r:id="rId51" w:history="1">
        <w:r w:rsidR="000F7D92" w:rsidRPr="00901194">
          <w:rPr>
            <w:rStyle w:val="Hyperlink"/>
            <w:rFonts w:cs="Times New Roman"/>
          </w:rPr>
          <w:t>https://gnps.ucsd.edu/ProteoSAFe/status.jsp?task= 677b1d18669f43428fb9b8a1e7fd126e</w:t>
        </w:r>
      </w:hyperlink>
      <w:r w:rsidRPr="00901194">
        <w:rPr>
          <w:rFonts w:cs="Times New Roman"/>
        </w:rPr>
        <w:t xml:space="preserve"> (full dataset)</w:t>
      </w:r>
      <w:r w:rsidR="000F7D92" w:rsidRPr="00901194">
        <w:rPr>
          <w:rFonts w:cs="Times New Roman"/>
        </w:rPr>
        <w:t xml:space="preserve">. </w:t>
      </w:r>
      <w:r w:rsidR="00A940BE" w:rsidRPr="00901194">
        <w:rPr>
          <w:rFonts w:cs="Times New Roman"/>
        </w:rPr>
        <w:t xml:space="preserve">MolNetEnhancer molecular networking job is located at: </w:t>
      </w:r>
      <w:hyperlink r:id="rId52" w:history="1">
        <w:r w:rsidR="00A940BE" w:rsidRPr="00901194">
          <w:rPr>
            <w:rStyle w:val="Hyperlink"/>
            <w:rFonts w:cs="Times New Roman"/>
          </w:rPr>
          <w:t>https://gnps.ucsd.edu/ProteoSAFe/status.jsp?task= cdffbdea152e456e9e06b2cf3de57ec5</w:t>
        </w:r>
      </w:hyperlink>
      <w:r w:rsidR="00A940BE" w:rsidRPr="00901194">
        <w:rPr>
          <w:rFonts w:cs="Times New Roman"/>
        </w:rPr>
        <w:t xml:space="preserve">. </w:t>
      </w:r>
    </w:p>
    <w:p w14:paraId="0158D45A" w14:textId="33CB0D69" w:rsidR="00D90CFA" w:rsidRPr="00901194" w:rsidRDefault="00005504" w:rsidP="00ED1CD5">
      <w:pPr>
        <w:pStyle w:val="Sub-ChapterHading"/>
        <w:ind w:left="0" w:firstLine="0"/>
      </w:pPr>
      <w:bookmarkStart w:id="98" w:name="_Toc134185989"/>
      <w:r w:rsidRPr="00901194">
        <w:t>4.4 RESULTS AND DISCUSSION</w:t>
      </w:r>
      <w:bookmarkEnd w:id="98"/>
    </w:p>
    <w:p w14:paraId="48364F4C" w14:textId="20282652" w:rsidR="00016D4B" w:rsidRPr="00901194" w:rsidRDefault="00751247" w:rsidP="004E1021">
      <w:pPr>
        <w:ind w:firstLine="720"/>
        <w:rPr>
          <w:rFonts w:cs="Times New Roman"/>
        </w:rPr>
      </w:pPr>
      <w:r w:rsidRPr="00901194">
        <w:rPr>
          <w:rFonts w:cs="Times New Roman"/>
        </w:rPr>
        <w:t>While the primary goal of this chapter is to detail the methods developed for untargeted LC-MS/MS analysis of plant material</w:t>
      </w:r>
      <w:r w:rsidR="00B46EF3" w:rsidRPr="00901194">
        <w:rPr>
          <w:rFonts w:cs="Times New Roman"/>
        </w:rPr>
        <w:t xml:space="preserve"> and to make these data publicly accessible</w:t>
      </w:r>
      <w:r w:rsidRPr="00901194">
        <w:rPr>
          <w:rFonts w:cs="Times New Roman"/>
        </w:rPr>
        <w:t xml:space="preserve">, early analyses reveal </w:t>
      </w:r>
      <w:r w:rsidR="00C93B0F" w:rsidRPr="00901194">
        <w:rPr>
          <w:rFonts w:cs="Times New Roman"/>
        </w:rPr>
        <w:t xml:space="preserve">interesting </w:t>
      </w:r>
      <w:r w:rsidRPr="00901194">
        <w:rPr>
          <w:rFonts w:cs="Times New Roman"/>
        </w:rPr>
        <w:t xml:space="preserve">patterns. </w:t>
      </w:r>
      <w:r w:rsidR="00A940BE" w:rsidRPr="00901194">
        <w:rPr>
          <w:rFonts w:cs="Times New Roman"/>
        </w:rPr>
        <w:t>A total of 36,605 metabolite features were detected across these samples</w:t>
      </w:r>
      <w:r w:rsidR="003766E3" w:rsidRPr="00901194">
        <w:rPr>
          <w:rFonts w:cs="Times New Roman"/>
        </w:rPr>
        <w:t xml:space="preserve"> </w:t>
      </w:r>
      <w:r w:rsidR="00B46EF3" w:rsidRPr="00901194">
        <w:rPr>
          <w:rFonts w:cs="Times New Roman"/>
        </w:rPr>
        <w:t>using</w:t>
      </w:r>
      <w:r w:rsidR="003766E3" w:rsidRPr="00901194">
        <w:rPr>
          <w:rFonts w:cs="Times New Roman"/>
        </w:rPr>
        <w:t xml:space="preserve"> </w:t>
      </w:r>
      <w:r w:rsidR="00B46EF3" w:rsidRPr="00901194">
        <w:rPr>
          <w:rFonts w:cs="Times New Roman"/>
        </w:rPr>
        <w:t>GNPS</w:t>
      </w:r>
      <w:r w:rsidR="00B13413" w:rsidRPr="00901194">
        <w:rPr>
          <w:rFonts w:cs="Times New Roman"/>
        </w:rPr>
        <w:t xml:space="preserve"> molecular networking</w:t>
      </w:r>
      <w:r w:rsidR="00B46EF3" w:rsidRPr="00901194">
        <w:rPr>
          <w:rFonts w:cs="Times New Roman"/>
        </w:rPr>
        <w:fldChar w:fldCharType="begin" w:fldLock="1"/>
      </w:r>
      <w:r w:rsidR="007B41ED" w:rsidRPr="00901194">
        <w:rPr>
          <w:rFonts w:cs="Times New Roman"/>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00B46EF3" w:rsidRPr="00901194">
        <w:rPr>
          <w:rFonts w:cs="Times New Roman"/>
        </w:rPr>
        <w:fldChar w:fldCharType="separate"/>
      </w:r>
      <w:r w:rsidR="00B46EF3" w:rsidRPr="00901194">
        <w:rPr>
          <w:rFonts w:cs="Times New Roman"/>
          <w:noProof/>
          <w:vertAlign w:val="superscript"/>
        </w:rPr>
        <w:t>45</w:t>
      </w:r>
      <w:r w:rsidR="00B46EF3" w:rsidRPr="00901194">
        <w:rPr>
          <w:rFonts w:cs="Times New Roman"/>
        </w:rPr>
        <w:fldChar w:fldCharType="end"/>
      </w:r>
      <w:r w:rsidR="003766E3" w:rsidRPr="00901194">
        <w:rPr>
          <w:rFonts w:cs="Times New Roman"/>
        </w:rPr>
        <w:t xml:space="preserve">. </w:t>
      </w:r>
      <w:r w:rsidR="00806988" w:rsidRPr="00901194">
        <w:rPr>
          <w:rFonts w:cs="Times New Roman"/>
        </w:rPr>
        <w:t>PERMANOVA</w:t>
      </w:r>
      <w:r w:rsidR="008B4CC2" w:rsidRPr="00901194">
        <w:rPr>
          <w:rFonts w:cs="Times New Roman"/>
        </w:rPr>
        <w:fldChar w:fldCharType="begin" w:fldLock="1"/>
      </w:r>
      <w:r w:rsidR="0057228E" w:rsidRPr="00901194">
        <w:rPr>
          <w:rFonts w:cs="Times New Roman"/>
        </w:rPr>
        <w:instrText>ADDIN CSL_CITATION {"citationItems":[{"id":"ITEM-1","itemData":{"DOI":"10.1002/9781118445112.stat07841","ISBN":"9781118445112","abstract":"PERMANOVA is a computer program for testing the simultaneous response of one or more variables to one or more factors in an ANOVA experimental design on the basis of any distance measure, using permutation methods. These notes for users assume knowledge of multi-factorial ANOVA, which has the same basic logic in multivariate as in univariate analysis, and an understanding of what it means to test a multivariate hypothesis. A more complete description of the method is given in Anderson (2001a) and McArdle &amp; Anderson (2001). The program includes: choice of appropriate transformation and/or standardization of the data; choice of 19 distance (or dissimilarity) measures to use as the basis of the analysis; option to rank the distances in the distance matrix before the analysis; analysis and partitioning of the total sum of squares according to the full model, including appropriate treatment of factors that are fixed or random, crossed (orthogonal) or nested (hierarchical), and all interaction terms; correct calculation of an appropriate distance-based pseudo F-statistic for each term in the model, based on expected mean squares as in univariate ANOVA (Winer et al. 1991, Searle et al.1992); correct permutation procedures to obtain P-values for each term in the model, using the correct permutable units (Anderson &amp; ter Braak 2003); choice of permutation method: raw data units or residuals under either a reduced or a full model (Anderson 2001b, Anderson &amp; Legendre 1999, Anderson &amp; Robinson 2001); correct P-values also obtained through Monte Carlo random draws from the asymptotic permutation distribution (Anderson &amp; Robinson 2003); option to include one or more covariables (i.e., to perform ANCOVA or MANCOVA); pair-wise a posteriori comparisons of levels for single factors, including within individual levels of other factors in the case of significant interactions and the use of correct permutable units in each case.","author":[{"dropping-particle":"","family":"Anderson","given":"Marti J.","non-dropping-particle":"","parse-names":false,"suffix":""}],"container-title":"Wiley StatsRef: Statistics Reference Online","id":"ITEM-1","issued":{"date-parts":[["2017"]]},"page":"1-15","title":" Permutational Multivariate Analysis of Variance ( PERMANOVA ) ","type":"article-journal"},"uris":["http://www.mendeley.com/documents/?uuid=d29cbffc-ca9b-49d9-8535-5b9270184b5d"]}],"mendeley":{"formattedCitation":"&lt;sup&gt;118&lt;/sup&gt;","plainTextFormattedCitation":"118","previouslyFormattedCitation":"&lt;sup&gt;118&lt;/sup&gt;"},"properties":{"noteIndex":0},"schema":"https://github.com/citation-style-language/schema/raw/master/csl-citation.json"}</w:instrText>
      </w:r>
      <w:r w:rsidR="008B4CC2" w:rsidRPr="00901194">
        <w:rPr>
          <w:rFonts w:cs="Times New Roman"/>
        </w:rPr>
        <w:fldChar w:fldCharType="separate"/>
      </w:r>
      <w:r w:rsidR="008B4CC2" w:rsidRPr="00901194">
        <w:rPr>
          <w:rFonts w:cs="Times New Roman"/>
          <w:noProof/>
          <w:vertAlign w:val="superscript"/>
        </w:rPr>
        <w:t>118</w:t>
      </w:r>
      <w:r w:rsidR="008B4CC2" w:rsidRPr="00901194">
        <w:rPr>
          <w:rFonts w:cs="Times New Roman"/>
        </w:rPr>
        <w:fldChar w:fldCharType="end"/>
      </w:r>
      <w:r w:rsidR="00806988" w:rsidRPr="00901194">
        <w:rPr>
          <w:rFonts w:cs="Times New Roman"/>
        </w:rPr>
        <w:t xml:space="preserve"> analyses indicate metabolomic differences based on region </w:t>
      </w:r>
      <w:r w:rsidR="00E20A89" w:rsidRPr="00901194">
        <w:rPr>
          <w:rFonts w:cs="Times New Roman"/>
        </w:rPr>
        <w:t>(</w:t>
      </w:r>
      <w:r w:rsidR="008B785D">
        <w:rPr>
          <w:rFonts w:cs="Times New Roman"/>
          <w:i/>
          <w:iCs/>
        </w:rPr>
        <w:t>p</w:t>
      </w:r>
      <w:r w:rsidR="008B4CC2" w:rsidRPr="00901194">
        <w:rPr>
          <w:rFonts w:cs="Times New Roman"/>
        </w:rPr>
        <w:t>=0.001, pseudo-F=7.37794).</w:t>
      </w:r>
      <w:r w:rsidR="007161E6" w:rsidRPr="00901194">
        <w:rPr>
          <w:rFonts w:cs="Times New Roman"/>
        </w:rPr>
        <w:t xml:space="preserve"> Considering these sampled regions contained some of the same plants, these results indicate region-based differences in these untargeted plant metabolomic data. Furthermore, significant metabolomic differences were also observed based on the botanical part of the sampled plant (</w:t>
      </w:r>
      <w:r w:rsidR="008B785D">
        <w:rPr>
          <w:rFonts w:cs="Times New Roman"/>
          <w:i/>
          <w:iCs/>
        </w:rPr>
        <w:t>p</w:t>
      </w:r>
      <w:r w:rsidR="007161E6" w:rsidRPr="00901194">
        <w:rPr>
          <w:rFonts w:cs="Times New Roman"/>
        </w:rPr>
        <w:t>=0.001, pseudo-F=2.18998)</w:t>
      </w:r>
      <w:r w:rsidR="005D1114" w:rsidRPr="00901194">
        <w:rPr>
          <w:rFonts w:cs="Times New Roman"/>
        </w:rPr>
        <w:t>.</w:t>
      </w:r>
      <w:r w:rsidR="007161E6" w:rsidRPr="00901194">
        <w:rPr>
          <w:rFonts w:cs="Times New Roman"/>
        </w:rPr>
        <w:t xml:space="preserve"> </w:t>
      </w:r>
      <w:r w:rsidR="005D1114" w:rsidRPr="00901194">
        <w:rPr>
          <w:rFonts w:cs="Times New Roman"/>
        </w:rPr>
        <w:t xml:space="preserve">While these results report statistically significant differences for botanical parts, these effects are less pronounced than regional influences. </w:t>
      </w:r>
      <w:r w:rsidR="00832F1D" w:rsidRPr="00901194">
        <w:rPr>
          <w:rFonts w:cs="Times New Roman"/>
        </w:rPr>
        <w:t xml:space="preserve">However, these significant botanical part differences </w:t>
      </w:r>
      <w:r w:rsidR="0067328D" w:rsidRPr="00901194">
        <w:rPr>
          <w:rFonts w:cs="Times New Roman"/>
        </w:rPr>
        <w:lastRenderedPageBreak/>
        <w:t xml:space="preserve">illustrate spatial considerations to plant chemistry. These botanical part differences likely reflect different bioactive </w:t>
      </w:r>
      <w:r w:rsidR="002D780B">
        <w:rPr>
          <w:rFonts w:cs="Times New Roman"/>
        </w:rPr>
        <w:t>areas and functional chemistry</w:t>
      </w:r>
      <w:r w:rsidR="0067328D" w:rsidRPr="00901194">
        <w:rPr>
          <w:rFonts w:cs="Times New Roman"/>
        </w:rPr>
        <w:t>. For example, the petals of a flower will exhibit a different metabolome from the flower’s stem</w:t>
      </w:r>
      <w:r w:rsidR="002D780B">
        <w:rPr>
          <w:rFonts w:cs="Times New Roman"/>
        </w:rPr>
        <w:t>, which reflect different molecular components and likely different bioactive capabilities</w:t>
      </w:r>
      <w:r w:rsidR="0067328D" w:rsidRPr="00901194">
        <w:rPr>
          <w:rFonts w:cs="Times New Roman"/>
        </w:rPr>
        <w:t xml:space="preserve">. These spatial aspects of plant chemistry should be considered in residue analysis studies, as different plant parts </w:t>
      </w:r>
      <w:r w:rsidR="00C53584" w:rsidRPr="00901194">
        <w:rPr>
          <w:rFonts w:cs="Times New Roman"/>
        </w:rPr>
        <w:t>will be varyingly</w:t>
      </w:r>
      <w:r w:rsidR="0067328D" w:rsidRPr="00901194">
        <w:rPr>
          <w:rFonts w:cs="Times New Roman"/>
        </w:rPr>
        <w:t xml:space="preserve"> reflected in </w:t>
      </w:r>
      <w:r w:rsidR="005A77CD">
        <w:rPr>
          <w:rFonts w:cs="Times New Roman"/>
        </w:rPr>
        <w:t>archaeological</w:t>
      </w:r>
      <w:r w:rsidR="0067328D" w:rsidRPr="00901194">
        <w:rPr>
          <w:rFonts w:cs="Times New Roman"/>
        </w:rPr>
        <w:t xml:space="preserve"> residue data. </w:t>
      </w:r>
      <w:r w:rsidR="00C53584" w:rsidRPr="00901194">
        <w:rPr>
          <w:rFonts w:cs="Times New Roman"/>
        </w:rPr>
        <w:t xml:space="preserve">Together, these results illustrate region and botanical part influences on plant metabolomes and emphasize the necessity of spatial considerations when </w:t>
      </w:r>
      <w:r w:rsidR="005A77CD">
        <w:rPr>
          <w:rFonts w:cs="Times New Roman"/>
        </w:rPr>
        <w:t xml:space="preserve">examining </w:t>
      </w:r>
      <w:r w:rsidR="003E1979">
        <w:rPr>
          <w:rFonts w:cs="Times New Roman"/>
        </w:rPr>
        <w:t xml:space="preserve">plant-derived </w:t>
      </w:r>
      <w:r w:rsidR="005A77CD">
        <w:rPr>
          <w:rFonts w:cs="Times New Roman"/>
        </w:rPr>
        <w:t>archaeological residues</w:t>
      </w:r>
      <w:r w:rsidR="00C53584" w:rsidRPr="00901194">
        <w:rPr>
          <w:rFonts w:cs="Times New Roman"/>
        </w:rPr>
        <w:t xml:space="preserve">. </w:t>
      </w:r>
    </w:p>
    <w:p w14:paraId="65494625" w14:textId="496DD09B" w:rsidR="00260E59" w:rsidRPr="00901194" w:rsidRDefault="00391854" w:rsidP="004E1021">
      <w:pPr>
        <w:ind w:firstLine="720"/>
        <w:rPr>
          <w:rFonts w:cs="Times New Roman"/>
        </w:rPr>
      </w:pPr>
      <w:r w:rsidRPr="00901194">
        <w:rPr>
          <w:rFonts w:cs="Times New Roman"/>
        </w:rPr>
        <w:t>Networking analyses</w:t>
      </w:r>
      <w:r w:rsidR="00B46EF3" w:rsidRPr="00901194">
        <w:rPr>
          <w:rFonts w:cs="Times New Roman"/>
        </w:rPr>
        <w:t xml:space="preserve"> reported </w:t>
      </w:r>
      <w:r w:rsidR="004E1021" w:rsidRPr="00901194">
        <w:rPr>
          <w:rFonts w:cs="Times New Roman"/>
        </w:rPr>
        <w:t>annotations of plant-associated metabolite features in these data based on matches to library references (level two annotation, according to the MSI</w:t>
      </w:r>
      <w:r w:rsidR="004E1021" w:rsidRPr="00901194">
        <w:rPr>
          <w:rFonts w:cs="Times New Roman"/>
        </w:rPr>
        <w:fldChar w:fldCharType="begin" w:fldLock="1"/>
      </w:r>
      <w:r w:rsidR="004E1021"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4E1021" w:rsidRPr="00901194">
        <w:rPr>
          <w:rFonts w:cs="Times New Roman"/>
        </w:rPr>
        <w:fldChar w:fldCharType="separate"/>
      </w:r>
      <w:r w:rsidR="004E1021" w:rsidRPr="00901194">
        <w:rPr>
          <w:rFonts w:cs="Times New Roman"/>
          <w:noProof/>
          <w:vertAlign w:val="superscript"/>
        </w:rPr>
        <w:t>41</w:t>
      </w:r>
      <w:r w:rsidR="004E1021" w:rsidRPr="00901194">
        <w:rPr>
          <w:rFonts w:cs="Times New Roman"/>
        </w:rPr>
        <w:fldChar w:fldCharType="end"/>
      </w:r>
      <w:r w:rsidR="004E1021" w:rsidRPr="00901194">
        <w:rPr>
          <w:rFonts w:cs="Times New Roman"/>
        </w:rPr>
        <w:t>)</w:t>
      </w:r>
      <w:r w:rsidR="00B46EF3" w:rsidRPr="00901194">
        <w:rPr>
          <w:rFonts w:cs="Times New Roman"/>
        </w:rPr>
        <w:t xml:space="preserve">. Such annotations included </w:t>
      </w:r>
      <w:r w:rsidR="002D05FC" w:rsidRPr="00901194">
        <w:rPr>
          <w:rFonts w:cs="Times New Roman"/>
        </w:rPr>
        <w:t>caffeine (</w:t>
      </w:r>
      <w:r w:rsidR="002D05FC" w:rsidRPr="00901194">
        <w:rPr>
          <w:rFonts w:cs="Times New Roman"/>
          <w:i/>
          <w:iCs/>
        </w:rPr>
        <w:t xml:space="preserve">m/z </w:t>
      </w:r>
      <w:r w:rsidR="002D05FC" w:rsidRPr="00901194">
        <w:rPr>
          <w:rFonts w:cs="Times New Roman"/>
        </w:rPr>
        <w:t xml:space="preserve">195.024; RT </w:t>
      </w:r>
      <w:r w:rsidR="009352CD">
        <w:rPr>
          <w:rFonts w:cs="Times New Roman"/>
        </w:rPr>
        <w:t>mean 144.6</w:t>
      </w:r>
      <w:r w:rsidR="002D05FC" w:rsidRPr="00901194">
        <w:rPr>
          <w:rFonts w:cs="Times New Roman"/>
        </w:rPr>
        <w:t xml:space="preserve">; methylxanthine alkaloid associated with coffee, tea, </w:t>
      </w:r>
      <w:r w:rsidR="00F21076" w:rsidRPr="00901194">
        <w:rPr>
          <w:rFonts w:cs="Times New Roman"/>
        </w:rPr>
        <w:t>and cacao</w:t>
      </w:r>
      <w:r w:rsidR="007B41ED" w:rsidRPr="00901194">
        <w:rPr>
          <w:rFonts w:cs="Times New Roman"/>
        </w:rPr>
        <w:fldChar w:fldCharType="begin" w:fldLock="1"/>
      </w:r>
      <w:r w:rsidR="00CC184B" w:rsidRPr="00901194">
        <w:rPr>
          <w:rFonts w:cs="Times New Roman"/>
        </w:rPr>
        <w:instrText>ADDIN CSL_CITATION {"citationItems":[{"id":"ITEM-1","itemData":{"DOI":"10.2741/1367","author":[{"dropping-particle":"","family":"Ashihara","given":"Hiroshi","non-dropping-particle":"","parse-names":false,"suffix":""},{"dropping-particle":"","family":"Suzuki","given":"Takeo","non-dropping-particle":"","parse-names":false,"suffix":""}],"container-title":"Frontiers in Bioscience","id":"ITEM-1","issued":{"date-parts":[["2004"]]},"page":"1864-1876","title":"Distribution and biosynthesis of caffeine in plants","type":"article-journal","volume":"9"},"uris":["http://www.mendeley.com/documents/?uuid=46c079fb-96a2-46cc-a6d5-450e48680b0c"]}],"mendeley":{"formattedCitation":"&lt;sup&gt;220&lt;/sup&gt;","plainTextFormattedCitation":"220","previouslyFormattedCitation":"&lt;sup&gt;220&lt;/sup&gt;"},"properties":{"noteIndex":0},"schema":"https://github.com/citation-style-language/schema/raw/master/csl-citation.json"}</w:instrText>
      </w:r>
      <w:r w:rsidR="007B41ED" w:rsidRPr="00901194">
        <w:rPr>
          <w:rFonts w:cs="Times New Roman"/>
        </w:rPr>
        <w:fldChar w:fldCharType="separate"/>
      </w:r>
      <w:r w:rsidR="00975A3E" w:rsidRPr="00901194">
        <w:rPr>
          <w:rFonts w:cs="Times New Roman"/>
          <w:noProof/>
          <w:vertAlign w:val="superscript"/>
        </w:rPr>
        <w:t>220</w:t>
      </w:r>
      <w:r w:rsidR="007B41ED" w:rsidRPr="00901194">
        <w:rPr>
          <w:rFonts w:cs="Times New Roman"/>
        </w:rPr>
        <w:fldChar w:fldCharType="end"/>
      </w:r>
      <w:r w:rsidR="00634A77" w:rsidRPr="00901194">
        <w:rPr>
          <w:rFonts w:cs="Times New Roman"/>
        </w:rPr>
        <w:t xml:space="preserve"> – teas and cacao were present in our samples</w:t>
      </w:r>
      <w:r w:rsidR="002D05FC" w:rsidRPr="00901194">
        <w:rPr>
          <w:rFonts w:cs="Times New Roman"/>
        </w:rPr>
        <w:t>)</w:t>
      </w:r>
      <w:r w:rsidR="007B41ED" w:rsidRPr="00901194">
        <w:rPr>
          <w:rFonts w:cs="Times New Roman"/>
        </w:rPr>
        <w:t>, capsaicin (</w:t>
      </w:r>
      <w:r w:rsidR="007B41ED" w:rsidRPr="00901194">
        <w:rPr>
          <w:rFonts w:cs="Times New Roman"/>
          <w:i/>
          <w:iCs/>
        </w:rPr>
        <w:t xml:space="preserve">m/z </w:t>
      </w:r>
      <w:r w:rsidR="007B41ED" w:rsidRPr="00901194">
        <w:rPr>
          <w:rFonts w:cs="Times New Roman"/>
        </w:rPr>
        <w:t xml:space="preserve">306.321; RT </w:t>
      </w:r>
      <w:r w:rsidR="009352CD">
        <w:rPr>
          <w:rFonts w:cs="Times New Roman"/>
        </w:rPr>
        <w:t>mean 352.2</w:t>
      </w:r>
      <w:r w:rsidR="007B41ED" w:rsidRPr="00901194">
        <w:rPr>
          <w:rFonts w:cs="Times New Roman"/>
        </w:rPr>
        <w:t xml:space="preserve">; </w:t>
      </w:r>
      <w:r w:rsidR="00C60231" w:rsidRPr="00901194">
        <w:rPr>
          <w:rFonts w:cs="Times New Roman"/>
        </w:rPr>
        <w:t xml:space="preserve">associated with </w:t>
      </w:r>
      <w:r w:rsidR="00C60231" w:rsidRPr="00901194">
        <w:rPr>
          <w:rFonts w:cs="Times New Roman"/>
          <w:i/>
          <w:iCs/>
        </w:rPr>
        <w:t>Capsicum</w:t>
      </w:r>
      <w:r w:rsidR="00C60231" w:rsidRPr="00901194">
        <w:rPr>
          <w:rFonts w:cs="Times New Roman"/>
        </w:rPr>
        <w:t xml:space="preserve"> peppers and responsible for their heat, also associated with some health benefits and used as a food additive</w:t>
      </w:r>
      <w:r w:rsidR="00C60231" w:rsidRPr="00901194">
        <w:rPr>
          <w:rFonts w:cs="Times New Roman"/>
        </w:rPr>
        <w:fldChar w:fldCharType="begin" w:fldLock="1"/>
      </w:r>
      <w:r w:rsidR="00CC184B" w:rsidRPr="00901194">
        <w:rPr>
          <w:rFonts w:cs="Times New Roman"/>
        </w:rPr>
        <w:instrText>ADDIN CSL_CITATION {"citationItems":[{"id":"ITEM-1","itemData":{"DOI":"10.3390/molecules21080931","author":[{"dropping-particle":"","family":"Chapa-Oliver","given":"Angela M","non-dropping-particle":"","parse-names":false,"suffix":""},{"dropping-particle":"","family":"Mejía-Teniente","given":"Laura","non-dropping-particle":"","parse-names":false,"suffix":""}],"container-title":"Molecules","id":"ITEM-1","issue":"931","issued":{"date-parts":[["2016"]]},"page":"1-14","title":"Capsaicin: From Plants to a Cancer-Suppressing Agent","type":"article-journal","volume":"21"},"uris":["http://www.mendeley.com/documents/?uuid=f454c154-93a2-4a78-9f0e-b2ebce4bf4fa"]},{"id":"ITEM-2","itemData":{"author":[{"dropping-particle":"","family":"Tewksbury","given":"Joshua J","non-dropping-particle":"","parse-names":false,"suffix":""},{"dropping-particle":"","family":"Nabhan","given":"Gary P","non-dropping-particle":"","parse-names":false,"suffix":""}],"container-title":"Nature","id":"ITEM-2","issue":"6845","issued":{"date-parts":[["2001"]]},"page":"403-404","title":"Directed deterrence by capsaicin in chillies","type":"article-journal","volume":"412"},"uris":["http://www.mendeley.com/documents/?uuid=98feaa0e-9807-4be7-8de0-3260a923ceab"]}],"mendeley":{"formattedCitation":"&lt;sup&gt;221,222&lt;/sup&gt;","plainTextFormattedCitation":"221,222","previouslyFormattedCitation":"&lt;sup&gt;221,222&lt;/sup&gt;"},"properties":{"noteIndex":0},"schema":"https://github.com/citation-style-language/schema/raw/master/csl-citation.json"}</w:instrText>
      </w:r>
      <w:r w:rsidR="00C60231" w:rsidRPr="00901194">
        <w:rPr>
          <w:rFonts w:cs="Times New Roman"/>
        </w:rPr>
        <w:fldChar w:fldCharType="separate"/>
      </w:r>
      <w:r w:rsidR="00975A3E" w:rsidRPr="00901194">
        <w:rPr>
          <w:rFonts w:cs="Times New Roman"/>
          <w:noProof/>
          <w:vertAlign w:val="superscript"/>
        </w:rPr>
        <w:t>221,222</w:t>
      </w:r>
      <w:r w:rsidR="00C60231" w:rsidRPr="00901194">
        <w:rPr>
          <w:rFonts w:cs="Times New Roman"/>
        </w:rPr>
        <w:fldChar w:fldCharType="end"/>
      </w:r>
      <w:r w:rsidR="00634A77" w:rsidRPr="00901194">
        <w:rPr>
          <w:rFonts w:cs="Times New Roman"/>
        </w:rPr>
        <w:t xml:space="preserve"> </w:t>
      </w:r>
      <w:r w:rsidR="008A5A36" w:rsidRPr="00901194">
        <w:rPr>
          <w:rFonts w:cs="Times New Roman"/>
        </w:rPr>
        <w:t>– various</w:t>
      </w:r>
      <w:r w:rsidR="00634A77" w:rsidRPr="00901194">
        <w:rPr>
          <w:rFonts w:cs="Times New Roman"/>
        </w:rPr>
        <w:t xml:space="preserve"> </w:t>
      </w:r>
      <w:r w:rsidR="00634A77" w:rsidRPr="00901194">
        <w:rPr>
          <w:rFonts w:cs="Times New Roman"/>
          <w:i/>
          <w:iCs/>
        </w:rPr>
        <w:t xml:space="preserve">Capsicum </w:t>
      </w:r>
      <w:r w:rsidR="00634A77" w:rsidRPr="00901194">
        <w:rPr>
          <w:rFonts w:cs="Times New Roman"/>
        </w:rPr>
        <w:t>peppers were represented in our dataset</w:t>
      </w:r>
      <w:r w:rsidR="00C60231" w:rsidRPr="00901194">
        <w:rPr>
          <w:rFonts w:cs="Times New Roman"/>
        </w:rPr>
        <w:t>), kaempferol (</w:t>
      </w:r>
      <w:r w:rsidR="00C60231" w:rsidRPr="00901194">
        <w:rPr>
          <w:rFonts w:cs="Times New Roman"/>
          <w:i/>
          <w:iCs/>
        </w:rPr>
        <w:t xml:space="preserve">m/z </w:t>
      </w:r>
      <w:r w:rsidR="00C60231" w:rsidRPr="00901194">
        <w:rPr>
          <w:rFonts w:cs="Times New Roman"/>
        </w:rPr>
        <w:t>287.054</w:t>
      </w:r>
      <w:r w:rsidR="009352CD">
        <w:rPr>
          <w:rFonts w:cs="Times New Roman"/>
        </w:rPr>
        <w:t>, RT mean 214.8</w:t>
      </w:r>
      <w:r w:rsidR="00C60231" w:rsidRPr="00901194">
        <w:rPr>
          <w:rFonts w:cs="Times New Roman"/>
        </w:rPr>
        <w:t xml:space="preserve">; flavonoid found in a wide variety of plants like </w:t>
      </w:r>
      <w:r w:rsidR="00613056" w:rsidRPr="00901194">
        <w:rPr>
          <w:rFonts w:cs="Times New Roman"/>
        </w:rPr>
        <w:t>teas, squash, cucumber, berries, medicinal plants, etc.</w:t>
      </w:r>
      <w:r w:rsidR="00613056" w:rsidRPr="00901194">
        <w:rPr>
          <w:rFonts w:cs="Times New Roman"/>
        </w:rPr>
        <w:fldChar w:fldCharType="begin" w:fldLock="1"/>
      </w:r>
      <w:r w:rsidR="00CC184B" w:rsidRPr="00901194">
        <w:rPr>
          <w:rFonts w:cs="Times New Roman"/>
        </w:rPr>
        <w:instrText>ADDIN CSL_CITATION {"citationItems":[{"id":"ITEM-1","itemData":{"author":[{"dropping-particle":"","family":"Calderón-Montaño","given":"J M","non-dropping-particle":"","parse-names":false,"suffix":""},{"dropping-particle":"","family":"Burgos-Morón","given":"E","non-dropping-particle":"","parse-names":false,"suffix":""},{"dropping-particle":"","family":"Pérez-Guerrero","given":"C","non-dropping-particle":"","parse-names":false,"suffix":""},{"dropping-particle":"","family":"López-Lázaro","given":"M","non-dropping-particle":"","parse-names":false,"suffix":""}],"container-title":"Mini-Reviews in Medicinal Chemistry","id":"ITEM-1","issued":{"date-parts":[["2011"]]},"page":"298-344","title":"A Review on the Dietary Flavonoid Kaempferol","type":"article-journal","volume":"11"},"uris":["http://www.mendeley.com/documents/?uuid=3898fa6f-aa00-45cd-8bd1-8313418bb728"]}],"mendeley":{"formattedCitation":"&lt;sup&gt;223&lt;/sup&gt;","plainTextFormattedCitation":"223","previouslyFormattedCitation":"&lt;sup&gt;223&lt;/sup&gt;"},"properties":{"noteIndex":0},"schema":"https://github.com/citation-style-language/schema/raw/master/csl-citation.json"}</w:instrText>
      </w:r>
      <w:r w:rsidR="00613056" w:rsidRPr="00901194">
        <w:rPr>
          <w:rFonts w:cs="Times New Roman"/>
        </w:rPr>
        <w:fldChar w:fldCharType="separate"/>
      </w:r>
      <w:r w:rsidR="00975A3E" w:rsidRPr="00901194">
        <w:rPr>
          <w:rFonts w:cs="Times New Roman"/>
          <w:noProof/>
          <w:vertAlign w:val="superscript"/>
        </w:rPr>
        <w:t>223</w:t>
      </w:r>
      <w:r w:rsidR="00613056" w:rsidRPr="00901194">
        <w:rPr>
          <w:rFonts w:cs="Times New Roman"/>
        </w:rPr>
        <w:fldChar w:fldCharType="end"/>
      </w:r>
      <w:r w:rsidR="00634A77" w:rsidRPr="00901194">
        <w:rPr>
          <w:rFonts w:cs="Times New Roman"/>
        </w:rPr>
        <w:t xml:space="preserve"> </w:t>
      </w:r>
      <w:r w:rsidR="008A5A36" w:rsidRPr="00901194">
        <w:rPr>
          <w:rFonts w:cs="Times New Roman"/>
        </w:rPr>
        <w:t>– these</w:t>
      </w:r>
      <w:r w:rsidR="00634A77" w:rsidRPr="00901194">
        <w:rPr>
          <w:rFonts w:cs="Times New Roman"/>
        </w:rPr>
        <w:t xml:space="preserve"> plants were present in our samples</w:t>
      </w:r>
      <w:r w:rsidR="00613056" w:rsidRPr="00901194">
        <w:rPr>
          <w:rFonts w:cs="Times New Roman"/>
        </w:rPr>
        <w:t xml:space="preserve">), </w:t>
      </w:r>
      <w:r w:rsidR="00E60800" w:rsidRPr="00901194">
        <w:rPr>
          <w:rFonts w:cs="Times New Roman"/>
        </w:rPr>
        <w:t>amygdalin (</w:t>
      </w:r>
      <w:r w:rsidR="00E60800" w:rsidRPr="00901194">
        <w:rPr>
          <w:rFonts w:cs="Times New Roman"/>
          <w:i/>
          <w:iCs/>
        </w:rPr>
        <w:t xml:space="preserve">m/z </w:t>
      </w:r>
      <w:r w:rsidR="00173E10" w:rsidRPr="00901194">
        <w:rPr>
          <w:rFonts w:cs="Times New Roman"/>
        </w:rPr>
        <w:t xml:space="preserve">475.192; RT </w:t>
      </w:r>
      <w:r w:rsidR="009352CD">
        <w:rPr>
          <w:rFonts w:cs="Times New Roman"/>
        </w:rPr>
        <w:t>mean 136.2</w:t>
      </w:r>
      <w:r w:rsidR="00173E10" w:rsidRPr="00901194">
        <w:rPr>
          <w:rFonts w:cs="Times New Roman"/>
        </w:rPr>
        <w:t>; found in many plants, but most commonly associated with apples, peaches, and almonds</w:t>
      </w:r>
      <w:r w:rsidR="00173E10" w:rsidRPr="00901194">
        <w:rPr>
          <w:rFonts w:cs="Times New Roman"/>
        </w:rPr>
        <w:fldChar w:fldCharType="begin" w:fldLock="1"/>
      </w:r>
      <w:r w:rsidR="00CC184B" w:rsidRPr="00901194">
        <w:rPr>
          <w:rFonts w:cs="Times New Roman"/>
        </w:rPr>
        <w:instrText>ADDIN CSL_CITATION {"citationItems":[{"id":"ITEM-1","itemData":{"DOI":"10.1016/j.foodchem.2014.08.083","ISSN":"0308-8146","author":[{"dropping-particle":"","family":"Bolarinwa","given":"Islamiyat F","non-dropping-particle":"","parse-names":false,"suffix":""},{"dropping-particle":"","family":"Orfila","given":"Caroline","non-dropping-particle":"","parse-names":false,"suffix":""},{"dropping-particle":"","family":"Morgan","given":"Michael R A","non-dropping-particle":"","parse-names":false,"suffix":""}],"container-title":"Food Chemistry","id":"ITEM-1","issued":{"date-parts":[["2015"]]},"page":"437-442","publisher":"Elsevier Ltd","title":"Determination of amygdalin in apple seeds, fresh apples and processed apple juices","type":"article-journal","volume":"170"},"uris":["http://www.mendeley.com/documents/?uuid=98aaefe7-591a-43c5-ba37-f154bc8d9ed4"]},{"id":"ITEM-2","itemData":{"DOI":"https://doi.org/10.3390/molecules26082253","author":[{"dropping-particle":"","family":"Jaszczak-Wilke","given":"Ewa","non-dropping-particle":"","parse-names":false,"suffix":""},{"dropping-particle":"","family":"Polkowska","given":"Żaneta","non-dropping-particle":"","parse-names":false,"suffix":""},{"dropping-particle":"","family":"Koprowski","given":"Marek","non-dropping-particle":"","parse-names":false,"suffix":""},{"dropping-particle":"","family":"Owsianik","given":"Krzysztof","non-dropping-particle":"","parse-names":false,"suffix":""},{"dropping-particle":"","family":"Mitchell","given":"Alyson E","non-dropping-particle":"","parse-names":false,"suffix":""},{"dropping-particle":"","family":"Bałczewski","given":"Piotr","non-dropping-particle":"","parse-names":false,"suffix":""}],"container-title":"Molecules","id":"ITEM-2","issue":"2253","issued":{"date-parts":[["2021"]]},"page":"1-16","title":"Amygdalin: Toxicity, Anticancer Activity and Analytical Procedures for Its Determination in Plant Seeds","type":"article-journal","volume":"26"},"uris":["http://www.mendeley.com/documents/?uuid=132c0c02-ceb0-4cba-8cd8-443297dfedfb"]}],"mendeley":{"formattedCitation":"&lt;sup&gt;224,225&lt;/sup&gt;","plainTextFormattedCitation":"224,225","previouslyFormattedCitation":"&lt;sup&gt;224,225&lt;/sup&gt;"},"properties":{"noteIndex":0},"schema":"https://github.com/citation-style-language/schema/raw/master/csl-citation.json"}</w:instrText>
      </w:r>
      <w:r w:rsidR="00173E10" w:rsidRPr="00901194">
        <w:rPr>
          <w:rFonts w:cs="Times New Roman"/>
        </w:rPr>
        <w:fldChar w:fldCharType="separate"/>
      </w:r>
      <w:r w:rsidR="00975A3E" w:rsidRPr="00901194">
        <w:rPr>
          <w:rFonts w:cs="Times New Roman"/>
          <w:noProof/>
          <w:vertAlign w:val="superscript"/>
        </w:rPr>
        <w:t>224,225</w:t>
      </w:r>
      <w:r w:rsidR="00173E10" w:rsidRPr="00901194">
        <w:rPr>
          <w:rFonts w:cs="Times New Roman"/>
        </w:rPr>
        <w:fldChar w:fldCharType="end"/>
      </w:r>
      <w:r w:rsidR="00173E10" w:rsidRPr="00901194">
        <w:rPr>
          <w:rFonts w:cs="Times New Roman"/>
        </w:rPr>
        <w:t xml:space="preserve">), and </w:t>
      </w:r>
      <w:r w:rsidR="00092D71" w:rsidRPr="00901194">
        <w:rPr>
          <w:rFonts w:cs="Times New Roman"/>
        </w:rPr>
        <w:t>pinocembrin (</w:t>
      </w:r>
      <w:r w:rsidR="00092D71" w:rsidRPr="00901194">
        <w:rPr>
          <w:rFonts w:cs="Times New Roman"/>
          <w:i/>
          <w:iCs/>
        </w:rPr>
        <w:t>m/z</w:t>
      </w:r>
      <w:r w:rsidR="00252946" w:rsidRPr="00901194">
        <w:rPr>
          <w:rFonts w:cs="Times New Roman"/>
          <w:i/>
          <w:iCs/>
        </w:rPr>
        <w:t xml:space="preserve"> </w:t>
      </w:r>
      <w:r w:rsidR="00145C0D" w:rsidRPr="00901194">
        <w:rPr>
          <w:rFonts w:cs="Times New Roman"/>
        </w:rPr>
        <w:t xml:space="preserve">257.08; RT </w:t>
      </w:r>
      <w:r w:rsidR="009352CD">
        <w:rPr>
          <w:rFonts w:cs="Times New Roman"/>
        </w:rPr>
        <w:t>mean 362.4</w:t>
      </w:r>
      <w:r w:rsidR="004E1021" w:rsidRPr="00901194">
        <w:rPr>
          <w:rFonts w:cs="Times New Roman"/>
        </w:rPr>
        <w:t>; flavonoid detected in many plant types, such as fruits, spices, flowers, teas, etc.</w:t>
      </w:r>
      <w:r w:rsidR="004E1021" w:rsidRPr="00901194">
        <w:rPr>
          <w:rFonts w:cs="Times New Roman"/>
        </w:rPr>
        <w:fldChar w:fldCharType="begin" w:fldLock="1"/>
      </w:r>
      <w:r w:rsidR="00CC184B" w:rsidRPr="00901194">
        <w:rPr>
          <w:rFonts w:cs="Times New Roman"/>
        </w:rPr>
        <w:instrText>ADDIN CSL_CITATION {"citationItems":[{"id":"ITEM-1","itemData":{"author":[{"dropping-particle":"","family":"Rasul","given":"Azhar","non-dropping-particle":"","parse-names":false,"suffix":""},{"dropping-particle":"","family":"Millimouno","given":"Faya Martin","non-dropping-particle":"","parse-names":false,"suffix":""},{"dropping-particle":"","family":"Eltayb","given":"Wafa Ali","non-dropping-particle":"","parse-names":false,"suffix":""},{"dropping-particle":"","family":"Ali","given":"Muhammad","non-dropping-particle":"","parse-names":false,"suffix":""},{"dropping-particle":"","family":"Li","given":"Jiang","non-dropping-particle":"","parse-names":false,"suffix":""},{"dropping-particle":"","family":"Li","given":"Xiaomeng","non-dropping-particle":"","parse-names":false,"suffix":""}],"container-title":"BioMed Research International","id":"ITEM-1","issued":{"date-parts":[["2013"]]},"page":"1-10","title":"Pinocembrin: A Novel Natural Compound with Versatile Pharmacological and Biological Activities","type":"article-journal"},"uris":["http://www.mendeley.com/documents/?uuid=9dda5f14-c91e-4227-869f-3fe25d1df975"]}],"mendeley":{"formattedCitation":"&lt;sup&gt;226&lt;/sup&gt;","plainTextFormattedCitation":"226","previouslyFormattedCitation":"&lt;sup&gt;226&lt;/sup&gt;"},"properties":{"noteIndex":0},"schema":"https://github.com/citation-style-language/schema/raw/master/csl-citation.json"}</w:instrText>
      </w:r>
      <w:r w:rsidR="004E1021" w:rsidRPr="00901194">
        <w:rPr>
          <w:rFonts w:cs="Times New Roman"/>
        </w:rPr>
        <w:fldChar w:fldCharType="separate"/>
      </w:r>
      <w:r w:rsidR="00975A3E" w:rsidRPr="00901194">
        <w:rPr>
          <w:rFonts w:cs="Times New Roman"/>
          <w:noProof/>
          <w:vertAlign w:val="superscript"/>
        </w:rPr>
        <w:t>226</w:t>
      </w:r>
      <w:r w:rsidR="004E1021" w:rsidRPr="00901194">
        <w:rPr>
          <w:rFonts w:cs="Times New Roman"/>
        </w:rPr>
        <w:fldChar w:fldCharType="end"/>
      </w:r>
      <w:r w:rsidR="004E1021" w:rsidRPr="00901194">
        <w:rPr>
          <w:rFonts w:cs="Times New Roman"/>
        </w:rPr>
        <w:t xml:space="preserve"> Also detected in honey</w:t>
      </w:r>
      <w:r w:rsidR="004E1021" w:rsidRPr="00901194">
        <w:rPr>
          <w:rFonts w:cs="Times New Roman"/>
        </w:rPr>
        <w:fldChar w:fldCharType="begin" w:fldLock="1"/>
      </w:r>
      <w:r w:rsidR="00CC184B" w:rsidRPr="00901194">
        <w:rPr>
          <w:rFonts w:cs="Times New Roman"/>
        </w:rPr>
        <w:instrText>ADDIN CSL_CITATION {"citationItems":[{"id":"ITEM-1","itemData":{"DOI":"10.1155/2009/830616","author":[{"dropping-particle":"","family":"Jaganathan","given":"Saravana Kumar","non-dropping-particle":"","parse-names":false,"suffix":""},{"dropping-particle":"","family":"Mandal","given":"Mahitosh","non-dropping-particle":"","parse-names":false,"suffix":""}],"container-title":"Journal of Biomedicine and Biotechnology","id":"ITEM-1","issued":{"date-parts":[["2009"]]},"page":"1-14","title":"Antiproliferative Effects of Honey and of Its Polyphenols: A Review Chemistry of Honey","type":"article-journal"},"uris":["http://www.mendeley.com/documents/?uuid=60334ac2-8bb0-4aae-9e4e-4674e630d0de"]}],"mendeley":{"formattedCitation":"&lt;sup&gt;227&lt;/sup&gt;","plainTextFormattedCitation":"227","previouslyFormattedCitation":"&lt;sup&gt;227&lt;/sup&gt;"},"properties":{"noteIndex":0},"schema":"https://github.com/citation-style-language/schema/raw/master/csl-citation.json"}</w:instrText>
      </w:r>
      <w:r w:rsidR="004E1021" w:rsidRPr="00901194">
        <w:rPr>
          <w:rFonts w:cs="Times New Roman"/>
        </w:rPr>
        <w:fldChar w:fldCharType="separate"/>
      </w:r>
      <w:r w:rsidR="00975A3E" w:rsidRPr="00901194">
        <w:rPr>
          <w:rFonts w:cs="Times New Roman"/>
          <w:noProof/>
          <w:vertAlign w:val="superscript"/>
        </w:rPr>
        <w:t>227</w:t>
      </w:r>
      <w:r w:rsidR="004E1021" w:rsidRPr="00901194">
        <w:rPr>
          <w:rFonts w:cs="Times New Roman"/>
        </w:rPr>
        <w:fldChar w:fldCharType="end"/>
      </w:r>
      <w:r w:rsidR="008B1347" w:rsidRPr="00901194">
        <w:rPr>
          <w:rFonts w:cs="Times New Roman"/>
        </w:rPr>
        <w:t xml:space="preserve"> – fruits, spices, flowers, teas, and honey were all present in the data</w:t>
      </w:r>
      <w:r w:rsidR="004E1021" w:rsidRPr="00901194">
        <w:rPr>
          <w:rFonts w:cs="Times New Roman"/>
        </w:rPr>
        <w:t xml:space="preserve">). </w:t>
      </w:r>
      <w:r w:rsidR="00CC0E3F" w:rsidRPr="00901194">
        <w:rPr>
          <w:rFonts w:cs="Times New Roman"/>
        </w:rPr>
        <w:t xml:space="preserve">These annotations </w:t>
      </w:r>
      <w:r w:rsidR="00D252A4" w:rsidRPr="00901194">
        <w:rPr>
          <w:rFonts w:cs="Times New Roman"/>
        </w:rPr>
        <w:t>and their high-quality matches to the library references (level two MSI annotation</w:t>
      </w:r>
      <w:r w:rsidR="00D252A4" w:rsidRPr="00901194">
        <w:rPr>
          <w:rFonts w:cs="Times New Roman"/>
        </w:rPr>
        <w:fldChar w:fldCharType="begin" w:fldLock="1"/>
      </w:r>
      <w:r w:rsidR="009772A7"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D252A4" w:rsidRPr="00901194">
        <w:rPr>
          <w:rFonts w:cs="Times New Roman"/>
        </w:rPr>
        <w:fldChar w:fldCharType="separate"/>
      </w:r>
      <w:r w:rsidR="00D252A4" w:rsidRPr="00901194">
        <w:rPr>
          <w:rFonts w:cs="Times New Roman"/>
          <w:noProof/>
          <w:vertAlign w:val="superscript"/>
        </w:rPr>
        <w:t>41</w:t>
      </w:r>
      <w:r w:rsidR="00D252A4" w:rsidRPr="00901194">
        <w:rPr>
          <w:rFonts w:cs="Times New Roman"/>
        </w:rPr>
        <w:fldChar w:fldCharType="end"/>
      </w:r>
      <w:r w:rsidR="00D252A4" w:rsidRPr="00901194">
        <w:rPr>
          <w:rFonts w:cs="Times New Roman"/>
        </w:rPr>
        <w:t xml:space="preserve">) indicate the untargeted metabolite extraction and LC-MS/MS analysis </w:t>
      </w:r>
      <w:r w:rsidR="00CC0E3F" w:rsidRPr="00901194">
        <w:rPr>
          <w:rFonts w:cs="Times New Roman"/>
        </w:rPr>
        <w:t xml:space="preserve">successfully </w:t>
      </w:r>
      <w:r w:rsidR="00D252A4" w:rsidRPr="00901194">
        <w:rPr>
          <w:rFonts w:cs="Times New Roman"/>
        </w:rPr>
        <w:t xml:space="preserve">recovered </w:t>
      </w:r>
      <w:r w:rsidR="00CC0E3F" w:rsidRPr="00901194">
        <w:rPr>
          <w:rFonts w:cs="Times New Roman"/>
        </w:rPr>
        <w:t>plant-associated molecules from these samples</w:t>
      </w:r>
      <w:r w:rsidR="00D252A4" w:rsidRPr="00901194">
        <w:rPr>
          <w:rFonts w:cs="Times New Roman"/>
        </w:rPr>
        <w:t xml:space="preserve">. </w:t>
      </w:r>
    </w:p>
    <w:p w14:paraId="67B02F05" w14:textId="6E092872" w:rsidR="00113FAA" w:rsidRPr="00901194" w:rsidRDefault="001D5D71" w:rsidP="00113FAA">
      <w:pPr>
        <w:ind w:firstLine="720"/>
        <w:rPr>
          <w:rFonts w:cs="Times New Roman"/>
        </w:rPr>
      </w:pPr>
      <w:r w:rsidRPr="00901194">
        <w:rPr>
          <w:rFonts w:cs="Times New Roman"/>
        </w:rPr>
        <w:lastRenderedPageBreak/>
        <w:t>Inspecting molecular networks generated from these annotations also reveal region-based differences in metabolite feature abundances. For example, capsaicin was notably enriched in Mexico samples (Figure 4.3A)</w:t>
      </w:r>
      <w:r w:rsidR="009772A7" w:rsidRPr="00901194">
        <w:rPr>
          <w:rFonts w:cs="Times New Roman"/>
        </w:rPr>
        <w:t xml:space="preserve">, whereas </w:t>
      </w:r>
      <w:r w:rsidR="003E1979">
        <w:rPr>
          <w:rFonts w:cs="Times New Roman"/>
        </w:rPr>
        <w:t>c</w:t>
      </w:r>
      <w:r w:rsidR="009772A7" w:rsidRPr="00901194">
        <w:rPr>
          <w:rFonts w:cs="Times New Roman"/>
        </w:rPr>
        <w:t>atechin (</w:t>
      </w:r>
      <w:r w:rsidR="009772A7" w:rsidRPr="00901194">
        <w:rPr>
          <w:rFonts w:cs="Times New Roman"/>
          <w:i/>
          <w:iCs/>
        </w:rPr>
        <w:t xml:space="preserve">m/z </w:t>
      </w:r>
      <w:r w:rsidR="009772A7" w:rsidRPr="00901194">
        <w:rPr>
          <w:rFonts w:cs="Times New Roman"/>
        </w:rPr>
        <w:t xml:space="preserve">291.086; RT </w:t>
      </w:r>
      <w:r w:rsidR="009352CD">
        <w:rPr>
          <w:rFonts w:cs="Times New Roman"/>
        </w:rPr>
        <w:t>mean 170.4</w:t>
      </w:r>
      <w:r w:rsidR="009772A7" w:rsidRPr="00901194">
        <w:rPr>
          <w:rFonts w:cs="Times New Roman"/>
        </w:rPr>
        <w:t>; found in plants, especially teas and cocoa</w:t>
      </w:r>
      <w:r w:rsidR="009772A7" w:rsidRPr="00901194">
        <w:rPr>
          <w:rFonts w:cs="Times New Roman"/>
        </w:rPr>
        <w:fldChar w:fldCharType="begin" w:fldLock="1"/>
      </w:r>
      <w:r w:rsidR="00CC184B" w:rsidRPr="00901194">
        <w:rPr>
          <w:rFonts w:cs="Times New Roman"/>
        </w:rPr>
        <w:instrText>ADDIN CSL_CITATION {"citationItems":[{"id":"ITEM-1","itemData":{"author":[{"dropping-particle":"","family":"Kwik-Uribe","given":"Catherine","non-dropping-particle":"","parse-names":false,"suffix":""},{"dropping-particle":"","family":"Bektash","given":"Roger M","non-dropping-particle":"","parse-names":false,"suffix":""}],"container-title":"Asia Pacific Journal of Clinical Nutrition","id":"ITEM-1","issued":{"date-parts":[["2008"]]},"page":"280-283","title":"Cocoa flavanols: measurement, bioavailability and bioactivity","type":"article-journal","volume":"17"},"uris":["http://www.mendeley.com/documents/?uuid=3ffb0c6f-4211-4568-88ed-bf04225db519"]},{"id":"ITEM-2","itemData":{"DOI":"10.1074/jbc.M112.403071","ISSN":"0021-9258","author":[{"dropping-particle":"","family":"Liu","given":"Yajun","non-dropping-particle":"","parse-names":false,"suffix":""},{"dropping-particle":"","family":"Gao","given":"Liping","non-dropping-particle":"","parse-names":false,"suffix":""},{"dropping-particle":"","family":"Liu","given":"Li","non-dropping-particle":"","parse-names":false,"suffix":""},{"dropping-particle":"","family":"Yang","given":"Qin","non-dropping-particle":"","parse-names":false,"suffix":""},{"dropping-particle":"","family":"Lu","given":"Zhongwei","non-dropping-particle":"","parse-names":false,"suffix":""},{"dropping-particle":"","family":"Nie","given":"Zhiyin","non-dropping-particle":"","parse-names":false,"suffix":""},{"dropping-particle":"","family":"Wang","given":"Yunsheng","non-dropping-particle":"","parse-names":false,"suffix":""},{"dropping-particle":"","family":"Xia","given":"Tao","non-dropping-particle":"","parse-names":false,"suffix":""}],"container-title":"Journal of Biological Chemistry","id":"ITEM-2","issue":"53","issued":{"date-parts":[["2012"]]},"page":"44406-44417","publisher":"Â© 2012 ASBMB. Currently published by Elsevier Inc; originally published by American Society for Biochemistry and Molecular Biology.","title":"Purification and Characterization of a Novel Galloyltransferase Involved in Catechin Galloylation in the Tea Plant (Camellia sinensis)*","type":"article-journal","volume":"287"},"uris":["http://www.mendeley.com/documents/?uuid=859f40d1-bf47-4981-8e12-aa06fc92dd66"]}],"mendeley":{"formattedCitation":"&lt;sup&gt;228,229&lt;/sup&gt;","plainTextFormattedCitation":"228,229","previouslyFormattedCitation":"&lt;sup&gt;228,229&lt;/sup&gt;"},"properties":{"noteIndex":0},"schema":"https://github.com/citation-style-language/schema/raw/master/csl-citation.json"}</w:instrText>
      </w:r>
      <w:r w:rsidR="009772A7" w:rsidRPr="00901194">
        <w:rPr>
          <w:rFonts w:cs="Times New Roman"/>
        </w:rPr>
        <w:fldChar w:fldCharType="separate"/>
      </w:r>
      <w:r w:rsidR="00975A3E" w:rsidRPr="00901194">
        <w:rPr>
          <w:rFonts w:cs="Times New Roman"/>
          <w:noProof/>
          <w:vertAlign w:val="superscript"/>
        </w:rPr>
        <w:t>228,229</w:t>
      </w:r>
      <w:r w:rsidR="009772A7" w:rsidRPr="00901194">
        <w:rPr>
          <w:rFonts w:cs="Times New Roman"/>
        </w:rPr>
        <w:fldChar w:fldCharType="end"/>
      </w:r>
      <w:r w:rsidR="008B1347" w:rsidRPr="00901194">
        <w:rPr>
          <w:rFonts w:cs="Times New Roman"/>
        </w:rPr>
        <w:t xml:space="preserve"> – teas and cocoa were represented in our data</w:t>
      </w:r>
      <w:r w:rsidR="009772A7" w:rsidRPr="00901194">
        <w:rPr>
          <w:rFonts w:cs="Times New Roman"/>
        </w:rPr>
        <w:t xml:space="preserve">) was highly abundant in Belize </w:t>
      </w:r>
      <w:r w:rsidR="007A3724" w:rsidRPr="00901194">
        <w:rPr>
          <w:rFonts w:cs="Times New Roman"/>
        </w:rPr>
        <w:t xml:space="preserve">and New Mexico </w:t>
      </w:r>
      <w:r w:rsidR="009772A7" w:rsidRPr="00901194">
        <w:rPr>
          <w:rFonts w:cs="Times New Roman"/>
        </w:rPr>
        <w:t>plants</w:t>
      </w:r>
      <w:r w:rsidR="000E36E0" w:rsidRPr="00901194">
        <w:rPr>
          <w:rFonts w:cs="Times New Roman"/>
        </w:rPr>
        <w:t xml:space="preserve"> in one sub-network and enriched in Belize and Mexico plants in a second</w:t>
      </w:r>
      <w:r w:rsidR="009772A7" w:rsidRPr="00901194">
        <w:rPr>
          <w:rFonts w:cs="Times New Roman"/>
        </w:rPr>
        <w:t xml:space="preserve"> </w:t>
      </w:r>
      <w:r w:rsidR="00D82C3E" w:rsidRPr="00901194">
        <w:rPr>
          <w:rFonts w:cs="Times New Roman"/>
        </w:rPr>
        <w:t xml:space="preserve">sub-network </w:t>
      </w:r>
      <w:r w:rsidR="009772A7" w:rsidRPr="00901194">
        <w:rPr>
          <w:rFonts w:cs="Times New Roman"/>
        </w:rPr>
        <w:t xml:space="preserve">(Figure 4.3. </w:t>
      </w:r>
      <w:r w:rsidR="00B467FC" w:rsidRPr="00901194">
        <w:rPr>
          <w:rFonts w:cs="Times New Roman"/>
        </w:rPr>
        <w:t xml:space="preserve">Network analyses also illustrated </w:t>
      </w:r>
      <w:r w:rsidR="00BC55A2" w:rsidRPr="00901194">
        <w:rPr>
          <w:rFonts w:cs="Times New Roman"/>
        </w:rPr>
        <w:t xml:space="preserve">a </w:t>
      </w:r>
      <w:r w:rsidR="00584CEB" w:rsidRPr="00901194">
        <w:rPr>
          <w:rFonts w:cs="Times New Roman"/>
        </w:rPr>
        <w:t xml:space="preserve">heightened </w:t>
      </w:r>
      <w:r w:rsidR="00B467FC" w:rsidRPr="00901194">
        <w:rPr>
          <w:rFonts w:cs="Times New Roman"/>
        </w:rPr>
        <w:t>caffeine abundance in Southern Belize plants (Figure 4.3C)</w:t>
      </w:r>
      <w:r w:rsidR="00BC55A2" w:rsidRPr="00901194">
        <w:rPr>
          <w:rFonts w:cs="Times New Roman"/>
        </w:rPr>
        <w:t xml:space="preserve"> and enrichment of hordenine </w:t>
      </w:r>
      <w:r w:rsidR="00D424FF" w:rsidRPr="00901194">
        <w:rPr>
          <w:rFonts w:cs="Times New Roman"/>
        </w:rPr>
        <w:t>(</w:t>
      </w:r>
      <w:r w:rsidR="00D424FF" w:rsidRPr="00901194">
        <w:rPr>
          <w:rFonts w:cs="Times New Roman"/>
          <w:i/>
          <w:iCs/>
        </w:rPr>
        <w:t xml:space="preserve">m/z </w:t>
      </w:r>
      <w:r w:rsidR="00D424FF" w:rsidRPr="00901194">
        <w:rPr>
          <w:rFonts w:cs="Times New Roman"/>
        </w:rPr>
        <w:t>194.118; RT</w:t>
      </w:r>
      <w:r w:rsidR="009352CD">
        <w:rPr>
          <w:rFonts w:cs="Times New Roman"/>
        </w:rPr>
        <w:t xml:space="preserve"> mean 174</w:t>
      </w:r>
      <w:r w:rsidR="00D424FF" w:rsidRPr="00901194">
        <w:rPr>
          <w:rFonts w:cs="Times New Roman"/>
        </w:rPr>
        <w:t xml:space="preserve">; found in several plant types, </w:t>
      </w:r>
      <w:r w:rsidR="00523637" w:rsidRPr="00901194">
        <w:rPr>
          <w:rFonts w:cs="Times New Roman"/>
        </w:rPr>
        <w:t xml:space="preserve">particularly associated </w:t>
      </w:r>
      <w:r w:rsidR="00D424FF" w:rsidRPr="00901194">
        <w:rPr>
          <w:rFonts w:cs="Times New Roman"/>
        </w:rPr>
        <w:t>with algae and cacti</w:t>
      </w:r>
      <w:r w:rsidR="00523637" w:rsidRPr="00901194">
        <w:rPr>
          <w:rFonts w:cs="Times New Roman"/>
        </w:rPr>
        <w:fldChar w:fldCharType="begin" w:fldLock="1"/>
      </w:r>
      <w:r w:rsidR="00CC184B" w:rsidRPr="00901194">
        <w:rPr>
          <w:rFonts w:cs="Times New Roman"/>
        </w:rPr>
        <w:instrText>ADDIN CSL_CITATION {"citationItems":[{"id":"ITEM-1","itemData":{"DOI":"10.54085/ap.2022.11.1.12","author":[{"dropping-particle":"","family":"Athilli","given":"Lavanya","non-dropping-particle":"","parse-names":false,"suffix":""},{"dropping-particle":"","family":"Balasubramaniam","given":"Arumugam","non-dropping-particle":"","parse-names":false,"suffix":""}],"container-title":"Annals of Phytomedicine","id":"ITEM-1","issue":"1","issued":{"date-parts":[["2022"]]},"page":"121-132","title":"Hordenine: Pharmacological, phytochemical, pharmacokinetic and analytical review of the literature","type":"article-journal","volume":"11"},"uris":["http://www.mendeley.com/documents/?uuid=db832b54-0458-47e2-81a6-724e33ca838d"]}],"mendeley":{"formattedCitation":"&lt;sup&gt;230&lt;/sup&gt;","plainTextFormattedCitation":"230","previouslyFormattedCitation":"&lt;sup&gt;230&lt;/sup&gt;"},"properties":{"noteIndex":0},"schema":"https://github.com/citation-style-language/schema/raw/master/csl-citation.json"}</w:instrText>
      </w:r>
      <w:r w:rsidR="00523637" w:rsidRPr="00901194">
        <w:rPr>
          <w:rFonts w:cs="Times New Roman"/>
        </w:rPr>
        <w:fldChar w:fldCharType="separate"/>
      </w:r>
      <w:r w:rsidR="00975A3E" w:rsidRPr="00901194">
        <w:rPr>
          <w:rFonts w:cs="Times New Roman"/>
          <w:noProof/>
          <w:vertAlign w:val="superscript"/>
        </w:rPr>
        <w:t>230</w:t>
      </w:r>
      <w:r w:rsidR="00523637" w:rsidRPr="00901194">
        <w:rPr>
          <w:rFonts w:cs="Times New Roman"/>
        </w:rPr>
        <w:fldChar w:fldCharType="end"/>
      </w:r>
      <w:r w:rsidR="008B1347" w:rsidRPr="00901194">
        <w:rPr>
          <w:rFonts w:cs="Times New Roman"/>
        </w:rPr>
        <w:t xml:space="preserve"> – multiple cacti species were part of Mexico and New Mexico sample sets</w:t>
      </w:r>
      <w:r w:rsidR="00523637" w:rsidRPr="00901194">
        <w:rPr>
          <w:rFonts w:cs="Times New Roman"/>
        </w:rPr>
        <w:t xml:space="preserve">) </w:t>
      </w:r>
      <w:r w:rsidR="00BC55A2" w:rsidRPr="00901194">
        <w:rPr>
          <w:rFonts w:cs="Times New Roman"/>
        </w:rPr>
        <w:t xml:space="preserve">in </w:t>
      </w:r>
      <w:r w:rsidR="00523637" w:rsidRPr="00901194">
        <w:rPr>
          <w:rFonts w:cs="Times New Roman"/>
        </w:rPr>
        <w:t>Mexico and New Mexico plants (Figure 4.3D)</w:t>
      </w:r>
      <w:r w:rsidR="00853CF1" w:rsidRPr="00901194">
        <w:rPr>
          <w:rFonts w:cs="Times New Roman"/>
        </w:rPr>
        <w:t>, to name a few</w:t>
      </w:r>
      <w:r w:rsidR="00523637" w:rsidRPr="00901194">
        <w:rPr>
          <w:rFonts w:cs="Times New Roman"/>
        </w:rPr>
        <w:t xml:space="preserve">. </w:t>
      </w:r>
      <w:r w:rsidR="00D82C3E" w:rsidRPr="00901194">
        <w:rPr>
          <w:rFonts w:cs="Times New Roman"/>
        </w:rPr>
        <w:t>Together, t</w:t>
      </w:r>
      <w:r w:rsidR="00523637" w:rsidRPr="00901194">
        <w:rPr>
          <w:rFonts w:cs="Times New Roman"/>
        </w:rPr>
        <w:t>hese molecular network-derived results reinforce the efficacy of the extraction and analysis methods.</w:t>
      </w:r>
      <w:r w:rsidR="00D82C3E" w:rsidRPr="00901194">
        <w:rPr>
          <w:rFonts w:cs="Times New Roman"/>
        </w:rPr>
        <w:t xml:space="preserve"> Additionally, examining the sub-networks of these plant-associated molecules reveals unannotated compounds with some chemical and/or structural similarity to the detected compound (level 3 annotation according to the MSI</w:t>
      </w:r>
      <w:r w:rsidR="00D82C3E" w:rsidRPr="00901194">
        <w:rPr>
          <w:rFonts w:cs="Times New Roman"/>
        </w:rPr>
        <w:fldChar w:fldCharType="begin" w:fldLock="1"/>
      </w:r>
      <w:r w:rsidR="00603B8F"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D82C3E" w:rsidRPr="00901194">
        <w:rPr>
          <w:rFonts w:cs="Times New Roman"/>
        </w:rPr>
        <w:fldChar w:fldCharType="separate"/>
      </w:r>
      <w:r w:rsidR="00D82C3E" w:rsidRPr="00901194">
        <w:rPr>
          <w:rFonts w:cs="Times New Roman"/>
          <w:noProof/>
          <w:vertAlign w:val="superscript"/>
        </w:rPr>
        <w:t>41</w:t>
      </w:r>
      <w:r w:rsidR="00D82C3E" w:rsidRPr="00901194">
        <w:rPr>
          <w:rFonts w:cs="Times New Roman"/>
        </w:rPr>
        <w:fldChar w:fldCharType="end"/>
      </w:r>
      <w:r w:rsidR="00D82C3E" w:rsidRPr="00901194">
        <w:rPr>
          <w:rFonts w:cs="Times New Roman"/>
        </w:rPr>
        <w:t>). Further work is needed to dig into these molecular networks, especially with regards to the unannotated compounds detected within</w:t>
      </w:r>
      <w:r w:rsidR="003A4BBD" w:rsidRPr="00901194">
        <w:rPr>
          <w:rFonts w:cs="Times New Roman"/>
        </w:rPr>
        <w:t xml:space="preserve">. </w:t>
      </w:r>
      <w:r w:rsidR="00391854" w:rsidRPr="00901194">
        <w:rPr>
          <w:rFonts w:cs="Times New Roman"/>
        </w:rPr>
        <w:t xml:space="preserve">Another </w:t>
      </w:r>
      <w:r w:rsidR="003A4BBD" w:rsidRPr="00901194">
        <w:rPr>
          <w:rFonts w:cs="Times New Roman"/>
        </w:rPr>
        <w:t>approach would be to explore how identical plants collected from different regions might exhibit similar or dissimilar molecular networks, shedding light on molecular adaptations to their specific regions. Nonetheless, these molecular networks</w:t>
      </w:r>
      <w:r w:rsidR="00D82C3E" w:rsidRPr="00901194">
        <w:rPr>
          <w:rFonts w:cs="Times New Roman"/>
        </w:rPr>
        <w:t xml:space="preserve"> reflect </w:t>
      </w:r>
      <w:r w:rsidR="00EA1302" w:rsidRPr="00901194">
        <w:rPr>
          <w:rFonts w:cs="Times New Roman"/>
        </w:rPr>
        <w:t>novel patterns of plant molecular composition.</w:t>
      </w:r>
    </w:p>
    <w:p w14:paraId="60DD5C8A" w14:textId="3BD2FA91" w:rsidR="00EA1302" w:rsidRPr="00901194" w:rsidRDefault="00113FAA" w:rsidP="00113FAA">
      <w:pPr>
        <w:spacing w:line="240" w:lineRule="auto"/>
        <w:ind w:firstLine="720"/>
        <w:rPr>
          <w:rFonts w:cs="Times New Roman"/>
        </w:rPr>
      </w:pPr>
      <w:r w:rsidRPr="00901194">
        <w:rPr>
          <w:rFonts w:cs="Times New Roman"/>
          <w:noProof/>
        </w:rPr>
        <w:lastRenderedPageBreak/>
        <w:drawing>
          <wp:anchor distT="0" distB="0" distL="114300" distR="114300" simplePos="0" relativeHeight="251744256" behindDoc="0" locked="0" layoutInCell="1" allowOverlap="1" wp14:anchorId="4686B7FE" wp14:editId="1DD01DFB">
            <wp:simplePos x="0" y="0"/>
            <wp:positionH relativeFrom="column">
              <wp:posOffset>-139700</wp:posOffset>
            </wp:positionH>
            <wp:positionV relativeFrom="paragraph">
              <wp:posOffset>212421</wp:posOffset>
            </wp:positionV>
            <wp:extent cx="5943600" cy="7004050"/>
            <wp:effectExtent l="0" t="0" r="0" b="0"/>
            <wp:wrapTopAndBottom/>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5943600" cy="7004050"/>
                    </a:xfrm>
                    <a:prstGeom prst="rect">
                      <a:avLst/>
                    </a:prstGeom>
                  </pic:spPr>
                </pic:pic>
              </a:graphicData>
            </a:graphic>
          </wp:anchor>
        </w:drawing>
      </w:r>
      <w:r w:rsidR="00EA1302" w:rsidRPr="00901194">
        <w:rPr>
          <w:rFonts w:cs="Times New Roman"/>
        </w:rPr>
        <w:t xml:space="preserve"> </w:t>
      </w:r>
    </w:p>
    <w:p w14:paraId="2CD64429" w14:textId="5D69B85F" w:rsidR="00AC026A" w:rsidRPr="00901194" w:rsidRDefault="008C16EB" w:rsidP="00113FAA">
      <w:pPr>
        <w:pStyle w:val="CaptionJH"/>
        <w:spacing w:line="240" w:lineRule="auto"/>
        <w:rPr>
          <w:b/>
          <w:bCs w:val="0"/>
        </w:rPr>
      </w:pPr>
      <w:bookmarkStart w:id="99" w:name="_Toc131186562"/>
      <w:r w:rsidRPr="00901194">
        <w:rPr>
          <w:b/>
          <w:bCs w:val="0"/>
        </w:rPr>
        <w:t>Figure 4.3: Molecular networks highlight region-based abundances of plant chemical compounds.</w:t>
      </w:r>
      <w:bookmarkEnd w:id="99"/>
    </w:p>
    <w:p w14:paraId="5A2121E0" w14:textId="77853097" w:rsidR="00AC026A" w:rsidRPr="00901194" w:rsidRDefault="008C16EB" w:rsidP="00584CEB">
      <w:pPr>
        <w:spacing w:line="240" w:lineRule="auto"/>
        <w:rPr>
          <w:rFonts w:cs="Times New Roman"/>
          <w:i/>
          <w:iCs/>
        </w:rPr>
      </w:pPr>
      <w:r w:rsidRPr="00901194">
        <w:rPr>
          <w:rFonts w:cs="Times New Roman"/>
          <w:i/>
          <w:iCs/>
        </w:rPr>
        <w:t xml:space="preserve">Nodes represent metabolites </w:t>
      </w:r>
      <w:r w:rsidR="00584CEB" w:rsidRPr="00901194">
        <w:rPr>
          <w:rFonts w:cs="Times New Roman"/>
          <w:i/>
          <w:iCs/>
        </w:rPr>
        <w:t>structurally related</w:t>
      </w:r>
      <w:r w:rsidRPr="00901194">
        <w:rPr>
          <w:rFonts w:cs="Times New Roman"/>
          <w:i/>
          <w:iCs/>
        </w:rPr>
        <w:t xml:space="preserve"> to </w:t>
      </w:r>
      <w:r w:rsidRPr="00901194">
        <w:rPr>
          <w:rFonts w:cs="Times New Roman"/>
          <w:b/>
          <w:bCs/>
          <w:i/>
          <w:iCs/>
        </w:rPr>
        <w:t>a</w:t>
      </w:r>
      <w:r w:rsidRPr="00901194">
        <w:rPr>
          <w:rFonts w:cs="Times New Roman"/>
          <w:i/>
          <w:iCs/>
        </w:rPr>
        <w:t>, capsaicin</w:t>
      </w:r>
      <w:r w:rsidR="00634A77" w:rsidRPr="00901194">
        <w:rPr>
          <w:rFonts w:cs="Times New Roman"/>
          <w:i/>
          <w:iCs/>
        </w:rPr>
        <w:t xml:space="preserve"> </w:t>
      </w:r>
      <w:r w:rsidRPr="00901194">
        <w:rPr>
          <w:rFonts w:cs="Times New Roman"/>
          <w:i/>
          <w:iCs/>
        </w:rPr>
        <w:t xml:space="preserve">; </w:t>
      </w:r>
      <w:r w:rsidR="00634A77" w:rsidRPr="00901194">
        <w:rPr>
          <w:rFonts w:cs="Times New Roman"/>
          <w:b/>
          <w:bCs/>
          <w:i/>
          <w:iCs/>
        </w:rPr>
        <w:t>b</w:t>
      </w:r>
      <w:r w:rsidR="00634A77" w:rsidRPr="00901194">
        <w:rPr>
          <w:rFonts w:cs="Times New Roman"/>
          <w:i/>
          <w:iCs/>
        </w:rPr>
        <w:t xml:space="preserve">, </w:t>
      </w:r>
      <w:r w:rsidR="00CE3796" w:rsidRPr="00901194">
        <w:rPr>
          <w:rFonts w:cs="Times New Roman"/>
          <w:i/>
          <w:iCs/>
        </w:rPr>
        <w:t xml:space="preserve">catechin </w:t>
      </w:r>
      <w:r w:rsidR="00634A77" w:rsidRPr="00901194">
        <w:rPr>
          <w:rFonts w:cs="Times New Roman"/>
          <w:i/>
          <w:iCs/>
        </w:rPr>
        <w:t>(m/z 291.086; RT</w:t>
      </w:r>
      <w:r w:rsidR="009352CD">
        <w:rPr>
          <w:rFonts w:cs="Times New Roman"/>
          <w:i/>
          <w:iCs/>
        </w:rPr>
        <w:t xml:space="preserve"> mean 170.4</w:t>
      </w:r>
      <w:r w:rsidR="00634A77" w:rsidRPr="00901194">
        <w:rPr>
          <w:rFonts w:cs="Times New Roman"/>
          <w:i/>
          <w:iCs/>
        </w:rPr>
        <w:t>)</w:t>
      </w:r>
      <w:r w:rsidR="0027327C" w:rsidRPr="00901194">
        <w:rPr>
          <w:rFonts w:cs="Times New Roman"/>
          <w:i/>
          <w:iCs/>
        </w:rPr>
        <w:t xml:space="preserve">; </w:t>
      </w:r>
      <w:r w:rsidR="0027327C" w:rsidRPr="00901194">
        <w:rPr>
          <w:rFonts w:cs="Times New Roman"/>
          <w:b/>
          <w:bCs/>
          <w:i/>
          <w:iCs/>
        </w:rPr>
        <w:t>c</w:t>
      </w:r>
      <w:r w:rsidR="0027327C" w:rsidRPr="00901194">
        <w:rPr>
          <w:rFonts w:cs="Times New Roman"/>
          <w:i/>
          <w:iCs/>
        </w:rPr>
        <w:t xml:space="preserve">, caffeine (m/z 195.024; RT </w:t>
      </w:r>
      <w:r w:rsidR="009352CD">
        <w:rPr>
          <w:rFonts w:cs="Times New Roman"/>
          <w:i/>
          <w:iCs/>
        </w:rPr>
        <w:t>mean 144.6</w:t>
      </w:r>
      <w:r w:rsidR="0027327C" w:rsidRPr="00901194">
        <w:rPr>
          <w:rFonts w:cs="Times New Roman"/>
          <w:i/>
          <w:iCs/>
        </w:rPr>
        <w:t xml:space="preserve">); and </w:t>
      </w:r>
      <w:r w:rsidR="0027327C" w:rsidRPr="00901194">
        <w:rPr>
          <w:rFonts w:cs="Times New Roman"/>
          <w:b/>
          <w:bCs/>
          <w:i/>
          <w:iCs/>
        </w:rPr>
        <w:t>d</w:t>
      </w:r>
      <w:r w:rsidR="0027327C" w:rsidRPr="00901194">
        <w:rPr>
          <w:rFonts w:cs="Times New Roman"/>
          <w:i/>
          <w:iCs/>
        </w:rPr>
        <w:t>, hordenine (m/z 194.118; RT</w:t>
      </w:r>
      <w:r w:rsidR="009352CD">
        <w:rPr>
          <w:rFonts w:cs="Times New Roman"/>
          <w:i/>
          <w:iCs/>
        </w:rPr>
        <w:t xml:space="preserve"> mean 174</w:t>
      </w:r>
      <w:r w:rsidR="0027327C" w:rsidRPr="00901194">
        <w:rPr>
          <w:rFonts w:cs="Times New Roman"/>
          <w:i/>
          <w:iCs/>
        </w:rPr>
        <w:t xml:space="preserve">). Metabolite nodes are depicted as pie charts colored by abundance of that metabolite </w:t>
      </w:r>
      <w:r w:rsidR="0027327C" w:rsidRPr="00901194">
        <w:rPr>
          <w:rFonts w:cs="Times New Roman"/>
          <w:i/>
          <w:iCs/>
        </w:rPr>
        <w:lastRenderedPageBreak/>
        <w:t>feature in each region</w:t>
      </w:r>
      <w:r w:rsidR="00584CEB" w:rsidRPr="00901194">
        <w:rPr>
          <w:rFonts w:cs="Times New Roman"/>
          <w:i/>
          <w:iCs/>
        </w:rPr>
        <w:t xml:space="preserve"> – Green: New Mexico; Orange:</w:t>
      </w:r>
      <w:r w:rsidR="002F799A" w:rsidRPr="00901194">
        <w:rPr>
          <w:rFonts w:cs="Times New Roman"/>
          <w:i/>
          <w:iCs/>
        </w:rPr>
        <w:t xml:space="preserve"> </w:t>
      </w:r>
      <w:r w:rsidR="00584CEB" w:rsidRPr="00901194">
        <w:rPr>
          <w:rFonts w:cs="Times New Roman"/>
          <w:i/>
          <w:iCs/>
        </w:rPr>
        <w:t xml:space="preserve">Mexico; and Blue: Southern Belize. </w:t>
      </w:r>
      <w:r w:rsidR="0027327C" w:rsidRPr="00901194">
        <w:rPr>
          <w:rFonts w:cs="Times New Roman"/>
          <w:i/>
          <w:iCs/>
        </w:rPr>
        <w:t xml:space="preserve">Legend from a applies to b-d. </w:t>
      </w:r>
      <w:r w:rsidR="003C28CF" w:rsidRPr="00901194">
        <w:rPr>
          <w:rFonts w:cs="Times New Roman"/>
          <w:i/>
          <w:iCs/>
        </w:rPr>
        <w:t>Grey square nodes without pie charts represent metabolite</w:t>
      </w:r>
      <w:r w:rsidR="0093543D" w:rsidRPr="00901194">
        <w:rPr>
          <w:rFonts w:cs="Times New Roman"/>
          <w:i/>
          <w:iCs/>
        </w:rPr>
        <w:t xml:space="preserve"> features with unknown identity. </w:t>
      </w:r>
      <w:r w:rsidR="00113FAA" w:rsidRPr="00901194">
        <w:rPr>
          <w:rFonts w:cs="Times New Roman"/>
          <w:i/>
          <w:iCs/>
        </w:rPr>
        <w:t>Grey lines (edges) reflect similarity between nodes.</w:t>
      </w:r>
    </w:p>
    <w:p w14:paraId="3B921C59" w14:textId="77777777" w:rsidR="00AC026A" w:rsidRPr="00901194" w:rsidRDefault="00AC026A" w:rsidP="00D82C3E">
      <w:pPr>
        <w:ind w:firstLine="720"/>
        <w:rPr>
          <w:rFonts w:cs="Times New Roman"/>
        </w:rPr>
      </w:pPr>
    </w:p>
    <w:p w14:paraId="7A9F20B1" w14:textId="4D495F30" w:rsidR="00260521" w:rsidRPr="00901194" w:rsidRDefault="0086550D" w:rsidP="0057228E">
      <w:pPr>
        <w:ind w:firstLine="720"/>
        <w:rPr>
          <w:rFonts w:cs="Times New Roman"/>
        </w:rPr>
      </w:pPr>
      <w:r w:rsidRPr="00901194">
        <w:rPr>
          <w:rFonts w:cs="Times New Roman"/>
        </w:rPr>
        <w:t>While targeted biomarker approaches are commonly used to link degraded archaeological residues to raw plant material, our untargeted metabolome data offers the chance to e</w:t>
      </w:r>
      <w:r w:rsidR="009352CD">
        <w:rPr>
          <w:rFonts w:cs="Times New Roman"/>
        </w:rPr>
        <w:t>xplore</w:t>
      </w:r>
      <w:r w:rsidRPr="00901194">
        <w:rPr>
          <w:rFonts w:cs="Times New Roman"/>
        </w:rPr>
        <w:t xml:space="preserve"> untargeted biomarker-like profiles of plant types as a technique for diagnosing </w:t>
      </w:r>
      <w:r w:rsidR="009352CD">
        <w:rPr>
          <w:rFonts w:cs="Times New Roman"/>
        </w:rPr>
        <w:t>specific plants from ancient residues</w:t>
      </w:r>
      <w:r w:rsidRPr="00901194">
        <w:rPr>
          <w:rFonts w:cs="Times New Roman"/>
        </w:rPr>
        <w:t xml:space="preserve">. For example, detecting plant metabolites unique to cacao varieties can add </w:t>
      </w:r>
      <w:r w:rsidR="0057228E" w:rsidRPr="00901194">
        <w:rPr>
          <w:rFonts w:cs="Times New Roman"/>
        </w:rPr>
        <w:t xml:space="preserve">confidence </w:t>
      </w:r>
      <w:r w:rsidR="009352CD">
        <w:rPr>
          <w:rFonts w:cs="Times New Roman"/>
        </w:rPr>
        <w:t>at identifying</w:t>
      </w:r>
      <w:r w:rsidR="0057228E" w:rsidRPr="00901194">
        <w:rPr>
          <w:rFonts w:cs="Times New Roman"/>
        </w:rPr>
        <w:t xml:space="preserve"> the archaeological residue as cacao.</w:t>
      </w:r>
      <w:r w:rsidRPr="00901194">
        <w:rPr>
          <w:rFonts w:cs="Times New Roman"/>
        </w:rPr>
        <w:t xml:space="preserve"> Rather than relying on a specific biomarker (or group of biomarkers) from targeted metabolomic analyses, these untargeted profiles contain annotations and unknown molecules with spectral similarity to the known annotations</w:t>
      </w:r>
      <w:r w:rsidR="009352CD">
        <w:rPr>
          <w:rFonts w:cs="Times New Roman"/>
        </w:rPr>
        <w:t>, allowing these plant identifications to be determined by a variety of detected molecules</w:t>
      </w:r>
      <w:r w:rsidRPr="00901194">
        <w:rPr>
          <w:rFonts w:cs="Times New Roman"/>
        </w:rPr>
        <w:t xml:space="preserve">. </w:t>
      </w:r>
      <w:r w:rsidR="0057228E" w:rsidRPr="00901194">
        <w:rPr>
          <w:rFonts w:cs="Times New Roman"/>
        </w:rPr>
        <w:t xml:space="preserve">In this spirit, three untargeted biomarker-like profiles of plant types common to residue analysis literature were created: chiles, maize, and cacao. Unique features from these plant types were identified by inspecting molecular networks and filtering out metabolite features </w:t>
      </w:r>
      <w:r w:rsidR="00EE584B" w:rsidRPr="00901194">
        <w:rPr>
          <w:rFonts w:cs="Times New Roman"/>
        </w:rPr>
        <w:t>that were uniquely detected in these plant types</w:t>
      </w:r>
      <w:r w:rsidR="0057228E" w:rsidRPr="00901194">
        <w:rPr>
          <w:rFonts w:cs="Times New Roman"/>
        </w:rPr>
        <w:t>. Once these unique lists were created</w:t>
      </w:r>
      <w:r w:rsidR="00EF7A9E" w:rsidRPr="00901194">
        <w:rPr>
          <w:rFonts w:cs="Times New Roman"/>
        </w:rPr>
        <w:t>, each list was subset</w:t>
      </w:r>
      <w:r w:rsidR="0057228E" w:rsidRPr="00901194">
        <w:rPr>
          <w:rFonts w:cs="Times New Roman"/>
        </w:rPr>
        <w:t xml:space="preserve"> to only contain annotations with a mass difference of 0 to the GNPS</w:t>
      </w:r>
      <w:r w:rsidR="00EF7A9E" w:rsidRPr="00901194">
        <w:rPr>
          <w:rFonts w:cs="Times New Roman"/>
        </w:rPr>
        <w:fldChar w:fldCharType="begin" w:fldLock="1"/>
      </w:r>
      <w:r w:rsidR="00EF7A9E" w:rsidRPr="00901194">
        <w:rPr>
          <w:rFonts w:cs="Times New Roman"/>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00EF7A9E" w:rsidRPr="00901194">
        <w:rPr>
          <w:rFonts w:cs="Times New Roman"/>
        </w:rPr>
        <w:fldChar w:fldCharType="separate"/>
      </w:r>
      <w:r w:rsidR="00EF7A9E" w:rsidRPr="00901194">
        <w:rPr>
          <w:rFonts w:cs="Times New Roman"/>
          <w:noProof/>
          <w:vertAlign w:val="superscript"/>
        </w:rPr>
        <w:t>45</w:t>
      </w:r>
      <w:r w:rsidR="00EF7A9E" w:rsidRPr="00901194">
        <w:rPr>
          <w:rFonts w:cs="Times New Roman"/>
        </w:rPr>
        <w:fldChar w:fldCharType="end"/>
      </w:r>
      <w:r w:rsidR="00EF7A9E" w:rsidRPr="00901194">
        <w:rPr>
          <w:rFonts w:cs="Times New Roman"/>
        </w:rPr>
        <w:t xml:space="preserve"> library reference, indicating a level two annotation according to the MSI</w:t>
      </w:r>
      <w:r w:rsidR="00EF7A9E" w:rsidRPr="00901194">
        <w:rPr>
          <w:rFonts w:cs="Times New Roman"/>
        </w:rPr>
        <w:fldChar w:fldCharType="begin" w:fldLock="1"/>
      </w:r>
      <w:r w:rsidR="00EF7A9E" w:rsidRPr="00901194">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EF7A9E" w:rsidRPr="00901194">
        <w:rPr>
          <w:rFonts w:cs="Times New Roman"/>
        </w:rPr>
        <w:fldChar w:fldCharType="separate"/>
      </w:r>
      <w:r w:rsidR="00EF7A9E" w:rsidRPr="00901194">
        <w:rPr>
          <w:rFonts w:cs="Times New Roman"/>
          <w:noProof/>
          <w:vertAlign w:val="superscript"/>
        </w:rPr>
        <w:t>41</w:t>
      </w:r>
      <w:r w:rsidR="00EF7A9E" w:rsidRPr="00901194">
        <w:rPr>
          <w:rFonts w:cs="Times New Roman"/>
        </w:rPr>
        <w:fldChar w:fldCharType="end"/>
      </w:r>
      <w:r w:rsidR="00EF7A9E" w:rsidRPr="00901194">
        <w:rPr>
          <w:rFonts w:cs="Times New Roman"/>
        </w:rPr>
        <w:t>, and any unknown molecules exhibiting spectral similarity to these annotations, indicating a level three annotation according to the MSI</w:t>
      </w:r>
      <w:r w:rsidR="00EF7A9E" w:rsidRPr="00901194">
        <w:rPr>
          <w:rFonts w:cs="Times New Roman"/>
        </w:rPr>
        <w:fldChar w:fldCharType="begin" w:fldLock="1"/>
      </w:r>
      <w:r w:rsidR="00DE7322">
        <w:rPr>
          <w:rFonts w:cs="Times New Roman"/>
        </w:rPr>
        <w:instrText>ADDIN CSL_CITATION {"citationItems":[{"id":"ITEM-1","itemData":{"DOI":"10.1007/s11306-007-0082-2","ISBN":"1130600700822","ISSN":"15733882","abstract":"There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 Springer Science+Business Media, LLC 2007.","author":[{"dropping-particle":"","family":"Sumner","given":"Lloyd W.","non-dropping-particle":"","parse-names":false,"suffix":""},{"dropping-particle":"","family":"Amberg","given":"Alexander","non-dropping-particle":"","parse-names":false,"suffix":""},{"dropping-particle":"","family":"Barrett","given":"Dave","non-dropping-particle":"","parse-names":false,"suffix":""},{"dropping-particle":"","family":"Beale","given":"Michael H.","non-dropping-particle":"","parse-names":false,"suffix":""},{"dropping-particle":"","family":"Beger","given":"Richard","non-dropping-particle":"","parse-names":false,"suffix":""},{"dropping-particle":"","family":"Daykin","given":"Clare A.","non-dropping-particle":"","parse-names":false,"suffix":""},{"dropping-particle":"","family":"Fan","given":"Teresa W.M.","non-dropping-particle":"","parse-names":false,"suffix":""},{"dropping-particle":"","family":"Fiehn","given":"Oliver","non-dropping-particle":"","parse-names":false,"suffix":""},{"dropping-particle":"","family":"Goodacre","given":"Royston","non-dropping-particle":"","parse-names":false,"suffix":""},{"dropping-particle":"","family":"Griffin","given":"Julian L.","non-dropping-particle":"","parse-names":false,"suffix":""},{"dropping-particle":"","family":"Hankemeier","given":"Thomas","non-dropping-particle":"","parse-names":false,"suffix":""},{"dropping-particle":"","family":"Hardy","given":"Nigel","non-dropping-particle":"","parse-names":false,"suffix":""},{"dropping-particle":"","family":"Harnly","given":"James","non-dropping-particle":"","parse-names":false,"suffix":""},{"dropping-particle":"","family":"Higashi","given":"Richard","non-dropping-particle":"","parse-names":false,"suffix":""},{"dropping-particle":"","family":"Kopka","given":"Joachim","non-dropping-particle":"","parse-names":false,"suffix":""},{"dropping-particle":"","family":"Lane","given":"Andrew N.","non-dropping-particle":"","parse-names":false,"suffix":""},{"dropping-particle":"","family":"Lindon","given":"John C.","non-dropping-particle":"","parse-names":false,"suffix":""},{"dropping-particle":"","family":"Marriott","given":"Philip","non-dropping-particle":"","parse-names":false,"suffix":""},{"dropping-particle":"","family":"Nicholls","given":"Andrew W.","non-dropping-particle":"","parse-names":false,"suffix":""},{"dropping-particle":"","family":"Reily","given":"Michael D.","non-dropping-particle":"","parse-names":false,"suffix":""},{"dropping-particle":"","family":"Thaden","given":"John J.","non-dropping-particle":"","parse-names":false,"suffix":""},{"dropping-particle":"","family":"Viant","given":"Mark R.","non-dropping-particle":"","parse-names":false,"suffix":""}],"container-title":"Metabolomics","id":"ITEM-1","issue":"3","issued":{"date-parts":[["2007"]]},"note":"Has standards for MS metab\n\nSummary: Authors basically outline how mass spectrometry-based metabolomics data should be reported, outlining guidelines and expectations for experimentation, instrument analysis, wetlab processes, data analysis, data reproducibility, etc. Discuss the different practices involved with targeted vs untargeted analyses, metabolite identification criteria/evaluation, and more.\nAssessment: Great background paper. Basically sets the standard for MS analyses, but these expectations are not always seen in archaeological residue analysis. Including here because it outlines what is expected from MS studies and how their results should be discussed.","page":"211-221","title":"Proposed minimum reporting standards for chemical analysis: Chemical Analysis Working Group (CAWG) Metabolomics Standards Initiative (MSI)","type":"article-journal","volume":"3"},"uris":["http://www.mendeley.com/documents/?uuid=b5dc33a0-f6db-4112-82eb-6b6c6032d3fd"]}],"mendeley":{"formattedCitation":"&lt;sup&gt;41&lt;/sup&gt;","plainTextFormattedCitation":"41","previouslyFormattedCitation":"&lt;sup&gt;41&lt;/sup&gt;"},"properties":{"noteIndex":0},"schema":"https://github.com/citation-style-language/schema/raw/master/csl-citation.json"}</w:instrText>
      </w:r>
      <w:r w:rsidR="00EF7A9E" w:rsidRPr="00901194">
        <w:rPr>
          <w:rFonts w:cs="Times New Roman"/>
        </w:rPr>
        <w:fldChar w:fldCharType="separate"/>
      </w:r>
      <w:r w:rsidR="00EF7A9E" w:rsidRPr="00901194">
        <w:rPr>
          <w:rFonts w:cs="Times New Roman"/>
          <w:noProof/>
          <w:vertAlign w:val="superscript"/>
        </w:rPr>
        <w:t>41</w:t>
      </w:r>
      <w:r w:rsidR="00EF7A9E" w:rsidRPr="00901194">
        <w:rPr>
          <w:rFonts w:cs="Times New Roman"/>
        </w:rPr>
        <w:fldChar w:fldCharType="end"/>
      </w:r>
      <w:r w:rsidR="00EF7A9E" w:rsidRPr="00901194">
        <w:rPr>
          <w:rFonts w:cs="Times New Roman"/>
        </w:rPr>
        <w:t xml:space="preserve">. </w:t>
      </w:r>
      <w:r w:rsidR="00EE584B" w:rsidRPr="00901194">
        <w:rPr>
          <w:rFonts w:cs="Times New Roman"/>
        </w:rPr>
        <w:t xml:space="preserve">In total, 18 unique </w:t>
      </w:r>
      <w:r w:rsidR="00B577E6" w:rsidRPr="00901194">
        <w:rPr>
          <w:rFonts w:cs="Times New Roman"/>
        </w:rPr>
        <w:t>annotations met these criteria in the cacao plants (plus 577 unknown features with spectral similarity), 76 annotations were unique to maize plants (plus 1,322 unknown features with spectral similarity), and 136 annotations were unique to chiles (plus 6,333 unknown features with spectral similarity). Annotations included caffeine (</w:t>
      </w:r>
      <w:r w:rsidR="00B577E6" w:rsidRPr="00901194">
        <w:rPr>
          <w:rFonts w:cs="Times New Roman"/>
          <w:i/>
          <w:iCs/>
        </w:rPr>
        <w:t xml:space="preserve">m/z </w:t>
      </w:r>
      <w:r w:rsidR="00B577E6" w:rsidRPr="00901194">
        <w:rPr>
          <w:rFonts w:cs="Times New Roman"/>
        </w:rPr>
        <w:t>195.023, RT mean 126.96</w:t>
      </w:r>
      <w:r w:rsidR="00CE3796" w:rsidRPr="00901194">
        <w:rPr>
          <w:rFonts w:cs="Times New Roman"/>
        </w:rPr>
        <w:t xml:space="preserve">, </w:t>
      </w:r>
      <w:r w:rsidR="00B577E6" w:rsidRPr="00901194">
        <w:rPr>
          <w:rFonts w:cs="Times New Roman"/>
        </w:rPr>
        <w:t>found in cacao), zeatin riboside (</w:t>
      </w:r>
      <w:r w:rsidR="00CE3796" w:rsidRPr="00901194">
        <w:rPr>
          <w:rFonts w:cs="Times New Roman"/>
          <w:i/>
          <w:iCs/>
        </w:rPr>
        <w:t>m/z</w:t>
      </w:r>
      <w:r w:rsidR="00CE3796" w:rsidRPr="00901194">
        <w:rPr>
          <w:rFonts w:cs="Times New Roman"/>
        </w:rPr>
        <w:t xml:space="preserve"> 352.161, RT mean 139.72, </w:t>
      </w:r>
      <w:r w:rsidR="00B577E6" w:rsidRPr="00901194">
        <w:rPr>
          <w:rFonts w:cs="Times New Roman"/>
        </w:rPr>
        <w:lastRenderedPageBreak/>
        <w:t>found in maize), and quercetin (</w:t>
      </w:r>
      <w:r w:rsidR="00CE3796" w:rsidRPr="00901194">
        <w:rPr>
          <w:rFonts w:cs="Times New Roman"/>
          <w:i/>
          <w:iCs/>
        </w:rPr>
        <w:t xml:space="preserve">m/z </w:t>
      </w:r>
      <w:r w:rsidR="00CE3796" w:rsidRPr="00901194">
        <w:rPr>
          <w:rFonts w:cs="Times New Roman"/>
        </w:rPr>
        <w:t>303.049</w:t>
      </w:r>
      <w:r w:rsidR="00CE3796" w:rsidRPr="00901194">
        <w:rPr>
          <w:rFonts w:cs="Times New Roman"/>
          <w:i/>
          <w:iCs/>
        </w:rPr>
        <w:t xml:space="preserve">, </w:t>
      </w:r>
      <w:r w:rsidR="00CE3796" w:rsidRPr="00901194">
        <w:rPr>
          <w:rFonts w:cs="Times New Roman"/>
        </w:rPr>
        <w:t>RT mean 229.42</w:t>
      </w:r>
      <w:r w:rsidR="00CE3796" w:rsidRPr="00901194">
        <w:rPr>
          <w:rFonts w:cs="Times New Roman"/>
          <w:i/>
          <w:iCs/>
        </w:rPr>
        <w:t xml:space="preserve">, </w:t>
      </w:r>
      <w:r w:rsidR="00B577E6" w:rsidRPr="00901194">
        <w:rPr>
          <w:rFonts w:cs="Times New Roman"/>
        </w:rPr>
        <w:t>found in chiles). Importantly, some of these unique metabolite features represent known biomarkers common to standard targeted biomarker analyses</w:t>
      </w:r>
      <w:r w:rsidR="00CE3796" w:rsidRPr="00901194">
        <w:rPr>
          <w:rFonts w:cs="Times New Roman"/>
        </w:rPr>
        <w:t>, such as theobromine (</w:t>
      </w:r>
      <w:r w:rsidR="00CE3796" w:rsidRPr="00901194">
        <w:rPr>
          <w:rFonts w:cs="Times New Roman"/>
          <w:i/>
          <w:iCs/>
        </w:rPr>
        <w:t xml:space="preserve">m/z </w:t>
      </w:r>
      <w:r w:rsidR="00CE3796" w:rsidRPr="00901194">
        <w:rPr>
          <w:rFonts w:cs="Times New Roman"/>
        </w:rPr>
        <w:t xml:space="preserve">361.136, RT mean 56.64) being unique to cacao and capsaicin being unique to chiles. The presence of these known biomarkers within the untargeted biomarker-like profiles demonstrates the utility of these untargeted approaches for helping match molecules preserved in residues to the raw plant material. While further work is needed to fully </w:t>
      </w:r>
      <w:r w:rsidR="009352CD">
        <w:rPr>
          <w:rFonts w:cs="Times New Roman"/>
        </w:rPr>
        <w:t>explore</w:t>
      </w:r>
      <w:r w:rsidR="00CE3796" w:rsidRPr="00901194">
        <w:rPr>
          <w:rFonts w:cs="Times New Roman"/>
        </w:rPr>
        <w:t xml:space="preserve"> these molecules </w:t>
      </w:r>
      <w:r w:rsidR="009352CD">
        <w:rPr>
          <w:rFonts w:cs="Times New Roman"/>
        </w:rPr>
        <w:t xml:space="preserve">and their abundances </w:t>
      </w:r>
      <w:r w:rsidR="00CE3796" w:rsidRPr="00901194">
        <w:rPr>
          <w:rFonts w:cs="Times New Roman"/>
        </w:rPr>
        <w:t xml:space="preserve">within the plant data, especially through using chemical standards, these untargeted biomarker-like profiles can help match residues to the assumed plant material. These lists will be included when the </w:t>
      </w:r>
      <w:r w:rsidR="009352CD">
        <w:rPr>
          <w:rFonts w:cs="Times New Roman"/>
        </w:rPr>
        <w:t>data are</w:t>
      </w:r>
      <w:r w:rsidR="00CE3796" w:rsidRPr="00901194">
        <w:rPr>
          <w:rFonts w:cs="Times New Roman"/>
        </w:rPr>
        <w:t xml:space="preserve"> made publicly available.</w:t>
      </w:r>
    </w:p>
    <w:p w14:paraId="124B24CB" w14:textId="6707A0E9" w:rsidR="00EA1302" w:rsidRPr="00901194" w:rsidRDefault="00EA1302" w:rsidP="003A4BBD">
      <w:pPr>
        <w:ind w:firstLine="720"/>
        <w:rPr>
          <w:rFonts w:cs="Times New Roman"/>
        </w:rPr>
      </w:pPr>
      <w:r w:rsidRPr="00901194">
        <w:rPr>
          <w:rFonts w:cs="Times New Roman"/>
        </w:rPr>
        <w:t xml:space="preserve">Our untargeted metabolite extraction method successfully recovered plant compounds </w:t>
      </w:r>
      <w:r w:rsidR="002E5139" w:rsidRPr="00901194">
        <w:rPr>
          <w:rFonts w:cs="Times New Roman"/>
        </w:rPr>
        <w:t>expected from these data</w:t>
      </w:r>
      <w:r w:rsidRPr="00901194">
        <w:rPr>
          <w:rFonts w:cs="Times New Roman"/>
        </w:rPr>
        <w:t>, but there are opportunities to further optimize the protocol. For instance, one Qiagen steel bead was placed in each sample tube for homogenizing the plant material. However, certain plants</w:t>
      </w:r>
      <w:r w:rsidR="00030779" w:rsidRPr="00901194">
        <w:rPr>
          <w:rFonts w:cs="Times New Roman"/>
        </w:rPr>
        <w:t>,</w:t>
      </w:r>
      <w:r w:rsidRPr="00901194">
        <w:rPr>
          <w:rFonts w:cs="Times New Roman"/>
        </w:rPr>
        <w:t xml:space="preserve"> like beans</w:t>
      </w:r>
      <w:r w:rsidR="00030779" w:rsidRPr="00901194">
        <w:rPr>
          <w:rFonts w:cs="Times New Roman"/>
        </w:rPr>
        <w:t>,</w:t>
      </w:r>
      <w:r w:rsidRPr="00901194">
        <w:rPr>
          <w:rFonts w:cs="Times New Roman"/>
        </w:rPr>
        <w:t xml:space="preserve"> were tougher to break apart than others.</w:t>
      </w:r>
      <w:r w:rsidR="00603B8F" w:rsidRPr="00901194">
        <w:rPr>
          <w:rFonts w:cs="Times New Roman"/>
        </w:rPr>
        <w:t xml:space="preserve"> Effective homogenization helps improve metabolite recovery</w:t>
      </w:r>
      <w:r w:rsidR="00603B8F" w:rsidRPr="00901194">
        <w:rPr>
          <w:rFonts w:cs="Times New Roman"/>
        </w:rPr>
        <w:fldChar w:fldCharType="begin" w:fldLock="1"/>
      </w:r>
      <w:r w:rsidR="00ED314E" w:rsidRPr="00901194">
        <w:rPr>
          <w:rFonts w:cs="Times New Roman"/>
        </w:rPr>
        <w:instrText>ADDIN CSL_CITATION {"citationItems":[{"id":"ITEM-1","itemData":{"DOI":"10.1038/nprot.2012.135","ISSN":"17542189","abstract":"Obtaining comprehensive, untargeted metabolic profiles for complex solid samples, e.g., animal tissues, requires sample preparation and access to information-rich analytical methodologies such as mass spectrometry (MS). Here we describe a practical two-step process for tissue samples that is based on extraction into 'aqueous' and 'organic' phases for polar and nonpolar metabolites. Separation methods such as ultraperformance liquid chromatography (UPLC) in combination with MS are needed to obtain sufficient resolution to create diagnostic metabolic profiles and identify candidate biomarkers. We provide detailed protocols for sample preparation, chromatographic procedures, multivariate analysis and metabolite identification via tandem MS (MS/MS) techniques and high-resolution MS. By using these optimized approaches, analysis of a set of samples using a 96-well plate format would take ~48 h: 1 h for system setup, 8-10 h for sample preparation, 34 h for UPLC-MS analysis and 2-3 h for preliminary/exploratory data processing, representing a robust method for untargeted metabolic screening of tissue samples.","author":[{"dropping-particle":"","family":"Want","given":"Elizabeth J.","non-dropping-particle":"","parse-names":false,"suffix":""},{"dropping-particle":"","family":"Masson","given":"Perrine","non-dropping-particle":"","parse-names":false,"suffix":""},{"dropping-particle":"","family":"Michopoulos","given":"Filippos","non-dropping-particle":"","parse-names":false,"suffix":""},{"dropping-particle":"","family":"Wilson","given":"Ian D.","non-dropping-particle":"","parse-names":false,"suffix":""},{"dropping-particle":"","family":"Theodoridis","given":"Georgios","non-dropping-particle":"","parse-names":false,"suffix":""},{"dropping-particle":"","family":"Plumb","given":"Robert S.","non-dropping-particle":"","parse-names":false,"suffix":""},{"dropping-particle":"","family":"Shockcor","given":"John","non-dropping-particle":"","parse-names":false,"suffix":""},{"dropping-particle":"","family":"Loftus","given":"Neil","non-dropping-particle":"","parse-names":false,"suffix":""},{"dropping-particle":"","family":"Holmes","given":"Elaine","non-dropping-particle":"","parse-names":false,"suffix":""},{"dropping-particle":"","family":"Nicholson","given":"Jeremy K.","non-dropping-particle":"","parse-names":false,"suffix":""}],"container-title":"Nature Protocols","id":"ITEM-1","issue":"1","issued":{"date-parts":[["2013"]]},"note":"Summary: Describes a new protocol for global metabolite profiling of tissues using LC-MS, outlining the same protocol we use. Discusses the two-step process by extraction into aqueous and organic phases to detect both polar and nonpolar metaboloites. Also describes general best practices for MS experimentation (using QCs, how to make QCs, importance of random sample order, general MS run orders, etc.) \n\n\nMcCall lab's LC-MS/MS fecal sample prep is based on the method from this article. This paper uses tissue samples, but the method applies for feces\nGood for endogenous and exogenous metabolites","page":"17-32","title":"Global metabolic profiling of animal and human tissues via UPLC-MS","type":"article-journal","volume":"8"},"uris":["http://www.mendeley.com/documents/?uuid=9d217013-ac5c-40d2-ac62-ce3dafa74529"]}],"mendeley":{"formattedCitation":"&lt;sup&gt;97&lt;/sup&gt;","plainTextFormattedCitation":"97","previouslyFormattedCitation":"&lt;sup&gt;97&lt;/sup&gt;"},"properties":{"noteIndex":0},"schema":"https://github.com/citation-style-language/schema/raw/master/csl-citation.json"}</w:instrText>
      </w:r>
      <w:r w:rsidR="00603B8F" w:rsidRPr="00901194">
        <w:rPr>
          <w:rFonts w:cs="Times New Roman"/>
        </w:rPr>
        <w:fldChar w:fldCharType="separate"/>
      </w:r>
      <w:r w:rsidR="00603B8F" w:rsidRPr="00901194">
        <w:rPr>
          <w:rFonts w:cs="Times New Roman"/>
          <w:noProof/>
          <w:vertAlign w:val="superscript"/>
        </w:rPr>
        <w:t>97</w:t>
      </w:r>
      <w:r w:rsidR="00603B8F" w:rsidRPr="00901194">
        <w:rPr>
          <w:rFonts w:cs="Times New Roman"/>
        </w:rPr>
        <w:fldChar w:fldCharType="end"/>
      </w:r>
      <w:r w:rsidR="00135686" w:rsidRPr="00901194">
        <w:rPr>
          <w:rFonts w:cs="Times New Roman"/>
        </w:rPr>
        <w:t xml:space="preserve"> </w:t>
      </w:r>
      <w:r w:rsidR="00D450D7" w:rsidRPr="00901194">
        <w:rPr>
          <w:rFonts w:cs="Times New Roman"/>
        </w:rPr>
        <w:t xml:space="preserve">– adding </w:t>
      </w:r>
      <w:r w:rsidR="00603B8F" w:rsidRPr="00901194">
        <w:rPr>
          <w:rFonts w:cs="Times New Roman"/>
        </w:rPr>
        <w:t xml:space="preserve">a second steel bead for tougher plant samples could assist the homogenization. Homogenization can also be improved by modifying the Tissuelyzer settings, like increasing the </w:t>
      </w:r>
      <w:r w:rsidR="002E5139" w:rsidRPr="00901194">
        <w:rPr>
          <w:rFonts w:cs="Times New Roman"/>
        </w:rPr>
        <w:t>homogenization time length</w:t>
      </w:r>
      <w:r w:rsidR="00603B8F" w:rsidRPr="00901194">
        <w:rPr>
          <w:rFonts w:cs="Times New Roman"/>
        </w:rPr>
        <w:t xml:space="preserve"> or boosting the shaking frequency. Additionally, all samples underwent a 24-hour </w:t>
      </w:r>
      <w:r w:rsidR="002E5139" w:rsidRPr="00901194">
        <w:rPr>
          <w:rFonts w:cs="Times New Roman"/>
        </w:rPr>
        <w:t>soak</w:t>
      </w:r>
      <w:r w:rsidR="00603B8F" w:rsidRPr="00901194">
        <w:rPr>
          <w:rFonts w:cs="Times New Roman"/>
        </w:rPr>
        <w:t xml:space="preserve"> period with extraction solvents</w:t>
      </w:r>
      <w:r w:rsidR="00030779" w:rsidRPr="00901194">
        <w:rPr>
          <w:rFonts w:cs="Times New Roman"/>
        </w:rPr>
        <w:t>,</w:t>
      </w:r>
      <w:r w:rsidR="00603B8F" w:rsidRPr="00901194">
        <w:rPr>
          <w:rFonts w:cs="Times New Roman"/>
        </w:rPr>
        <w:t xml:space="preserve"> and this solvent was placed in a separate tube once the 24-hour soak was completed. </w:t>
      </w:r>
      <w:r w:rsidR="007F72B3" w:rsidRPr="00901194">
        <w:rPr>
          <w:rFonts w:cs="Times New Roman"/>
        </w:rPr>
        <w:t xml:space="preserve">Rather than removing these </w:t>
      </w:r>
      <w:r w:rsidR="002E5139" w:rsidRPr="00901194">
        <w:rPr>
          <w:rFonts w:cs="Times New Roman"/>
        </w:rPr>
        <w:t>‘soaked’</w:t>
      </w:r>
      <w:r w:rsidR="007F72B3" w:rsidRPr="00901194">
        <w:rPr>
          <w:rFonts w:cs="Times New Roman"/>
        </w:rPr>
        <w:t xml:space="preserve"> supernatants, </w:t>
      </w:r>
      <w:r w:rsidR="00D450D7" w:rsidRPr="00901194">
        <w:rPr>
          <w:rFonts w:cs="Times New Roman"/>
        </w:rPr>
        <w:t xml:space="preserve">incorporating </w:t>
      </w:r>
      <w:r w:rsidR="007F72B3" w:rsidRPr="00901194">
        <w:rPr>
          <w:rFonts w:cs="Times New Roman"/>
        </w:rPr>
        <w:t xml:space="preserve">them </w:t>
      </w:r>
      <w:r w:rsidR="00D450D7" w:rsidRPr="00901194">
        <w:rPr>
          <w:rFonts w:cs="Times New Roman"/>
        </w:rPr>
        <w:t>in</w:t>
      </w:r>
      <w:r w:rsidR="002E5139" w:rsidRPr="00901194">
        <w:rPr>
          <w:rFonts w:cs="Times New Roman"/>
        </w:rPr>
        <w:t xml:space="preserve"> the</w:t>
      </w:r>
      <w:r w:rsidR="00D450D7" w:rsidRPr="00901194">
        <w:rPr>
          <w:rFonts w:cs="Times New Roman"/>
        </w:rPr>
        <w:t xml:space="preserve"> metabolite </w:t>
      </w:r>
      <w:r w:rsidR="007F72B3" w:rsidRPr="00901194">
        <w:rPr>
          <w:rFonts w:cs="Times New Roman"/>
        </w:rPr>
        <w:t xml:space="preserve">extraction and LC-MS/MS analysis might improve annotation rates </w:t>
      </w:r>
      <w:r w:rsidR="002E5139" w:rsidRPr="00901194">
        <w:rPr>
          <w:rFonts w:cs="Times New Roman"/>
        </w:rPr>
        <w:t>since</w:t>
      </w:r>
      <w:r w:rsidRPr="00901194">
        <w:rPr>
          <w:rFonts w:cs="Times New Roman"/>
        </w:rPr>
        <w:t xml:space="preserve"> </w:t>
      </w:r>
      <w:r w:rsidR="007F72B3" w:rsidRPr="00901194">
        <w:rPr>
          <w:rFonts w:cs="Times New Roman"/>
        </w:rPr>
        <w:t>the supernatant likely contains detectable molecules. Furthermore, increasing the amount of time for the soaking period would allow more time for the solvents to permeate sample material</w:t>
      </w:r>
      <w:r w:rsidR="00ED314E" w:rsidRPr="00901194">
        <w:rPr>
          <w:rFonts w:cs="Times New Roman"/>
        </w:rPr>
        <w:t xml:space="preserve"> and </w:t>
      </w:r>
      <w:r w:rsidR="00ED314E" w:rsidRPr="00901194">
        <w:rPr>
          <w:rFonts w:cs="Times New Roman"/>
        </w:rPr>
        <w:lastRenderedPageBreak/>
        <w:t>assist with metabolite extraction</w:t>
      </w:r>
      <w:r w:rsidR="007F72B3" w:rsidRPr="00901194">
        <w:rPr>
          <w:rFonts w:cs="Times New Roman"/>
        </w:rPr>
        <w:t>, especially if the supernatant is then used for LC-MS/MS analysis. Other</w:t>
      </w:r>
      <w:r w:rsidR="00ED314E" w:rsidRPr="00901194">
        <w:rPr>
          <w:rFonts w:cs="Times New Roman"/>
        </w:rPr>
        <w:t xml:space="preserve"> potential</w:t>
      </w:r>
      <w:r w:rsidR="007F72B3" w:rsidRPr="00901194">
        <w:rPr>
          <w:rFonts w:cs="Times New Roman"/>
        </w:rPr>
        <w:t xml:space="preserve"> areas for improving this protocol include a longer runtime gradient </w:t>
      </w:r>
      <w:r w:rsidR="00A74366" w:rsidRPr="00901194">
        <w:rPr>
          <w:rFonts w:cs="Times New Roman"/>
        </w:rPr>
        <w:t>to increase LC separation time</w:t>
      </w:r>
      <w:r w:rsidR="007F72B3" w:rsidRPr="00901194">
        <w:rPr>
          <w:rFonts w:cs="Times New Roman"/>
        </w:rPr>
        <w:t xml:space="preserve">, </w:t>
      </w:r>
      <w:r w:rsidR="00ED314E" w:rsidRPr="00901194">
        <w:rPr>
          <w:rFonts w:cs="Times New Roman"/>
        </w:rPr>
        <w:t>modifying extraction and/or resuspension solvents, and grinding up samples during original aliquoting.</w:t>
      </w:r>
      <w:r w:rsidR="003A4BBD" w:rsidRPr="00901194">
        <w:rPr>
          <w:rFonts w:cs="Times New Roman"/>
        </w:rPr>
        <w:t xml:space="preserve"> </w:t>
      </w:r>
    </w:p>
    <w:p w14:paraId="782DA873" w14:textId="4E432174" w:rsidR="003A4BBD" w:rsidRPr="00901194" w:rsidRDefault="003A4BBD" w:rsidP="003A4BBD">
      <w:pPr>
        <w:pStyle w:val="Sub-ChapterHading"/>
      </w:pPr>
      <w:bookmarkStart w:id="100" w:name="_Toc134185990"/>
      <w:r w:rsidRPr="00901194">
        <w:t>4.5 CONCLUSIONS</w:t>
      </w:r>
      <w:bookmarkEnd w:id="100"/>
    </w:p>
    <w:p w14:paraId="3C86ADEF" w14:textId="26D7539E" w:rsidR="003A4BBD" w:rsidRPr="00901194" w:rsidRDefault="00ED314E" w:rsidP="009352CD">
      <w:pPr>
        <w:ind w:firstLine="720"/>
        <w:rPr>
          <w:rFonts w:cs="Times New Roman"/>
        </w:rPr>
      </w:pPr>
      <w:r w:rsidRPr="00901194">
        <w:rPr>
          <w:rFonts w:cs="Times New Roman"/>
        </w:rPr>
        <w:t xml:space="preserve">This dataset represents a series of plant and dietary material relevant to archaeological communities from three different regions of the Americas. </w:t>
      </w:r>
      <w:r w:rsidR="00D1257F" w:rsidRPr="00901194">
        <w:rPr>
          <w:rFonts w:cs="Times New Roman"/>
        </w:rPr>
        <w:t xml:space="preserve">By nature, archaeological residues are degraded through taphonomic processes before sampling even occurs and the molecular contents of these degraded residues are associated with raw, unprocessed organic material like plants. However, these residue-plant associations are complicated by a lack of authentic, unprocessed plant material as a reference. </w:t>
      </w:r>
      <w:r w:rsidR="0038613A" w:rsidRPr="00901194">
        <w:rPr>
          <w:rFonts w:cs="Times New Roman"/>
        </w:rPr>
        <w:t xml:space="preserve">This untargeted metabolomic </w:t>
      </w:r>
      <w:r w:rsidR="00D1257F" w:rsidRPr="00901194">
        <w:rPr>
          <w:rFonts w:cs="Times New Roman"/>
        </w:rPr>
        <w:t>dataset of archaeologically-relevant plants allows direct comparisons between degraded archaeological residues and associated raw, unprocessed plants</w:t>
      </w:r>
      <w:r w:rsidR="0038613A" w:rsidRPr="00901194">
        <w:rPr>
          <w:rFonts w:cs="Times New Roman"/>
        </w:rPr>
        <w:t>; it provides wide ranges of plant-derived molecules from known sources as reference samples.</w:t>
      </w:r>
      <w:r w:rsidR="00D1257F" w:rsidRPr="00901194">
        <w:rPr>
          <w:rFonts w:cs="Times New Roman"/>
        </w:rPr>
        <w:t xml:space="preserve"> </w:t>
      </w:r>
      <w:r w:rsidRPr="00901194">
        <w:rPr>
          <w:rFonts w:cs="Times New Roman"/>
        </w:rPr>
        <w:t xml:space="preserve">By making </w:t>
      </w:r>
      <w:r w:rsidR="00D1257F" w:rsidRPr="00901194">
        <w:rPr>
          <w:rFonts w:cs="Times New Roman"/>
        </w:rPr>
        <w:t xml:space="preserve">our </w:t>
      </w:r>
      <w:r w:rsidRPr="00901194">
        <w:rPr>
          <w:rFonts w:cs="Times New Roman"/>
        </w:rPr>
        <w:t>data available on popular MS platforms like GNPS</w:t>
      </w:r>
      <w:r w:rsidRPr="00901194">
        <w:rPr>
          <w:rFonts w:cs="Times New Roman"/>
        </w:rPr>
        <w:fldChar w:fldCharType="begin" w:fldLock="1"/>
      </w:r>
      <w:r w:rsidRPr="00901194">
        <w:rPr>
          <w:rFonts w:cs="Times New Roman"/>
        </w:rPr>
        <w:instrText>ADDIN CSL_CITATION {"citationItems":[{"id":"ITEM-1","itemData":{"DOI":"10.1038/nbt.3597.Sharing","ISBN":"1088-9051 (Print)\\r1088-9051 (Linking)","ISSN":"1087-0156","PMID":"27504778","abstract":"The potential of the diverse chemistries present in natural products (NP) for biotechnology and medicine remains untapped because NP databases are not searchable with raw data and the NP community has no way to share data other than in published papers. Although mass spectrometry techniques are well-suited to high-throughput characterization of natural products, there is a pressing need for an infrastructure to enable sharing and curation of data. We present Global Natural Products Social molecular networking (GNPS, http://gnps.ucsd.edu), an open-access knowledge base for community wide organization and sharing of raw, processed or identified tandem mass (MS/MS) spectrometry data. In GNPS crowdsourced curation of freely available community-wide reference MS libraries will underpin improved annotations. Data-driven social-networking should facilitate identification of spectra and foster collaborations. We also introduce the concept of 'living data' through continuous reanalysis of deposited data.","author":[{"dropping-particle":"","family":"Wang","given":"M.","non-dropping-particle":"","parse-names":false,"suffix":""},{"dropping-particle":"","family":"Carver","given":"J. J.","non-dropping-particle":"","parse-names":false,"suffix":""},{"dropping-particle":"V.","family":"Phelan","given":"V.","non-dropping-particle":"","parse-names":false,"suffix":""},{"dropping-particle":"","family":"Sanchez","given":"L. M.","non-dropping-particle":"","parse-names":false,"suffix":""},{"dropping-particle":"","family":"Garg","given":"N.","non-dropping-particle":"","parse-names":false,"suffix":""},{"dropping-particle":"","family":"Peng","given":"Y.","non-dropping-particle":"","parse-names":false,"suffix":""},{"dropping-particle":"","family":"Nguyen","given":"D. D.","non-dropping-particle":"","parse-names":false,"suffix":""},{"dropping-particle":"","family":"Watrous","given":"J.","non-dropping-particle":"","parse-names":false,"suffix":""},{"dropping-particle":"","family":"Kapono","given":"C. A.","non-dropping-particle":"","parse-names":false,"suffix":""},{"dropping-particle":"","family":"Luzzatto-Knaan","given":"T.","non-dropping-particle":"","parse-names":false,"suffix":""},{"dropping-particle":"","family":"Porto","given":"C.","non-dropping-particle":"","parse-names":false,"suffix":""},{"dropping-particle":"","family":"Bouslimani","given":"A.","non-dropping-particle":"","parse-names":false,"suffix":""},{"dropping-particle":"V.","family":"Melnik","given":"A.","non-dropping-particle":"","parse-names":false,"suffix":""},{"dropping-particle":"","family":"Meehan","given":"M. J.","non-dropping-particle":"","parse-names":false,"suffix":""},{"dropping-particle":"","family":"Liu","given":"W.-T.","non-dropping-particle":"","parse-names":false,"suffix":""},{"dropping-particle":"","family":"Crüsemann","given":"M.","non-dropping-particle":"","parse-names":false,"suffix":""},{"dropping-particle":"","family":"Boudreau","given":"P. D.","non-dropping-particle":"","parse-names":false,"suffix":""},{"dropping-particle":"","family":"Esquenazi","given":"E.","non-dropping-particle":"","parse-names":false,"suffix":""},{"dropping-particle":"","family":"Sandoval-Calderon","given":"M.","non-dropping-particle":"","parse-names":false,"suffix":""},{"dropping-particle":"","family":"Kersten","given":"R. D.","non-dropping-particle":"","parse-names":false,"suffix":""},{"dropping-particle":"","family":"Pace","given":"L. A.","non-dropping-particle":"","parse-names":false,"suffix":""},{"dropping-particle":"","family":"Quinn","given":"R. A.","non-dropping-particle":"","parse-names":false,"suffix":""},{"dropping-particle":"","family":"Duncan","given":"K. R.","non-dropping-particle":"","parse-names":false,"suffix":""},{"dropping-particle":"","family":"Hsu","given":"C.-C.","non-dropping-particle":"","parse-names":false,"suffix":""},{"dropping-particle":"","family":"Floros","given":"D. J.","non-dropping-particle":"","parse-names":false,"suffix":""},{"dropping-particle":"","family":"Gavilan","given":"R. G.","non-dropping-particle":"","parse-names":false,"suffix":""},{"dropping-particle":"","family":"Kleigrewe","given":"K.","non-dropping-particle":"","parse-names":false,"suffix":""},{"dropping-particle":"","family":"Northen","given":"T.","non-dropping-particle":"","parse-names":false,"suffix":""},{"dropping-particle":"","family":"Dutton","given":"R. J.","non-dropping-particle":"","parse-names":false,"suffix":""},{"dropping-particle":"","family":"Parrot","given":"D.","non-dropping-particle":"","parse-names":false,"suffix":""},{"dropping-particle":"","family":"Carlson","given":"E. E.","non-dropping-particle":"","parse-names":false,"suffix":""},{"dropping-particle":"","family":"Aigle","given":"B.","non-dropping-particle":"","parse-names":false,"suffix":""},{"dropping-particle":"","family":"Michelsen","given":"C. F.","non-dropping-particle":"","parse-names":false,"suffix":""},{"dropping-particle":"","family":"Jelsbak","given":"L.","non-dropping-particle":"","parse-names":false,"suffix":""},{"dropping-particle":"","family":"Sohlenkamp","given":"C.","non-dropping-particle":"","parse-names":false,"suffix":""},{"dropping-particle":"","family":"Pevzner","given":"P.","non-dropping-particle":"","parse-names":false,"suffix":""},{"dropping-particle":"","family":"Edlund","given":"A.","non-dropping-particle":"","parse-names":false,"suffix":""},{"dropping-particle":"","family":"McLean","given":"J.","non-dropping-particle":"","parse-names":false,"suffix":""},{"dropping-particle":"","family":"Piel","given":"J.","non-dropping-particle":"","parse-names":false,"suffix":""},{"dropping-particle":"","family":"Murphy","given":"B. T.","non-dropping-particle":"","parse-names":false,"suffix":""},{"dropping-particle":"","family":"Gerwick","given":"L.","non-dropping-particle":"","parse-names":false,"suffix":""},{"dropping-particle":"","family":"Liaw","given":"C.-C.","non-dropping-particle":"","parse-names":false,"suffix":""},{"dropping-particle":"","family":"Yang","given":"Y.-L.","non-dropping-particle":"","parse-names":false,"suffix":""},{"dropping-particle":"","family":"Humpf","given":"H.-U.","non-dropping-particle":"","parse-names":false,"suffix":""},{"dropping-particle":"","family":"Maansson","given":"M.","non-dropping-particle":"","parse-names":false,"suffix":""},{"dropping-particle":"","family":"Keyzers","given":"R. A.","non-dropping-particle":"","parse-names":false,"suffix":""},{"dropping-particle":"","family":"Sims","given":"A. C.","non-dropping-particle":"","parse-names":false,"suffix":""},{"dropping-particle":"","family":"Johnson","given":"A. R.","non-dropping-particle":"","parse-names":false,"suffix":""},{"dropping-particle":"","family":"Sidebottom","given":"A. M.","non-dropping-particle":"","parse-names":false,"suffix":""},{"dropping-particle":"","family":"Sedio","given":"B. E.","non-dropping-particle":"","parse-names":false,"suffix":""},{"dropping-particle":"","family":"Klitgaard","given":"A.","non-dropping-particle":"","parse-names":false,"suffix":""},{"dropping-particle":"","family":"Larson","given":"C. B.","non-dropping-particle":"","parse-names":false,"suffix":""},{"dropping-particle":"","family":"Boya P","given":"C. A.","non-dropping-particle":"","parse-names":false,"suffix":""},{"dropping-particle":"","family":"TorresMendoza","given":"D.","non-dropping-particle":"","parse-names":false,"suffix":""},{"dropping-particle":"","family":"Gonzalez","given":"D. J.","non-dropping-particle":"","parse-names":false,"suffix":""},{"dropping-particle":"","family":"Silva","given":"D. B.","non-dropping-particle":"","parse-names":false,"suffix":""},{"dropping-particle":"","family":"Marques","given":"L. M.","non-dropping-particle":"","parse-names":false,"suffix":""},{"dropping-particle":"","family":"Demarque","given":"D. P.","non-dropping-particle":"","parse-names":false,"suffix":""},{"dropping-particle":"","family":"Pociute","given":"E.","non-dropping-particle":"","parse-names":false,"suffix":""},{"dropping-particle":"","family":"O’Neill","given":"E. C.","non-dropping-particle":"","parse-names":false,"suffix":""},{"dropping-particle":"","family":"Briand","given":"E.","non-dropping-particle":"","parse-names":false,"suffix":""},{"dropping-particle":"","family":"Helfrich","given":"E. J. N.","non-dropping-particle":"","parse-names":false,"suffix":""},{"dropping-particle":"","family":"Granatosky","given":"E. A.","non-dropping-particle":"","parse-names":false,"suffix":""},{"dropping-particle":"","family":"Glukhov","given":"E.","non-dropping-particle":"","parse-names":false,"suffix":""},{"dropping-particle":"","family":"Ryffel","given":"F.","non-dropping-particle":"","parse-names":false,"suffix":""},{"dropping-particle":"","family":"Houson","given":"H.","non-dropping-particle":"","parse-names":false,"suffix":""},{"dropping-particle":"","family":"Mohimani","given":"H.","non-dropping-particle":"","parse-names":false,"suffix":""},{"dropping-particle":"","family":"Kharbush","given":"J. J.","non-dropping-particle":"","parse-names":false,"suffix":""},{"dropping-particle":"","family":"Zeng","given":"Y.","non-dropping-particle":"","parse-names":false,"suffix":""},{"dropping-particle":"","family":"Vorholt","given":"J. A.","non-dropping-particle":"","parse-names":false,"suffix":""},{"dropping-particle":"","family":"Kurita","given":"K. L.","non-dropping-particle":"","parse-names":false,"suffix":""},{"dropping-particle":"","family":"Charusanti","given":"P.","non-dropping-particle":"","parse-names":false,"suffix":""},{"dropping-particle":"","family":"McPhail","given":"K. L.","non-dropping-particle":"","parse-names":false,"suffix":""},{"dropping-particle":"","family":"Nielsen","given":"K. F.","non-dropping-particle":"","parse-names":false,"suffix":""},{"dropping-particle":"","family":"Vuong","given":"L.","non-dropping-particle":"","parse-names":false,"suffix":""},{"dropping-particle":"","family":"Elfeki","given":"M.","non-dropping-particle":"","parse-names":false,"suffix":""},{"dropping-particle":"","family":"Traxler","given":"M. F.","non-dropping-particle":"","parse-names":false,"suffix":""},{"dropping-particle":"","family":"Engene","given":"N.","non-dropping-particle":"","parse-names":false,"suffix":""},{"dropping-particle":"","family":"Koyama","given":"N.","non-dropping-particle":"","parse-names":false,"suffix":""},{"dropping-particle":"","family":"Vining","given":"O. B.","non-dropping-particle":"","parse-names":false,"suffix":""},{"dropping-particle":"","family":"Baric","given":"R.","non-dropping-particle":"","parse-names":false,"suffix":""},{"dropping-particle":"","family":"Silva","given":"R. R.","non-dropping-particle":"","parse-names":false,"suffix":""},{"dropping-particle":"","family":"Mascuch","given":"S. J.","non-dropping-particle":"","parse-names":false,"suffix":""},{"dropping-particle":"","family":"Tomasi","given":"S.","non-dropping-particle":"","parse-names":false,"suffix":""},{"dropping-particle":"","family":"Jenkins","given":"S.","non-dropping-particle":"","parse-names":false,"suffix":""},{"dropping-particle":"","family":"Macherla","given":"V.","non-dropping-particle":"","parse-names":false,"suffix":""},{"dropping-particle":"","family":"Hoffman","given":"T.","non-dropping-particle":"","parse-names":false,"suffix":""},{"dropping-particle":"","family":"Agarwal","given":"V.","non-dropping-particle":"","parse-names":false,"suffix":""},{"dropping-particle":"","family":"Williams","given":"P. G.","non-dropping-particle":"","parse-names":false,"suffix":""},{"dropping-particle":"","family":"Dai","given":"J.","non-dropping-particle":"","parse-names":false,"suffix":""},{"dropping-particle":"","family":"Neupane","given":"R.","non-dropping-particle":"","parse-names":false,"suffix":""},{"dropping-particle":"","family":"Gurr","given":"J.","non-dropping-particle":"","parse-names":false,"suffix":""},{"dropping-particle":"","family":"Rodríguez","given":"A. M.C.;","non-dropping-particle":"","parse-names":false,"suffix":""},{"dropping-particle":"","family":"Lamsa","given":"A.","non-dropping-particle":"","parse-names":false,"suffix":""},{"dropping-particle":"","family":"Zhang","given":"C.","non-dropping-particle":"","parse-names":false,"suffix":""},{"dropping-particle":"","family":"Dorrestein","given":"K.","non-dropping-particle":"","parse-names":false,"suffix":""},{"dropping-particle":"","family":"Duggan","given":"B. M.","non-dropping-particle":"","parse-names":false,"suffix":""},{"dropping-particle":"","family":"Almaliti","given":"J.","non-dropping-particle":"","parse-names":false,"suffix":""},{"dropping-particle":"","family":"Allard","given":"P.-M.","non-dropping-particle":"","parse-names":false,"suffix":""},{"dropping-particle":"","family":"Phapale","given":"P.","non-dropping-particle":"","parse-names":false,"suffix":""},{"dropping-particle":"","family":"Nothias","given":"L.-F.","non-dropping-particle":"","parse-names":false,"suffix":""},{"dropping-particle":"","family":"Alexandrov","given":"T.","non-dropping-particle":"","parse-names":false,"suffix":""},{"dropping-particle":"","family":"Litaudon","given":"M.","non-dropping-particle":"","parse-names":false,"suffix":""},{"dropping-particle":"","family":"Wolfender","given":"J.-L.","non-dropping-particle":"","parse-names":false,"suffix":""},{"dropping-particle":"","family":"Kyle","given":"J. E.","non-dropping-particle":"","parse-names":false,"suffix":""},{"dropping-particle":"","family":"Metz","given":"T. O.","non-dropping-particle":"","parse-names":false,"suffix":""},{"dropping-particle":"","family":"Peryea","given":"T.","non-dropping-particle":"","parse-names":false,"suffix":""},{"dropping-particle":"","family":"Nguyen","given":"D.-T.","non-dropping-particle":"","parse-names":false,"suffix":""},{"dropping-particle":"","family":"VanLeer","given":"D.","non-dropping-particle":"","parse-names":false,"suffix":""},{"dropping-particle":"","family":"Shinn","given":"P.","non-dropping-particle":"","parse-names":false,"suffix":""},{"dropping-particle":"","family":"Jadhav","given":"A.","non-dropping-particle":"","parse-names":false,"suffix":""},{"dropping-particle":"","family":"Müller","given":"R.","non-dropping-particle":"","parse-names":false,"suffix":""},{"dropping-particle":"","family":"Waters","given":"K. M.","non-dropping-particle":"","parse-names":false,"suffix":""},{"dropping-particle":"","family":"Shi","given":"W.","non-dropping-particle":"","parse-names":false,"suffix":""},{"dropping-particle":"","family":"Liu","given":"X.","non-dropping-particle":"","parse-names":false,"suffix":""},{"dropping-particle":"","family":"Zhang","given":"L.","non-dropping-particle":"","parse-names":false,"suffix":""},{"dropping-particle":"","family":"Knight","given":"R.","non-dropping-particle":"","parse-names":false,"suffix":""},{"dropping-particle":"","family":"Jensen","given":"P. R.","non-dropping-particle":"","parse-names":false,"suffix":""},{"dropping-particle":"","family":"Palsson","given":"B. Ø.","non-dropping-particle":"","parse-names":false,"suffix":""},{"dropping-particle":"","family":"Pogliano","given":"K.","non-dropping-particle":"","parse-names":false,"suffix":""},{"dropping-particle":"","family":"Linington","given":"R. G.","non-dropping-particle":"","parse-names":false,"suffix":""},{"dropping-particle":"","family":"Gutierrez","given":"M.","non-dropping-particle":"","parse-names":false,"suffix":""},{"dropping-particle":"","family":"Lopes","given":"N. P.","non-dropping-particle":"","parse-names":false,"suffix":""},{"dropping-particle":"","family":"Gerwick","given":"W. H.","non-dropping-particle":"","parse-names":false,"suffix":""},{"dropping-particle":"","family":"Moore","given":"B. S.","non-dropping-particle":"","parse-names":false,"suffix":""},{"dropping-particle":"","family":"Dorrestein","given":"P. C.","non-dropping-particle":"","parse-names":false,"suffix":""},{"dropping-particle":"","family":"Bandeira","given":"N.","non-dropping-particle":"","parse-names":false,"suffix":""}],"container-title":"Nature Biotechnology","id":"ITEM-1","issue":"8","issued":{"date-parts":[["2016"]]},"note":"Summary: Describes GNPS and its utility for community-based sharing and curation of MS data. Offers online dereplication, automated molecular networking analysis, and crowdsourced MS2 spectrum curation while housing a database for MS datasets.","page":"828-837","title":"Sharing and community curation of mass spectrometry data with GNPS","type":"article-journal","volume":"34"},"uris":["http://www.mendeley.com/documents/?uuid=57c2e997-fe84-4610-90ad-9fd58987614a"]}],"mendeley":{"formattedCitation":"&lt;sup&gt;45&lt;/sup&gt;","plainTextFormattedCitation":"45","previouslyFormattedCitation":"&lt;sup&gt;45&lt;/sup&gt;"},"properties":{"noteIndex":0},"schema":"https://github.com/citation-style-language/schema/raw/master/csl-citation.json"}</w:instrText>
      </w:r>
      <w:r w:rsidRPr="00901194">
        <w:rPr>
          <w:rFonts w:cs="Times New Roman"/>
        </w:rPr>
        <w:fldChar w:fldCharType="separate"/>
      </w:r>
      <w:r w:rsidRPr="00901194">
        <w:rPr>
          <w:rFonts w:cs="Times New Roman"/>
          <w:noProof/>
          <w:vertAlign w:val="superscript"/>
        </w:rPr>
        <w:t>45</w:t>
      </w:r>
      <w:r w:rsidRPr="00901194">
        <w:rPr>
          <w:rFonts w:cs="Times New Roman"/>
        </w:rPr>
        <w:fldChar w:fldCharType="end"/>
      </w:r>
      <w:r w:rsidRPr="00901194">
        <w:rPr>
          <w:rFonts w:cs="Times New Roman"/>
        </w:rPr>
        <w:t xml:space="preserve"> and Metabolomics Workbench</w:t>
      </w:r>
      <w:r w:rsidRPr="00901194">
        <w:rPr>
          <w:rFonts w:cs="Times New Roman"/>
        </w:rPr>
        <w:fldChar w:fldCharType="begin" w:fldLock="1"/>
      </w:r>
      <w:r w:rsidR="000D0072" w:rsidRPr="00901194">
        <w:rPr>
          <w:rFonts w:cs="Times New Roman"/>
        </w:rPr>
        <w:instrText>ADDIN CSL_CITATION {"citationItems":[{"id":"ITEM-1","itemData":{"DOI":"10.1093/nar/gkv1042","ISSN":"13624962","PMID":"26467476","abstract":"The Metabolomics Workbench, available at www.metabolomicsworkbench.org, is a public repository for metabolomics metadata and experimental data spanning various species and experimental platforms, metabolite standards, metabolite structures, protocols, tutorials, and training material and other educational resources. It provides a computational platform to integrate, analyze, track, deposit and disseminate large volumes of heterogeneous data from a wide variety of metabolomics studies including mass spectrometry (MS) and nuclear magnetic resonance spectrometry (NMR) data spanning over 20 different species covering all the major taxonomic categories including humans and other mammals, plants, insects, invertebrates and microorganisms. Additionally, a number of protocols are provided for a range of metabolite classes, sample types, and both MS and NMR-based studies, along with a metabolite structure database. The metabolites characterized in the studies available on the Metabolomics Workbench are linked to chemical structures in the metabolite structure database to facilitate comparative analysis across studies. The Metabolomics Workbench, part of the data coordinating effort of the National Institute of Health (NIH) Common Fund's Metabolomics Program, provides data from the Common Fund's Metabolomics Resource Cores, metabolite standards, and analysis tools to the wider metabolomics community and seeks data depositions from metabolomics researchers across the world.","author":[{"dropping-particle":"","family":"Sud","given":"Manish","non-dropping-particle":"","parse-names":false,"suffix":""},{"dropping-particle":"","family":"Fahy","given":"Eoin","non-dropping-particle":"","parse-names":false,"suffix":""},{"dropping-particle":"","family":"Cotter","given":"Dawn","non-dropping-particle":"","parse-names":false,"suffix":""},{"dropping-particle":"","family":"Azam","given":"Kenan","non-dropping-particle":"","parse-names":false,"suffix":""},{"dropping-particle":"","family":"Vadivelu","given":"Ilango","non-dropping-particle":"","parse-names":false,"suffix":""},{"dropping-particle":"","family":"Burant","given":"Charles","non-dropping-particle":"","parse-names":false,"suffix":""},{"dropping-particle":"","family":"Edison","given":"Arthur","non-dropping-particle":"","parse-names":false,"suffix":""},{"dropping-particle":"","family":"Fiehn","given":"Oliver","non-dropping-particle":"","parse-names":false,"suffix":""},{"dropping-particle":"","family":"Higashi","given":"Richard","non-dropping-particle":"","parse-names":false,"suffix":""},{"dropping-particle":"","family":"Nair","given":"K. Sreekumaran","non-dropping-particle":"","parse-names":false,"suffix":""},{"dropping-particle":"","family":"Sumner","given":"Susan","non-dropping-particle":"","parse-names":false,"suffix":""},{"dropping-particle":"","family":"Subramaniam","given":"Shankar","non-dropping-particle":"","parse-names":false,"suffix":""}],"container-title":"Nucleic Acids Research","id":"ITEM-1","issue":"D1","issued":{"date-parts":[["2016"]]},"page":"D463-D470","title":"Metabolomics Workbench: An international repository for metabolomics data and metadata, metabolite standards, protocols, tutorials and training, and analysis tools","type":"article-journal","volume":"44"},"uris":["http://www.mendeley.com/documents/?uuid=f19748b7-e1f5-471e-a264-fe249441827a"]}],"mendeley":{"formattedCitation":"&lt;sup&gt;107&lt;/sup&gt;","plainTextFormattedCitation":"107","previouslyFormattedCitation":"&lt;sup&gt;107&lt;/sup&gt;"},"properties":{"noteIndex":0},"schema":"https://github.com/citation-style-language/schema/raw/master/csl-citation.json"}</w:instrText>
      </w:r>
      <w:r w:rsidRPr="00901194">
        <w:rPr>
          <w:rFonts w:cs="Times New Roman"/>
        </w:rPr>
        <w:fldChar w:fldCharType="separate"/>
      </w:r>
      <w:r w:rsidRPr="00901194">
        <w:rPr>
          <w:rFonts w:cs="Times New Roman"/>
          <w:noProof/>
          <w:vertAlign w:val="superscript"/>
        </w:rPr>
        <w:t>107</w:t>
      </w:r>
      <w:r w:rsidRPr="00901194">
        <w:rPr>
          <w:rFonts w:cs="Times New Roman"/>
        </w:rPr>
        <w:fldChar w:fldCharType="end"/>
      </w:r>
      <w:r w:rsidR="00AF54B6" w:rsidRPr="00901194">
        <w:rPr>
          <w:rFonts w:cs="Times New Roman"/>
        </w:rPr>
        <w:t>, we want to enable other residue analysis researchers to use these data for comparing against archaeological residues.</w:t>
      </w:r>
      <w:r w:rsidR="00694441" w:rsidRPr="00901194">
        <w:rPr>
          <w:rFonts w:cs="Times New Roman"/>
        </w:rPr>
        <w:t xml:space="preserve"> </w:t>
      </w:r>
      <w:r w:rsidR="00AF54B6" w:rsidRPr="00901194">
        <w:rPr>
          <w:rFonts w:cs="Times New Roman"/>
        </w:rPr>
        <w:t xml:space="preserve">Ideally, using raw plant/diet material as part of a residue reference database should </w:t>
      </w:r>
      <w:r w:rsidR="007E3CD5" w:rsidRPr="00901194">
        <w:rPr>
          <w:rFonts w:cs="Times New Roman"/>
        </w:rPr>
        <w:t xml:space="preserve">improve </w:t>
      </w:r>
      <w:r w:rsidR="00AF54B6" w:rsidRPr="00901194">
        <w:rPr>
          <w:rFonts w:cs="Times New Roman"/>
        </w:rPr>
        <w:t>the number and quality of annotations. Publishing these data is our primary goal with this project</w:t>
      </w:r>
      <w:r w:rsidR="00030779" w:rsidRPr="00901194">
        <w:rPr>
          <w:rFonts w:cs="Times New Roman"/>
        </w:rPr>
        <w:t>,</w:t>
      </w:r>
      <w:r w:rsidR="00AF54B6" w:rsidRPr="00901194">
        <w:rPr>
          <w:rFonts w:cs="Times New Roman"/>
        </w:rPr>
        <w:t xml:space="preserve"> and we plan to </w:t>
      </w:r>
      <w:r w:rsidR="003A4BBD" w:rsidRPr="00901194">
        <w:rPr>
          <w:rFonts w:cs="Times New Roman"/>
        </w:rPr>
        <w:t xml:space="preserve">create panels </w:t>
      </w:r>
      <w:r w:rsidR="002E5139" w:rsidRPr="00901194">
        <w:rPr>
          <w:rFonts w:cs="Times New Roman"/>
        </w:rPr>
        <w:t xml:space="preserve">customized to residue analyses </w:t>
      </w:r>
      <w:r w:rsidR="003A4BBD" w:rsidRPr="00901194">
        <w:rPr>
          <w:rFonts w:cs="Times New Roman"/>
        </w:rPr>
        <w:t xml:space="preserve">with </w:t>
      </w:r>
      <w:r w:rsidR="00AF54B6" w:rsidRPr="00901194">
        <w:rPr>
          <w:rFonts w:cs="Times New Roman"/>
        </w:rPr>
        <w:t>archaeologists</w:t>
      </w:r>
      <w:r w:rsidR="003A4BBD" w:rsidRPr="00901194">
        <w:rPr>
          <w:rFonts w:cs="Times New Roman"/>
        </w:rPr>
        <w:t xml:space="preserve">. </w:t>
      </w:r>
      <w:r w:rsidR="00AF54B6" w:rsidRPr="00901194">
        <w:rPr>
          <w:rFonts w:cs="Times New Roman"/>
        </w:rPr>
        <w:t xml:space="preserve">We also </w:t>
      </w:r>
      <w:r w:rsidR="002E5139" w:rsidRPr="00901194">
        <w:rPr>
          <w:rFonts w:cs="Times New Roman"/>
        </w:rPr>
        <w:t xml:space="preserve">will </w:t>
      </w:r>
      <w:r w:rsidR="00AF54B6" w:rsidRPr="00901194">
        <w:rPr>
          <w:rFonts w:cs="Times New Roman"/>
        </w:rPr>
        <w:t xml:space="preserve">expand the dataset by including plants from other regions, especially those native to the Africa, Asia, and Europe, as well as processed food materials. This exploration of processed food’s chemistry is particularly important </w:t>
      </w:r>
      <w:r w:rsidR="00532545" w:rsidRPr="00901194">
        <w:rPr>
          <w:rFonts w:cs="Times New Roman"/>
        </w:rPr>
        <w:t>considering</w:t>
      </w:r>
      <w:r w:rsidR="00AF54B6" w:rsidRPr="00901194">
        <w:rPr>
          <w:rFonts w:cs="Times New Roman"/>
        </w:rPr>
        <w:t xml:space="preserve"> ancient residues simply report the molecule, or molecules, of interest </w:t>
      </w:r>
      <w:r w:rsidR="002E5139" w:rsidRPr="00901194">
        <w:rPr>
          <w:rFonts w:cs="Times New Roman"/>
        </w:rPr>
        <w:t xml:space="preserve">was </w:t>
      </w:r>
      <w:r w:rsidR="00AF54B6" w:rsidRPr="00901194">
        <w:rPr>
          <w:rFonts w:cs="Times New Roman"/>
        </w:rPr>
        <w:t xml:space="preserve">exposed to the archaeological sample at some point in time; it is a small component of the </w:t>
      </w:r>
      <w:r w:rsidR="00AF54B6" w:rsidRPr="00901194">
        <w:rPr>
          <w:rFonts w:cs="Times New Roman"/>
        </w:rPr>
        <w:lastRenderedPageBreak/>
        <w:t xml:space="preserve">vessel’s longer lifespan and exposures to different foods. Extending the data to contain processed foods, food mixtures, and processed food mixtures offers chances to explore the varieties of organic residues and the ways they reflect past human behavior. </w:t>
      </w:r>
      <w:r w:rsidR="009352CD">
        <w:rPr>
          <w:rFonts w:cs="Times New Roman"/>
        </w:rPr>
        <w:t xml:space="preserve">However, creating untargeted metabolome data of raw, unprocessed plant material represents a necessary first step to deeper investigations of ancient dietary recipes, food preparation/processing techniques, and food chemistry in the past. </w:t>
      </w:r>
      <w:r w:rsidR="00AF54B6" w:rsidRPr="00901194">
        <w:rPr>
          <w:rFonts w:cs="Times New Roman"/>
        </w:rPr>
        <w:t>As residue analysis methods and data improve with the increased adoption of high-quality reference samples, researchers can begin exploring deeper and more complex questions about molecular taphonomy, foodway variations over time and space, and past human behavior.</w:t>
      </w:r>
    </w:p>
    <w:p w14:paraId="11CA9072" w14:textId="71218A74" w:rsidR="00EA1302" w:rsidRPr="00901194" w:rsidRDefault="003A4BBD" w:rsidP="003A4BBD">
      <w:pPr>
        <w:spacing w:line="259" w:lineRule="auto"/>
        <w:rPr>
          <w:rFonts w:cs="Times New Roman"/>
        </w:rPr>
      </w:pPr>
      <w:r w:rsidRPr="00901194">
        <w:rPr>
          <w:rFonts w:cs="Times New Roman"/>
        </w:rPr>
        <w:br w:type="page"/>
      </w:r>
    </w:p>
    <w:p w14:paraId="25604D98" w14:textId="64FB2360" w:rsidR="003A4BBD" w:rsidRPr="00901194" w:rsidRDefault="000F1AA3" w:rsidP="000F1AA3">
      <w:pPr>
        <w:pStyle w:val="ChapterHeading1"/>
      </w:pPr>
      <w:bookmarkStart w:id="101" w:name="_Toc134185991"/>
      <w:r w:rsidRPr="00901194">
        <w:lastRenderedPageBreak/>
        <w:t>CHAPTER 5 - CONCLUSIONS</w:t>
      </w:r>
      <w:bookmarkEnd w:id="101"/>
    </w:p>
    <w:p w14:paraId="7B50AB90" w14:textId="1FEF55F4" w:rsidR="00541B14" w:rsidRPr="00901194" w:rsidRDefault="003A4BBD" w:rsidP="003A4BBD">
      <w:pPr>
        <w:rPr>
          <w:rFonts w:cs="Times New Roman"/>
        </w:rPr>
      </w:pPr>
      <w:r w:rsidRPr="00901194">
        <w:rPr>
          <w:rFonts w:cs="Times New Roman"/>
        </w:rPr>
        <w:tab/>
      </w:r>
      <w:r w:rsidR="00F276EA" w:rsidRPr="00901194">
        <w:rPr>
          <w:rFonts w:cs="Times New Roman"/>
        </w:rPr>
        <w:t xml:space="preserve">The </w:t>
      </w:r>
      <w:r w:rsidR="00197203" w:rsidRPr="00901194">
        <w:rPr>
          <w:rFonts w:cs="Times New Roman"/>
        </w:rPr>
        <w:t xml:space="preserve">research discussed in this dissertation </w:t>
      </w:r>
      <w:r w:rsidR="005C00B7" w:rsidRPr="00901194">
        <w:rPr>
          <w:rFonts w:cs="Times New Roman"/>
        </w:rPr>
        <w:t xml:space="preserve">represents various ways of applying MS-based metabolomics to address anthropological questions. </w:t>
      </w:r>
      <w:r w:rsidR="00BD000A" w:rsidRPr="00901194">
        <w:rPr>
          <w:rFonts w:cs="Times New Roman"/>
        </w:rPr>
        <w:t>MS-based metabolomics offers a unique lens into the intersection of human biology with the environment, including how unique lifestyles and their consequences can be gleaned down to a molecular level. With an anthropological context, t</w:t>
      </w:r>
      <w:r w:rsidR="003A31C1" w:rsidRPr="00901194">
        <w:rPr>
          <w:rFonts w:cs="Times New Roman"/>
        </w:rPr>
        <w:t xml:space="preserve">hese chapters highlight </w:t>
      </w:r>
      <w:r w:rsidR="002E5139" w:rsidRPr="00901194">
        <w:rPr>
          <w:rFonts w:cs="Times New Roman"/>
        </w:rPr>
        <w:t xml:space="preserve">specific </w:t>
      </w:r>
      <w:r w:rsidR="00BD000A" w:rsidRPr="00901194">
        <w:rPr>
          <w:rFonts w:cs="Times New Roman"/>
        </w:rPr>
        <w:t xml:space="preserve">MS-based metabolomic </w:t>
      </w:r>
      <w:r w:rsidR="002E5139" w:rsidRPr="00901194">
        <w:rPr>
          <w:rFonts w:cs="Times New Roman"/>
        </w:rPr>
        <w:t xml:space="preserve">investigations into aspects </w:t>
      </w:r>
      <w:r w:rsidR="00541B14" w:rsidRPr="00901194">
        <w:rPr>
          <w:rFonts w:cs="Times New Roman"/>
        </w:rPr>
        <w:t>of human biology and behavior, both in the present and the past</w:t>
      </w:r>
      <w:r w:rsidR="00BD000A" w:rsidRPr="00901194">
        <w:rPr>
          <w:rFonts w:cs="Times New Roman"/>
        </w:rPr>
        <w:t>.</w:t>
      </w:r>
    </w:p>
    <w:p w14:paraId="6885616B" w14:textId="4B85BB44" w:rsidR="008142EB" w:rsidRPr="00901194" w:rsidRDefault="00541B14" w:rsidP="003A4BBD">
      <w:pPr>
        <w:rPr>
          <w:rFonts w:cs="Times New Roman"/>
        </w:rPr>
      </w:pPr>
      <w:r w:rsidRPr="00901194">
        <w:rPr>
          <w:rFonts w:cs="Times New Roman"/>
        </w:rPr>
        <w:tab/>
        <w:t xml:space="preserve">Chapter Two, “Untargeted Fecal Metabolomic Analyses across an Industrialization Gradient Reveal Shared Metabolites and Impact of Industrialization on Fecal Microbiome-Metabolome Interactions”, provides a novel examination of human fecal metabolomes with a focus on representing </w:t>
      </w:r>
      <w:r w:rsidR="00D77988" w:rsidRPr="00901194">
        <w:rPr>
          <w:rFonts w:cs="Times New Roman"/>
        </w:rPr>
        <w:t>variations of human lifestyles</w:t>
      </w:r>
      <w:r w:rsidR="006178F2" w:rsidRPr="00901194">
        <w:rPr>
          <w:rFonts w:cs="Times New Roman"/>
        </w:rPr>
        <w:t xml:space="preserve">, industrialization influence, and </w:t>
      </w:r>
      <w:r w:rsidR="00D77988" w:rsidRPr="00901194">
        <w:rPr>
          <w:rFonts w:cs="Times New Roman"/>
        </w:rPr>
        <w:t xml:space="preserve">geographic origins. </w:t>
      </w:r>
      <w:r w:rsidR="005F4CCF" w:rsidRPr="00901194">
        <w:rPr>
          <w:rFonts w:cs="Times New Roman"/>
        </w:rPr>
        <w:t xml:space="preserve">By analyzing fecal metabolomes of humans, from western industrialized peoples to traditional hunter-gatherers in the Amazon, we identified metabolomic consequences of different human lifestyles. Specific molecules like urobilin and leucocholic acid illustrate these behavior-biology relationships. Moreover, this research presented new evidence of a shared human fecal metabolome present in major human groups. </w:t>
      </w:r>
      <w:r w:rsidR="006178F2" w:rsidRPr="00901194">
        <w:rPr>
          <w:rFonts w:cs="Times New Roman"/>
        </w:rPr>
        <w:t xml:space="preserve">Incorporating microbial data enabled investigations into how this shared metabolome co-occurs with specific gut microbes like multiple </w:t>
      </w:r>
      <w:r w:rsidR="006178F2" w:rsidRPr="00901194">
        <w:rPr>
          <w:rFonts w:cs="Times New Roman"/>
          <w:i/>
          <w:iCs/>
        </w:rPr>
        <w:t xml:space="preserve">Sporobacter </w:t>
      </w:r>
      <w:r w:rsidR="006178F2" w:rsidRPr="00901194">
        <w:rPr>
          <w:rFonts w:cs="Times New Roman"/>
        </w:rPr>
        <w:t xml:space="preserve">species. </w:t>
      </w:r>
      <w:r w:rsidR="008142EB" w:rsidRPr="00901194">
        <w:rPr>
          <w:rFonts w:cs="Times New Roman"/>
        </w:rPr>
        <w:t>Together, this chapter detailed the core chemistry of the human gut as it interacts with our unique behaviors while also demonstrating evidence of our shared humanity down to a chemical level.</w:t>
      </w:r>
    </w:p>
    <w:p w14:paraId="17618A2B" w14:textId="6F91C587" w:rsidR="00D965EA" w:rsidRPr="00901194" w:rsidRDefault="008142EB" w:rsidP="003A4BBD">
      <w:pPr>
        <w:rPr>
          <w:rFonts w:cs="Times New Roman"/>
        </w:rPr>
      </w:pPr>
      <w:r w:rsidRPr="00901194">
        <w:rPr>
          <w:rFonts w:cs="Times New Roman"/>
        </w:rPr>
        <w:tab/>
        <w:t xml:space="preserve">Chapter Three, “Untargeted Mass Spectrometry-Based Metabolomics Reveals Responses to High Fiber Whole-Food Diets and Microbiome Composition in Mice“, took a different approach from traditional anthropological studies by investigating metabolomic mechanisms </w:t>
      </w:r>
      <w:r w:rsidRPr="00901194">
        <w:rPr>
          <w:rFonts w:cs="Times New Roman"/>
        </w:rPr>
        <w:lastRenderedPageBreak/>
        <w:t xml:space="preserve">associated with diet-induced microbial changes. This project </w:t>
      </w:r>
      <w:r w:rsidR="00547EF5" w:rsidRPr="00901194">
        <w:rPr>
          <w:rFonts w:cs="Times New Roman"/>
        </w:rPr>
        <w:t xml:space="preserve">studied how three transplanted microbiome communities responded to legume, vegetable, and whole grain diets by focusing on cecum and serum metabolites modulated by these microbial communities. Specific donor, diet, and donor-diet patterns were gleaned, as evident by the whole grain diet exhibiting the greatest number of unique metabolites across both metabolomes. Meanwhile, the effects of microbiome donor communities </w:t>
      </w:r>
      <w:r w:rsidR="0009051D" w:rsidRPr="00901194">
        <w:rPr>
          <w:rFonts w:cs="Times New Roman"/>
        </w:rPr>
        <w:t xml:space="preserve">on the number of unique metabolite features were more mixed. Unique cecum metabolite features influenced by microbiome donor were varied by diet, but donor effects on the serum metabolome were muted overall. </w:t>
      </w:r>
      <w:r w:rsidR="00750066" w:rsidRPr="00901194">
        <w:rPr>
          <w:rFonts w:cs="Times New Roman"/>
        </w:rPr>
        <w:t xml:space="preserve">Specific molecule classes like triterpenoids were varyingly influenced by diet and microbiome community, illustrating potential mechanisms for microbial and dietary activity on these metabolomes. </w:t>
      </w:r>
      <w:r w:rsidR="00F913F6" w:rsidRPr="00901194">
        <w:rPr>
          <w:rFonts w:cs="Times New Roman"/>
        </w:rPr>
        <w:t>Through using mice as a controlled, systematic research environment</w:t>
      </w:r>
      <w:r w:rsidR="006178F2" w:rsidRPr="00901194">
        <w:rPr>
          <w:rFonts w:cs="Times New Roman"/>
        </w:rPr>
        <w:t xml:space="preserve">, </w:t>
      </w:r>
      <w:r w:rsidR="00F913F6" w:rsidRPr="00901194">
        <w:rPr>
          <w:rFonts w:cs="Times New Roman"/>
        </w:rPr>
        <w:t xml:space="preserve">these data show </w:t>
      </w:r>
      <w:r w:rsidR="006178F2" w:rsidRPr="00901194">
        <w:rPr>
          <w:rFonts w:cs="Times New Roman"/>
        </w:rPr>
        <w:t>new approaches for exploring personalized health responses to diets.</w:t>
      </w:r>
    </w:p>
    <w:p w14:paraId="4CD845C2" w14:textId="77777777" w:rsidR="006178F2" w:rsidRPr="00901194" w:rsidRDefault="006178F2" w:rsidP="006178F2">
      <w:pPr>
        <w:rPr>
          <w:rFonts w:cs="Times New Roman"/>
        </w:rPr>
      </w:pPr>
      <w:r w:rsidRPr="00901194">
        <w:rPr>
          <w:rFonts w:cs="Times New Roman"/>
        </w:rPr>
        <w:tab/>
        <w:t>Chapter Four, “Mass Spectrometry Database of Archaeologically Relevant Plants</w:t>
      </w:r>
    </w:p>
    <w:p w14:paraId="0D9CB67B" w14:textId="78876F91" w:rsidR="006178F2" w:rsidRPr="00901194" w:rsidRDefault="006178F2" w:rsidP="006178F2">
      <w:pPr>
        <w:rPr>
          <w:rFonts w:cs="Times New Roman"/>
        </w:rPr>
      </w:pPr>
      <w:r w:rsidRPr="00901194">
        <w:rPr>
          <w:rFonts w:cs="Times New Roman"/>
        </w:rPr>
        <w:t xml:space="preserve">for Organic Residue Analysis”, shifted focus to ancient molecules through developing new methods and novel data for archaeological organic residue analysis. In this project, plant samples from different regions significant to archaeologists were analyzed using similar techniques as seen in the previous biology-focused chapters. These plant metabolomes were characterized to provide </w:t>
      </w:r>
      <w:r w:rsidR="00CB24F6" w:rsidRPr="00901194">
        <w:rPr>
          <w:rFonts w:cs="Times New Roman"/>
        </w:rPr>
        <w:t xml:space="preserve">broad chemical profiles of these plants for archaeologists to reference when doing residue analysis. These data will be made publicly available on a variety of MS databases, but preliminary investigations highlighted </w:t>
      </w:r>
      <w:r w:rsidR="00853CF1" w:rsidRPr="00901194">
        <w:rPr>
          <w:rFonts w:cs="Times New Roman"/>
        </w:rPr>
        <w:t xml:space="preserve">common plant-associated </w:t>
      </w:r>
      <w:r w:rsidR="00CB24F6" w:rsidRPr="00901194">
        <w:rPr>
          <w:rFonts w:cs="Times New Roman"/>
        </w:rPr>
        <w:t>molecules</w:t>
      </w:r>
      <w:r w:rsidR="00853CF1" w:rsidRPr="00901194">
        <w:rPr>
          <w:rFonts w:cs="Times New Roman"/>
        </w:rPr>
        <w:t>,</w:t>
      </w:r>
      <w:r w:rsidR="00CB24F6" w:rsidRPr="00901194">
        <w:rPr>
          <w:rFonts w:cs="Times New Roman"/>
        </w:rPr>
        <w:t xml:space="preserve"> like </w:t>
      </w:r>
      <w:r w:rsidR="00853CF1" w:rsidRPr="00901194">
        <w:rPr>
          <w:rFonts w:cs="Times New Roman"/>
        </w:rPr>
        <w:t>capsa</w:t>
      </w:r>
      <w:r w:rsidR="00734A06" w:rsidRPr="00901194">
        <w:rPr>
          <w:rFonts w:cs="Times New Roman"/>
        </w:rPr>
        <w:t>i</w:t>
      </w:r>
      <w:r w:rsidR="00853CF1" w:rsidRPr="00901194">
        <w:rPr>
          <w:rFonts w:cs="Times New Roman"/>
        </w:rPr>
        <w:t>cin, caffeine, and hordenine, were present in the data</w:t>
      </w:r>
      <w:r w:rsidR="00CB24F6" w:rsidRPr="00901194">
        <w:rPr>
          <w:rFonts w:cs="Times New Roman"/>
        </w:rPr>
        <w:t>.</w:t>
      </w:r>
      <w:r w:rsidR="00853CF1" w:rsidRPr="00901194">
        <w:rPr>
          <w:rFonts w:cs="Times New Roman"/>
        </w:rPr>
        <w:t xml:space="preserve"> These patterns demonstrate the efficacy of the extraction/analytical methods and reveal differential abundances based on region. Once forthcoming analyses are concluded and the data are publicly accessible, deeper patterns can be </w:t>
      </w:r>
      <w:r w:rsidR="00853CF1" w:rsidRPr="00901194">
        <w:rPr>
          <w:rFonts w:cs="Times New Roman"/>
        </w:rPr>
        <w:lastRenderedPageBreak/>
        <w:t xml:space="preserve">explored, such as molecular expressions of plant adaptations to their region and molecular taphonomy. </w:t>
      </w:r>
      <w:r w:rsidR="00A706DF" w:rsidRPr="00901194">
        <w:rPr>
          <w:rFonts w:cs="Times New Roman"/>
        </w:rPr>
        <w:t>Overall</w:t>
      </w:r>
      <w:r w:rsidR="00853CF1" w:rsidRPr="00901194">
        <w:rPr>
          <w:rFonts w:cs="Times New Roman"/>
        </w:rPr>
        <w:t xml:space="preserve">, the use of these plant data could </w:t>
      </w:r>
      <w:r w:rsidR="00DD744B" w:rsidRPr="00901194">
        <w:rPr>
          <w:rFonts w:cs="Times New Roman"/>
        </w:rPr>
        <w:t xml:space="preserve">elevate the </w:t>
      </w:r>
      <w:r w:rsidR="00096BE4" w:rsidRPr="00901194">
        <w:rPr>
          <w:rFonts w:cs="Times New Roman"/>
        </w:rPr>
        <w:t xml:space="preserve">number and quality of </w:t>
      </w:r>
      <w:r w:rsidR="00DD744B" w:rsidRPr="00901194">
        <w:rPr>
          <w:rFonts w:cs="Times New Roman"/>
        </w:rPr>
        <w:t>annotations detected in plant-based archaeological residues.</w:t>
      </w:r>
    </w:p>
    <w:p w14:paraId="75028131" w14:textId="61FF3AE2" w:rsidR="00532545" w:rsidRPr="00901194" w:rsidRDefault="00096BE4" w:rsidP="00096BE4">
      <w:pPr>
        <w:rPr>
          <w:rFonts w:cs="Times New Roman"/>
        </w:rPr>
      </w:pPr>
      <w:r w:rsidRPr="00901194">
        <w:rPr>
          <w:rFonts w:cs="Times New Roman"/>
        </w:rPr>
        <w:tab/>
        <w:t xml:space="preserve">Taken together, these three chapters </w:t>
      </w:r>
      <w:r w:rsidR="00CB5FE0" w:rsidRPr="00901194">
        <w:rPr>
          <w:rFonts w:cs="Times New Roman"/>
        </w:rPr>
        <w:t xml:space="preserve">present varied research projects using MS-based metabolomics </w:t>
      </w:r>
      <w:r w:rsidR="00662E8D" w:rsidRPr="00901194">
        <w:rPr>
          <w:rFonts w:cs="Times New Roman"/>
        </w:rPr>
        <w:t>in anthropological contexts</w:t>
      </w:r>
      <w:r w:rsidRPr="00901194">
        <w:rPr>
          <w:rFonts w:cs="Times New Roman"/>
        </w:rPr>
        <w:t xml:space="preserve">. MS-based metabolomics approaches not only provide unique perspectives into the molecular dimensions to human health and biology, but such approaches are uniquely poised to explore the intersection of human health and biology with lifestyle, behavior, and the environment. </w:t>
      </w:r>
      <w:r w:rsidR="00A87488" w:rsidRPr="00901194">
        <w:rPr>
          <w:rFonts w:cs="Times New Roman"/>
        </w:rPr>
        <w:t>However, it is important to note that much work remains to integrate MS-based metabolomics approaches with anthropology, especially in ancient contexts.</w:t>
      </w:r>
      <w:r w:rsidR="007510F5" w:rsidRPr="00901194">
        <w:rPr>
          <w:rFonts w:cs="Times New Roman"/>
        </w:rPr>
        <w:t xml:space="preserve"> Since molecular taphonomy and preservation is still poorly understood, t</w:t>
      </w:r>
      <w:r w:rsidR="00A87488" w:rsidRPr="00901194">
        <w:rPr>
          <w:rFonts w:cs="Times New Roman"/>
        </w:rPr>
        <w:t>here is a significant need to develop untargeted MS methods for investigating ancient molecules</w:t>
      </w:r>
      <w:r w:rsidR="007510F5" w:rsidRPr="00901194">
        <w:rPr>
          <w:rFonts w:cs="Times New Roman"/>
        </w:rPr>
        <w:t xml:space="preserve">. Nevertheless, MS-based metabolomics </w:t>
      </w:r>
      <w:r w:rsidR="00CF3C16" w:rsidRPr="00901194">
        <w:rPr>
          <w:rFonts w:cs="Times New Roman"/>
        </w:rPr>
        <w:t>is recognized as</w:t>
      </w:r>
      <w:r w:rsidR="007510F5" w:rsidRPr="00901194">
        <w:rPr>
          <w:rFonts w:cs="Times New Roman"/>
        </w:rPr>
        <w:t xml:space="preserve"> increasingly important in biological and health contexts. Understanding the whole of human biology</w:t>
      </w:r>
      <w:r w:rsidR="00662E8D" w:rsidRPr="00901194">
        <w:rPr>
          <w:rFonts w:cs="Times New Roman"/>
        </w:rPr>
        <w:t xml:space="preserve">, </w:t>
      </w:r>
      <w:r w:rsidR="007510F5" w:rsidRPr="00901194">
        <w:rPr>
          <w:rFonts w:cs="Times New Roman"/>
        </w:rPr>
        <w:t>health</w:t>
      </w:r>
      <w:r w:rsidR="00662E8D" w:rsidRPr="00901194">
        <w:rPr>
          <w:rFonts w:cs="Times New Roman"/>
        </w:rPr>
        <w:t>, and their connections to lifestyles</w:t>
      </w:r>
      <w:r w:rsidR="007510F5" w:rsidRPr="00901194">
        <w:rPr>
          <w:rFonts w:cs="Times New Roman"/>
        </w:rPr>
        <w:t xml:space="preserve">, both in the past and the present, requires </w:t>
      </w:r>
      <w:r w:rsidR="00662E8D" w:rsidRPr="00901194">
        <w:rPr>
          <w:rFonts w:cs="Times New Roman"/>
        </w:rPr>
        <w:t xml:space="preserve">MS-based metabolomics to </w:t>
      </w:r>
      <w:r w:rsidR="00CF3C16" w:rsidRPr="00901194">
        <w:rPr>
          <w:rFonts w:cs="Times New Roman"/>
        </w:rPr>
        <w:t>highlight</w:t>
      </w:r>
      <w:r w:rsidR="00662E8D" w:rsidRPr="00901194">
        <w:rPr>
          <w:rFonts w:cs="Times New Roman"/>
        </w:rPr>
        <w:t xml:space="preserve"> the molecular</w:t>
      </w:r>
      <w:r w:rsidR="001A3E4B" w:rsidRPr="00901194">
        <w:rPr>
          <w:rFonts w:cs="Times New Roman"/>
        </w:rPr>
        <w:t>ly-informed</w:t>
      </w:r>
      <w:r w:rsidR="00662E8D" w:rsidRPr="00901194">
        <w:rPr>
          <w:rFonts w:cs="Times New Roman"/>
        </w:rPr>
        <w:t xml:space="preserve"> </w:t>
      </w:r>
      <w:r w:rsidR="00CF3C16" w:rsidRPr="00901194">
        <w:rPr>
          <w:rFonts w:cs="Times New Roman"/>
        </w:rPr>
        <w:t xml:space="preserve">answers </w:t>
      </w:r>
      <w:r w:rsidR="00662E8D" w:rsidRPr="00901194">
        <w:rPr>
          <w:rFonts w:cs="Times New Roman"/>
        </w:rPr>
        <w:t>to these questions. Ultimately, this dissertation represents the wealth of information that MS-based metabolomics offers to anthropology.</w:t>
      </w:r>
    </w:p>
    <w:p w14:paraId="347875E9" w14:textId="77777777" w:rsidR="00532545" w:rsidRPr="00901194" w:rsidRDefault="00532545">
      <w:pPr>
        <w:spacing w:line="259" w:lineRule="auto"/>
        <w:rPr>
          <w:rFonts w:cs="Times New Roman"/>
        </w:rPr>
      </w:pPr>
      <w:r w:rsidRPr="00901194">
        <w:rPr>
          <w:rFonts w:cs="Times New Roman"/>
        </w:rPr>
        <w:br w:type="page"/>
      </w:r>
    </w:p>
    <w:p w14:paraId="22FD0A01" w14:textId="1676A837" w:rsidR="009B6A78" w:rsidRPr="00901194" w:rsidRDefault="00D965EA" w:rsidP="00F04E39">
      <w:pPr>
        <w:pStyle w:val="ChapterHeading1"/>
        <w:jc w:val="center"/>
      </w:pPr>
      <w:bookmarkStart w:id="102" w:name="_Toc134185992"/>
      <w:r w:rsidRPr="00901194">
        <w:lastRenderedPageBreak/>
        <w:t>Bibliography</w:t>
      </w:r>
      <w:bookmarkEnd w:id="102"/>
    </w:p>
    <w:p w14:paraId="7ADF67FA" w14:textId="3E9808C7" w:rsidR="002D780B" w:rsidRPr="002D780B" w:rsidRDefault="00D965EA" w:rsidP="002D780B">
      <w:pPr>
        <w:widowControl w:val="0"/>
        <w:autoSpaceDE w:val="0"/>
        <w:autoSpaceDN w:val="0"/>
        <w:adjustRightInd w:val="0"/>
        <w:spacing w:after="0" w:line="240" w:lineRule="auto"/>
        <w:ind w:left="640" w:hanging="640"/>
        <w:rPr>
          <w:rFonts w:cs="Times New Roman"/>
          <w:noProof/>
          <w:szCs w:val="24"/>
        </w:rPr>
      </w:pPr>
      <w:r w:rsidRPr="00901194">
        <w:rPr>
          <w:rFonts w:cs="Times New Roman"/>
        </w:rPr>
        <w:fldChar w:fldCharType="begin" w:fldLock="1"/>
      </w:r>
      <w:r w:rsidRPr="00901194">
        <w:rPr>
          <w:rFonts w:cs="Times New Roman"/>
        </w:rPr>
        <w:instrText xml:space="preserve">ADDIN Mendeley Bibliography CSL_BIBLIOGRAPHY </w:instrText>
      </w:r>
      <w:r w:rsidRPr="00901194">
        <w:rPr>
          <w:rFonts w:cs="Times New Roman"/>
        </w:rPr>
        <w:fldChar w:fldCharType="separate"/>
      </w:r>
      <w:r w:rsidR="002D780B" w:rsidRPr="002D780B">
        <w:rPr>
          <w:rFonts w:cs="Times New Roman"/>
          <w:noProof/>
          <w:szCs w:val="24"/>
        </w:rPr>
        <w:t>1.</w:t>
      </w:r>
      <w:r w:rsidR="002D780B" w:rsidRPr="002D780B">
        <w:rPr>
          <w:rFonts w:cs="Times New Roman"/>
          <w:noProof/>
          <w:szCs w:val="24"/>
        </w:rPr>
        <w:tab/>
        <w:t xml:space="preserve">Patti, G. J., Yanes, O. &amp; Siuzdak, G. Metabolomics: the apogee of the omic trilogy. </w:t>
      </w:r>
      <w:r w:rsidR="002D780B" w:rsidRPr="002D780B">
        <w:rPr>
          <w:rFonts w:cs="Times New Roman"/>
          <w:i/>
          <w:iCs/>
          <w:noProof/>
          <w:szCs w:val="24"/>
        </w:rPr>
        <w:t>Nat Rev Mol Cell Biol</w:t>
      </w:r>
      <w:r w:rsidR="002D780B" w:rsidRPr="002D780B">
        <w:rPr>
          <w:rFonts w:cs="Times New Roman"/>
          <w:noProof/>
          <w:szCs w:val="24"/>
        </w:rPr>
        <w:t xml:space="preserve"> </w:t>
      </w:r>
      <w:r w:rsidR="002D780B" w:rsidRPr="002D780B">
        <w:rPr>
          <w:rFonts w:cs="Times New Roman"/>
          <w:b/>
          <w:bCs/>
          <w:noProof/>
          <w:szCs w:val="24"/>
        </w:rPr>
        <w:t>13</w:t>
      </w:r>
      <w:r w:rsidR="002D780B" w:rsidRPr="002D780B">
        <w:rPr>
          <w:rFonts w:cs="Times New Roman"/>
          <w:noProof/>
          <w:szCs w:val="24"/>
        </w:rPr>
        <w:t>, 263–269 (2012).</w:t>
      </w:r>
    </w:p>
    <w:p w14:paraId="67A4DEA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w:t>
      </w:r>
      <w:r w:rsidRPr="002D780B">
        <w:rPr>
          <w:rFonts w:cs="Times New Roman"/>
          <w:noProof/>
          <w:szCs w:val="24"/>
        </w:rPr>
        <w:tab/>
        <w:t xml:space="preserve">Kottak, P. C. </w:t>
      </w:r>
      <w:r w:rsidRPr="002D780B">
        <w:rPr>
          <w:rFonts w:cs="Times New Roman"/>
          <w:i/>
          <w:iCs/>
          <w:noProof/>
          <w:szCs w:val="24"/>
        </w:rPr>
        <w:t>Anthropology: Appreciating Human Diversity</w:t>
      </w:r>
      <w:r w:rsidRPr="002D780B">
        <w:rPr>
          <w:rFonts w:cs="Times New Roman"/>
          <w:noProof/>
          <w:szCs w:val="24"/>
        </w:rPr>
        <w:t>. (McGraw Hill, 2018).</w:t>
      </w:r>
    </w:p>
    <w:p w14:paraId="3AFE77D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w:t>
      </w:r>
      <w:r w:rsidRPr="002D780B">
        <w:rPr>
          <w:rFonts w:cs="Times New Roman"/>
          <w:noProof/>
          <w:szCs w:val="24"/>
        </w:rPr>
        <w:tab/>
        <w:t xml:space="preserve">Marks, J. What Is Molecular Anthropology? What Can It Be? </w:t>
      </w:r>
      <w:r w:rsidRPr="002D780B">
        <w:rPr>
          <w:rFonts w:cs="Times New Roman"/>
          <w:i/>
          <w:iCs/>
          <w:noProof/>
          <w:szCs w:val="24"/>
        </w:rPr>
        <w:t>Evol. Anthropol.</w:t>
      </w:r>
      <w:r w:rsidRPr="002D780B">
        <w:rPr>
          <w:rFonts w:cs="Times New Roman"/>
          <w:noProof/>
          <w:szCs w:val="24"/>
        </w:rPr>
        <w:t xml:space="preserve"> </w:t>
      </w:r>
      <w:r w:rsidRPr="002D780B">
        <w:rPr>
          <w:rFonts w:cs="Times New Roman"/>
          <w:b/>
          <w:bCs/>
          <w:noProof/>
          <w:szCs w:val="24"/>
        </w:rPr>
        <w:t>11</w:t>
      </w:r>
      <w:r w:rsidRPr="002D780B">
        <w:rPr>
          <w:rFonts w:cs="Times New Roman"/>
          <w:noProof/>
          <w:szCs w:val="24"/>
        </w:rPr>
        <w:t>, 131–135 (2002).</w:t>
      </w:r>
    </w:p>
    <w:p w14:paraId="4F47943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w:t>
      </w:r>
      <w:r w:rsidRPr="002D780B">
        <w:rPr>
          <w:rFonts w:cs="Times New Roman"/>
          <w:noProof/>
          <w:szCs w:val="24"/>
        </w:rPr>
        <w:tab/>
        <w:t xml:space="preserve">Moeller, A. H., Li, Y., Mpoudi Ngole, E., Ahuka-Mundeke, S., Lonsdorf, E. V., Pusey, A. E., Peeters, M., Hahn, B. H. &amp; Ochman, H. Rapid changes in the gut microbiome during human evolution. </w:t>
      </w:r>
      <w:r w:rsidRPr="002D780B">
        <w:rPr>
          <w:rFonts w:cs="Times New Roman"/>
          <w:i/>
          <w:iCs/>
          <w:noProof/>
          <w:szCs w:val="24"/>
        </w:rPr>
        <w:t>Proc. Natl. Acad. Sci.</w:t>
      </w:r>
      <w:r w:rsidRPr="002D780B">
        <w:rPr>
          <w:rFonts w:cs="Times New Roman"/>
          <w:noProof/>
          <w:szCs w:val="24"/>
        </w:rPr>
        <w:t xml:space="preserve"> </w:t>
      </w:r>
      <w:r w:rsidRPr="002D780B">
        <w:rPr>
          <w:rFonts w:cs="Times New Roman"/>
          <w:b/>
          <w:bCs/>
          <w:noProof/>
          <w:szCs w:val="24"/>
        </w:rPr>
        <w:t>111</w:t>
      </w:r>
      <w:r w:rsidRPr="002D780B">
        <w:rPr>
          <w:rFonts w:cs="Times New Roman"/>
          <w:noProof/>
          <w:szCs w:val="24"/>
        </w:rPr>
        <w:t>, 16431–16435 (2014).</w:t>
      </w:r>
    </w:p>
    <w:p w14:paraId="080F106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w:t>
      </w:r>
      <w:r w:rsidRPr="002D780B">
        <w:rPr>
          <w:rFonts w:cs="Times New Roman"/>
          <w:noProof/>
          <w:szCs w:val="24"/>
        </w:rPr>
        <w:tab/>
        <w:t xml:space="preserve">Kuzawa, C. W. &amp; Quinn, E. A. Developmental Origins of Adult Function and Health: Evolutionary Hypotheses. </w:t>
      </w:r>
      <w:r w:rsidRPr="002D780B">
        <w:rPr>
          <w:rFonts w:cs="Times New Roman"/>
          <w:i/>
          <w:iCs/>
          <w:noProof/>
          <w:szCs w:val="24"/>
        </w:rPr>
        <w:t>Annu. Rev. Anthropol.</w:t>
      </w:r>
      <w:r w:rsidRPr="002D780B">
        <w:rPr>
          <w:rFonts w:cs="Times New Roman"/>
          <w:noProof/>
          <w:szCs w:val="24"/>
        </w:rPr>
        <w:t xml:space="preserve"> </w:t>
      </w:r>
      <w:r w:rsidRPr="002D780B">
        <w:rPr>
          <w:rFonts w:cs="Times New Roman"/>
          <w:b/>
          <w:bCs/>
          <w:noProof/>
          <w:szCs w:val="24"/>
        </w:rPr>
        <w:t>38</w:t>
      </w:r>
      <w:r w:rsidRPr="002D780B">
        <w:rPr>
          <w:rFonts w:cs="Times New Roman"/>
          <w:noProof/>
          <w:szCs w:val="24"/>
        </w:rPr>
        <w:t>, 131–147 (2009).</w:t>
      </w:r>
    </w:p>
    <w:p w14:paraId="44F4046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w:t>
      </w:r>
      <w:r w:rsidRPr="002D780B">
        <w:rPr>
          <w:rFonts w:cs="Times New Roman"/>
          <w:noProof/>
          <w:szCs w:val="24"/>
        </w:rPr>
        <w:tab/>
        <w:t xml:space="preserve">Millikan, R. The Changing Face of Epidemiology in the Genomics Era. </w:t>
      </w:r>
      <w:r w:rsidRPr="002D780B">
        <w:rPr>
          <w:rFonts w:cs="Times New Roman"/>
          <w:i/>
          <w:iCs/>
          <w:noProof/>
          <w:szCs w:val="24"/>
        </w:rPr>
        <w:t>Epidemiology</w:t>
      </w:r>
      <w:r w:rsidRPr="002D780B">
        <w:rPr>
          <w:rFonts w:cs="Times New Roman"/>
          <w:noProof/>
          <w:szCs w:val="24"/>
        </w:rPr>
        <w:t xml:space="preserve"> </w:t>
      </w:r>
      <w:r w:rsidRPr="002D780B">
        <w:rPr>
          <w:rFonts w:cs="Times New Roman"/>
          <w:b/>
          <w:bCs/>
          <w:noProof/>
          <w:szCs w:val="24"/>
        </w:rPr>
        <w:t>13</w:t>
      </w:r>
      <w:r w:rsidRPr="002D780B">
        <w:rPr>
          <w:rFonts w:cs="Times New Roman"/>
          <w:noProof/>
          <w:szCs w:val="24"/>
        </w:rPr>
        <w:t>, 472–480 (2023).</w:t>
      </w:r>
    </w:p>
    <w:p w14:paraId="6059888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w:t>
      </w:r>
      <w:r w:rsidRPr="002D780B">
        <w:rPr>
          <w:rFonts w:cs="Times New Roman"/>
          <w:noProof/>
          <w:szCs w:val="24"/>
        </w:rPr>
        <w:tab/>
        <w:t xml:space="preserve">Green, R. E., Krause, J., Ptak, S. E., Briggs, A. W., Ronan, M. T., Simons, J. F., Du, L., Egholm, M., Rothberg, J. M., Pauvnovic, M. &amp; Pääbo, S. Analysis of one million base pairs of Neanderthal DNA. </w:t>
      </w:r>
      <w:r w:rsidRPr="002D780B">
        <w:rPr>
          <w:rFonts w:cs="Times New Roman"/>
          <w:i/>
          <w:iCs/>
          <w:noProof/>
          <w:szCs w:val="24"/>
        </w:rPr>
        <w:t>Nature</w:t>
      </w:r>
      <w:r w:rsidRPr="002D780B">
        <w:rPr>
          <w:rFonts w:cs="Times New Roman"/>
          <w:noProof/>
          <w:szCs w:val="24"/>
        </w:rPr>
        <w:t xml:space="preserve"> </w:t>
      </w:r>
      <w:r w:rsidRPr="002D780B">
        <w:rPr>
          <w:rFonts w:cs="Times New Roman"/>
          <w:b/>
          <w:bCs/>
          <w:noProof/>
          <w:szCs w:val="24"/>
        </w:rPr>
        <w:t>444</w:t>
      </w:r>
      <w:r w:rsidRPr="002D780B">
        <w:rPr>
          <w:rFonts w:cs="Times New Roman"/>
          <w:noProof/>
          <w:szCs w:val="24"/>
        </w:rPr>
        <w:t>, 330–336 (2006).</w:t>
      </w:r>
    </w:p>
    <w:p w14:paraId="65D6B9B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w:t>
      </w:r>
      <w:r w:rsidRPr="002D780B">
        <w:rPr>
          <w:rFonts w:cs="Times New Roman"/>
          <w:noProof/>
          <w:szCs w:val="24"/>
        </w:rPr>
        <w:tab/>
        <w:t xml:space="preserve">Ovchinnikov, I. V., Götherström, A., Romanova, G. P., Kharitonov, V. M., Lidén, K. &amp; Goodwin, W. Molecular analysis of Neanderthal DNA from the northern Caucasus. </w:t>
      </w:r>
      <w:r w:rsidRPr="002D780B">
        <w:rPr>
          <w:rFonts w:cs="Times New Roman"/>
          <w:i/>
          <w:iCs/>
          <w:noProof/>
          <w:szCs w:val="24"/>
        </w:rPr>
        <w:t>Nature</w:t>
      </w:r>
      <w:r w:rsidRPr="002D780B">
        <w:rPr>
          <w:rFonts w:cs="Times New Roman"/>
          <w:noProof/>
          <w:szCs w:val="24"/>
        </w:rPr>
        <w:t xml:space="preserve"> </w:t>
      </w:r>
      <w:r w:rsidRPr="002D780B">
        <w:rPr>
          <w:rFonts w:cs="Times New Roman"/>
          <w:b/>
          <w:bCs/>
          <w:noProof/>
          <w:szCs w:val="24"/>
        </w:rPr>
        <w:t>404</w:t>
      </w:r>
      <w:r w:rsidRPr="002D780B">
        <w:rPr>
          <w:rFonts w:cs="Times New Roman"/>
          <w:noProof/>
          <w:szCs w:val="24"/>
        </w:rPr>
        <w:t>, 490–493 (2000).</w:t>
      </w:r>
    </w:p>
    <w:p w14:paraId="799EACA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w:t>
      </w:r>
      <w:r w:rsidRPr="002D780B">
        <w:rPr>
          <w:rFonts w:cs="Times New Roman"/>
          <w:noProof/>
          <w:szCs w:val="24"/>
        </w:rPr>
        <w:tab/>
        <w:t xml:space="preserve">Hendy, J., Colonese, A. C., Franz, I., Fernandes, R., Fischer, R., Orton, D., Lucquin, A., Spindler, L., Anvari, J., Stroud, E., Biehl, P. F., Speller, C., Boivin, N., Mackie, M., Jersie-Christensen, R. R., Olsen, J. V., Collins, M. J., Craig, O. E. &amp; Rosenstock, E. Ancient proteins from ceramic vessels at Çatalhöyük West reveal the hidden cuisine of early farmers. </w:t>
      </w:r>
      <w:r w:rsidRPr="002D780B">
        <w:rPr>
          <w:rFonts w:cs="Times New Roman"/>
          <w:i/>
          <w:iCs/>
          <w:noProof/>
          <w:szCs w:val="24"/>
        </w:rPr>
        <w:t>Nat. Commun.</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(2018).</w:t>
      </w:r>
    </w:p>
    <w:p w14:paraId="5752EF2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w:t>
      </w:r>
      <w:r w:rsidRPr="002D780B">
        <w:rPr>
          <w:rFonts w:cs="Times New Roman"/>
          <w:noProof/>
          <w:szCs w:val="24"/>
        </w:rPr>
        <w:tab/>
        <w:t xml:space="preserve">Fiehn, O. Metabolomics--the link between genotypes and phenotypes. </w:t>
      </w:r>
      <w:r w:rsidRPr="002D780B">
        <w:rPr>
          <w:rFonts w:cs="Times New Roman"/>
          <w:i/>
          <w:iCs/>
          <w:noProof/>
          <w:szCs w:val="24"/>
        </w:rPr>
        <w:t>Plant Mol. Biol.</w:t>
      </w:r>
      <w:r w:rsidRPr="002D780B">
        <w:rPr>
          <w:rFonts w:cs="Times New Roman"/>
          <w:noProof/>
          <w:szCs w:val="24"/>
        </w:rPr>
        <w:t xml:space="preserve"> </w:t>
      </w:r>
      <w:r w:rsidRPr="002D780B">
        <w:rPr>
          <w:rFonts w:cs="Times New Roman"/>
          <w:b/>
          <w:bCs/>
          <w:noProof/>
          <w:szCs w:val="24"/>
        </w:rPr>
        <w:t>48</w:t>
      </w:r>
      <w:r w:rsidRPr="002D780B">
        <w:rPr>
          <w:rFonts w:cs="Times New Roman"/>
          <w:noProof/>
          <w:szCs w:val="24"/>
        </w:rPr>
        <w:t>, 155–71 (2002).</w:t>
      </w:r>
    </w:p>
    <w:p w14:paraId="23AD1BC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w:t>
      </w:r>
      <w:r w:rsidRPr="002D780B">
        <w:rPr>
          <w:rFonts w:cs="Times New Roman"/>
          <w:noProof/>
          <w:szCs w:val="24"/>
        </w:rPr>
        <w:tab/>
        <w:t xml:space="preserve">Dettmer, K., Aronov, P. A. &amp; Hammock, B. D. Mass Spectrometry-Based Metabolomics. </w:t>
      </w:r>
      <w:r w:rsidRPr="002D780B">
        <w:rPr>
          <w:rFonts w:cs="Times New Roman"/>
          <w:i/>
          <w:iCs/>
          <w:noProof/>
          <w:szCs w:val="24"/>
        </w:rPr>
        <w:t>Mass Spectrom. Rev.</w:t>
      </w:r>
      <w:r w:rsidRPr="002D780B">
        <w:rPr>
          <w:rFonts w:cs="Times New Roman"/>
          <w:noProof/>
          <w:szCs w:val="24"/>
        </w:rPr>
        <w:t xml:space="preserve"> </w:t>
      </w:r>
      <w:r w:rsidRPr="002D780B">
        <w:rPr>
          <w:rFonts w:cs="Times New Roman"/>
          <w:b/>
          <w:bCs/>
          <w:noProof/>
          <w:szCs w:val="24"/>
        </w:rPr>
        <w:t>26</w:t>
      </w:r>
      <w:r w:rsidRPr="002D780B">
        <w:rPr>
          <w:rFonts w:cs="Times New Roman"/>
          <w:noProof/>
          <w:szCs w:val="24"/>
        </w:rPr>
        <w:t>, 51–78 (2007).</w:t>
      </w:r>
    </w:p>
    <w:p w14:paraId="4310A4F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w:t>
      </w:r>
      <w:r w:rsidRPr="002D780B">
        <w:rPr>
          <w:rFonts w:cs="Times New Roman"/>
          <w:noProof/>
          <w:szCs w:val="24"/>
        </w:rPr>
        <w:tab/>
        <w:t xml:space="preserve">Viant, M. R., Kurland, I. J., Jones, M. R. &amp; Dunn, W. B. How close are we to complete annotation of metabolomes? </w:t>
      </w:r>
      <w:r w:rsidRPr="002D780B">
        <w:rPr>
          <w:rFonts w:cs="Times New Roman"/>
          <w:i/>
          <w:iCs/>
          <w:noProof/>
          <w:szCs w:val="24"/>
        </w:rPr>
        <w:t>Curr. Opin. Chem. Biol.</w:t>
      </w:r>
      <w:r w:rsidRPr="002D780B">
        <w:rPr>
          <w:rFonts w:cs="Times New Roman"/>
          <w:noProof/>
          <w:szCs w:val="24"/>
        </w:rPr>
        <w:t xml:space="preserve"> </w:t>
      </w:r>
      <w:r w:rsidRPr="002D780B">
        <w:rPr>
          <w:rFonts w:cs="Times New Roman"/>
          <w:b/>
          <w:bCs/>
          <w:noProof/>
          <w:szCs w:val="24"/>
        </w:rPr>
        <w:t>36</w:t>
      </w:r>
      <w:r w:rsidRPr="002D780B">
        <w:rPr>
          <w:rFonts w:cs="Times New Roman"/>
          <w:noProof/>
          <w:szCs w:val="24"/>
        </w:rPr>
        <w:t>, 64–69 (2017).</w:t>
      </w:r>
    </w:p>
    <w:p w14:paraId="7095B6F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w:t>
      </w:r>
      <w:r w:rsidRPr="002D780B">
        <w:rPr>
          <w:rFonts w:cs="Times New Roman"/>
          <w:noProof/>
          <w:szCs w:val="24"/>
        </w:rPr>
        <w:tab/>
        <w:t xml:space="preserve">Bino, R. J., Hall, R. D., Fiehn, O., Kopka, J., Saito, K., Draper, J., Nikolau, B. J., Mendes, P., Roessner-Tunali, U., Beale, M. H., Trethewey, R. N., Lange, B. M., Wurtele, E. S. &amp; Sumner, L. W. Potential of metabolomics as a functional genomics tool. </w:t>
      </w:r>
      <w:r w:rsidRPr="002D780B">
        <w:rPr>
          <w:rFonts w:cs="Times New Roman"/>
          <w:i/>
          <w:iCs/>
          <w:noProof/>
          <w:szCs w:val="24"/>
        </w:rPr>
        <w:t>Trends Plant Sci.</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418–425 (2004).</w:t>
      </w:r>
    </w:p>
    <w:p w14:paraId="3A9887F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w:t>
      </w:r>
      <w:r w:rsidRPr="002D780B">
        <w:rPr>
          <w:rFonts w:cs="Times New Roman"/>
          <w:noProof/>
          <w:szCs w:val="24"/>
        </w:rPr>
        <w:tab/>
        <w:t xml:space="preserve">Wolfender, J., Marti, G., Thomas, A. &amp; Bertrand, S. Current approaches and challenges for the metabolite profiling of complex natural extracts. </w:t>
      </w:r>
      <w:r w:rsidRPr="002D780B">
        <w:rPr>
          <w:rFonts w:cs="Times New Roman"/>
          <w:i/>
          <w:iCs/>
          <w:noProof/>
          <w:szCs w:val="24"/>
        </w:rPr>
        <w:t>J. Chromatogr. A</w:t>
      </w:r>
      <w:r w:rsidRPr="002D780B">
        <w:rPr>
          <w:rFonts w:cs="Times New Roman"/>
          <w:noProof/>
          <w:szCs w:val="24"/>
        </w:rPr>
        <w:t xml:space="preserve"> </w:t>
      </w:r>
      <w:r w:rsidRPr="002D780B">
        <w:rPr>
          <w:rFonts w:cs="Times New Roman"/>
          <w:b/>
          <w:bCs/>
          <w:noProof/>
          <w:szCs w:val="24"/>
        </w:rPr>
        <w:t>1382</w:t>
      </w:r>
      <w:r w:rsidRPr="002D780B">
        <w:rPr>
          <w:rFonts w:cs="Times New Roman"/>
          <w:noProof/>
          <w:szCs w:val="24"/>
        </w:rPr>
        <w:t>, 136–164 (2015).</w:t>
      </w:r>
    </w:p>
    <w:p w14:paraId="08A4894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w:t>
      </w:r>
      <w:r w:rsidRPr="002D780B">
        <w:rPr>
          <w:rFonts w:cs="Times New Roman"/>
          <w:noProof/>
          <w:szCs w:val="24"/>
        </w:rPr>
        <w:tab/>
        <w:t xml:space="preserve">Greaves, J. &amp; Roboz, J. </w:t>
      </w:r>
      <w:r w:rsidRPr="002D780B">
        <w:rPr>
          <w:rFonts w:cs="Times New Roman"/>
          <w:i/>
          <w:iCs/>
          <w:noProof/>
          <w:szCs w:val="24"/>
        </w:rPr>
        <w:t>Mass Spectrometry for the Novice</w:t>
      </w:r>
      <w:r w:rsidRPr="002D780B">
        <w:rPr>
          <w:rFonts w:cs="Times New Roman"/>
          <w:noProof/>
          <w:szCs w:val="24"/>
        </w:rPr>
        <w:t>. (CRC Press, 2014).</w:t>
      </w:r>
    </w:p>
    <w:p w14:paraId="2B329F3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w:t>
      </w:r>
      <w:r w:rsidRPr="002D780B">
        <w:rPr>
          <w:rFonts w:cs="Times New Roman"/>
          <w:noProof/>
          <w:szCs w:val="24"/>
        </w:rPr>
        <w:tab/>
        <w:t xml:space="preserve">Zamboni, N., Saghatelian, A. &amp; Patti, G. J. Defining the Metabolome: Size, Flux, and Regulation. </w:t>
      </w:r>
      <w:r w:rsidRPr="002D780B">
        <w:rPr>
          <w:rFonts w:cs="Times New Roman"/>
          <w:i/>
          <w:iCs/>
          <w:noProof/>
          <w:szCs w:val="24"/>
        </w:rPr>
        <w:t>Mol. Cell</w:t>
      </w:r>
      <w:r w:rsidRPr="002D780B">
        <w:rPr>
          <w:rFonts w:cs="Times New Roman"/>
          <w:noProof/>
          <w:szCs w:val="24"/>
        </w:rPr>
        <w:t xml:space="preserve"> </w:t>
      </w:r>
      <w:r w:rsidRPr="002D780B">
        <w:rPr>
          <w:rFonts w:cs="Times New Roman"/>
          <w:b/>
          <w:bCs/>
          <w:noProof/>
          <w:szCs w:val="24"/>
        </w:rPr>
        <w:t>58</w:t>
      </w:r>
      <w:r w:rsidRPr="002D780B">
        <w:rPr>
          <w:rFonts w:cs="Times New Roman"/>
          <w:noProof/>
          <w:szCs w:val="24"/>
        </w:rPr>
        <w:t>, 699–706 (2015).</w:t>
      </w:r>
    </w:p>
    <w:p w14:paraId="5012CC9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w:t>
      </w:r>
      <w:r w:rsidRPr="002D780B">
        <w:rPr>
          <w:rFonts w:cs="Times New Roman"/>
          <w:noProof/>
          <w:szCs w:val="24"/>
        </w:rPr>
        <w:tab/>
        <w:t xml:space="preserve">Roberts, L. D., Souza, A. L., Gerszten, R. E. &amp; Clish, C. B. Targeted metabolomics. </w:t>
      </w:r>
      <w:r w:rsidRPr="002D780B">
        <w:rPr>
          <w:rFonts w:cs="Times New Roman"/>
          <w:i/>
          <w:iCs/>
          <w:noProof/>
          <w:szCs w:val="24"/>
        </w:rPr>
        <w:t>Curr. Protoc. Mol. Biol.</w:t>
      </w:r>
      <w:r w:rsidRPr="002D780B">
        <w:rPr>
          <w:rFonts w:cs="Times New Roman"/>
          <w:noProof/>
          <w:szCs w:val="24"/>
        </w:rPr>
        <w:t xml:space="preserve"> </w:t>
      </w:r>
      <w:r w:rsidRPr="002D780B">
        <w:rPr>
          <w:rFonts w:cs="Times New Roman"/>
          <w:b/>
          <w:bCs/>
          <w:noProof/>
          <w:szCs w:val="24"/>
        </w:rPr>
        <w:t>98</w:t>
      </w:r>
      <w:r w:rsidRPr="002D780B">
        <w:rPr>
          <w:rFonts w:cs="Times New Roman"/>
          <w:noProof/>
          <w:szCs w:val="24"/>
        </w:rPr>
        <w:t>, 1–34 (2012).</w:t>
      </w:r>
    </w:p>
    <w:p w14:paraId="7C3F548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w:t>
      </w:r>
      <w:r w:rsidRPr="002D780B">
        <w:rPr>
          <w:rFonts w:cs="Times New Roman"/>
          <w:noProof/>
          <w:szCs w:val="24"/>
        </w:rPr>
        <w:tab/>
        <w:t xml:space="preserve">Matsuda, F. Technical Challenges in Mass Spectrometry-Based Metabolomics. </w:t>
      </w:r>
      <w:r w:rsidRPr="002D780B">
        <w:rPr>
          <w:rFonts w:cs="Times New Roman"/>
          <w:i/>
          <w:iCs/>
          <w:noProof/>
          <w:szCs w:val="24"/>
        </w:rPr>
        <w:t>Mass Spectrom.</w:t>
      </w:r>
      <w:r w:rsidRPr="002D780B">
        <w:rPr>
          <w:rFonts w:cs="Times New Roman"/>
          <w:noProof/>
          <w:szCs w:val="24"/>
        </w:rPr>
        <w:t xml:space="preserve"> </w:t>
      </w:r>
      <w:r w:rsidRPr="002D780B">
        <w:rPr>
          <w:rFonts w:cs="Times New Roman"/>
          <w:b/>
          <w:bCs/>
          <w:noProof/>
          <w:szCs w:val="24"/>
        </w:rPr>
        <w:t>5</w:t>
      </w:r>
      <w:r w:rsidRPr="002D780B">
        <w:rPr>
          <w:rFonts w:cs="Times New Roman"/>
          <w:noProof/>
          <w:szCs w:val="24"/>
        </w:rPr>
        <w:t>, S0052–S0052 (2016).</w:t>
      </w:r>
    </w:p>
    <w:p w14:paraId="249ACE8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w:t>
      </w:r>
      <w:r w:rsidRPr="002D780B">
        <w:rPr>
          <w:rFonts w:cs="Times New Roman"/>
          <w:noProof/>
          <w:szCs w:val="24"/>
        </w:rPr>
        <w:tab/>
        <w:t xml:space="preserve">Coskun, O. Separation Techniques: Chromatography. </w:t>
      </w:r>
      <w:r w:rsidRPr="002D780B">
        <w:rPr>
          <w:rFonts w:cs="Times New Roman"/>
          <w:i/>
          <w:iCs/>
          <w:noProof/>
          <w:szCs w:val="24"/>
        </w:rPr>
        <w:t>North. Clin. Istanbul</w:t>
      </w:r>
      <w:r w:rsidRPr="002D780B">
        <w:rPr>
          <w:rFonts w:cs="Times New Roman"/>
          <w:noProof/>
          <w:szCs w:val="24"/>
        </w:rPr>
        <w:t xml:space="preserve"> </w:t>
      </w:r>
      <w:r w:rsidRPr="002D780B">
        <w:rPr>
          <w:rFonts w:cs="Times New Roman"/>
          <w:b/>
          <w:bCs/>
          <w:noProof/>
          <w:szCs w:val="24"/>
        </w:rPr>
        <w:t>3</w:t>
      </w:r>
      <w:r w:rsidRPr="002D780B">
        <w:rPr>
          <w:rFonts w:cs="Times New Roman"/>
          <w:noProof/>
          <w:szCs w:val="24"/>
        </w:rPr>
        <w:t xml:space="preserve">, 156–160 </w:t>
      </w:r>
      <w:r w:rsidRPr="002D780B">
        <w:rPr>
          <w:rFonts w:cs="Times New Roman"/>
          <w:noProof/>
          <w:szCs w:val="24"/>
        </w:rPr>
        <w:lastRenderedPageBreak/>
        <w:t>(2016).</w:t>
      </w:r>
    </w:p>
    <w:p w14:paraId="61F20B4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w:t>
      </w:r>
      <w:r w:rsidRPr="002D780B">
        <w:rPr>
          <w:rFonts w:cs="Times New Roman"/>
          <w:noProof/>
          <w:szCs w:val="24"/>
        </w:rPr>
        <w:tab/>
        <w:t xml:space="preserve">Brockbals, L., Habicht, M., Hajdas, I., Galassi, F. M., Rühli, F. J. &amp; Kraemer, T. Untargeted metabolomics-like screening approach for chemical characterization and differentiation of canopic jar and mummy samples from Ancient Egypt using GC-high resolution MS. </w:t>
      </w:r>
      <w:r w:rsidRPr="002D780B">
        <w:rPr>
          <w:rFonts w:cs="Times New Roman"/>
          <w:i/>
          <w:iCs/>
          <w:noProof/>
          <w:szCs w:val="24"/>
        </w:rPr>
        <w:t>Analyst</w:t>
      </w:r>
      <w:r w:rsidRPr="002D780B">
        <w:rPr>
          <w:rFonts w:cs="Times New Roman"/>
          <w:noProof/>
          <w:szCs w:val="24"/>
        </w:rPr>
        <w:t xml:space="preserve"> </w:t>
      </w:r>
      <w:r w:rsidRPr="002D780B">
        <w:rPr>
          <w:rFonts w:cs="Times New Roman"/>
          <w:b/>
          <w:bCs/>
          <w:noProof/>
          <w:szCs w:val="24"/>
        </w:rPr>
        <w:t>143</w:t>
      </w:r>
      <w:r w:rsidRPr="002D780B">
        <w:rPr>
          <w:rFonts w:cs="Times New Roman"/>
          <w:noProof/>
          <w:szCs w:val="24"/>
        </w:rPr>
        <w:t>, 4503–4512 (2018).</w:t>
      </w:r>
    </w:p>
    <w:p w14:paraId="1DA679E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w:t>
      </w:r>
      <w:r w:rsidRPr="002D780B">
        <w:rPr>
          <w:rFonts w:cs="Times New Roman"/>
          <w:noProof/>
          <w:szCs w:val="24"/>
        </w:rPr>
        <w:tab/>
        <w:t xml:space="preserve">Evershed, R. P. Organic residue analysis in archaeology: The archaeological biomarker revolution. </w:t>
      </w:r>
      <w:r w:rsidRPr="002D780B">
        <w:rPr>
          <w:rFonts w:cs="Times New Roman"/>
          <w:i/>
          <w:iCs/>
          <w:noProof/>
          <w:szCs w:val="24"/>
        </w:rPr>
        <w:t>Archaeometry</w:t>
      </w:r>
      <w:r w:rsidRPr="002D780B">
        <w:rPr>
          <w:rFonts w:cs="Times New Roman"/>
          <w:noProof/>
          <w:szCs w:val="24"/>
        </w:rPr>
        <w:t xml:space="preserve"> </w:t>
      </w:r>
      <w:r w:rsidRPr="002D780B">
        <w:rPr>
          <w:rFonts w:cs="Times New Roman"/>
          <w:b/>
          <w:bCs/>
          <w:noProof/>
          <w:szCs w:val="24"/>
        </w:rPr>
        <w:t>50</w:t>
      </w:r>
      <w:r w:rsidRPr="002D780B">
        <w:rPr>
          <w:rFonts w:cs="Times New Roman"/>
          <w:noProof/>
          <w:szCs w:val="24"/>
        </w:rPr>
        <w:t>, 895–924 (2008).</w:t>
      </w:r>
    </w:p>
    <w:p w14:paraId="169F831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w:t>
      </w:r>
      <w:r w:rsidRPr="002D780B">
        <w:rPr>
          <w:rFonts w:cs="Times New Roman"/>
          <w:noProof/>
          <w:szCs w:val="24"/>
        </w:rPr>
        <w:tab/>
        <w:t xml:space="preserve">Pecci, A., Giorgi, G., Salvini, L. &amp; Cau Ontiveros, M. Á. Identifying wine markers in ceramics and plasters using gas chromatography-mass spectrometry. Experimental and archaeological materials. </w:t>
      </w:r>
      <w:r w:rsidRPr="002D780B">
        <w:rPr>
          <w:rFonts w:cs="Times New Roman"/>
          <w:i/>
          <w:iCs/>
          <w:noProof/>
          <w:szCs w:val="24"/>
        </w:rPr>
        <w:t>J. Archaeol. Sci.</w:t>
      </w:r>
      <w:r w:rsidRPr="002D780B">
        <w:rPr>
          <w:rFonts w:cs="Times New Roman"/>
          <w:noProof/>
          <w:szCs w:val="24"/>
        </w:rPr>
        <w:t xml:space="preserve"> </w:t>
      </w:r>
      <w:r w:rsidRPr="002D780B">
        <w:rPr>
          <w:rFonts w:cs="Times New Roman"/>
          <w:b/>
          <w:bCs/>
          <w:noProof/>
          <w:szCs w:val="24"/>
        </w:rPr>
        <w:t>40</w:t>
      </w:r>
      <w:r w:rsidRPr="002D780B">
        <w:rPr>
          <w:rFonts w:cs="Times New Roman"/>
          <w:noProof/>
          <w:szCs w:val="24"/>
        </w:rPr>
        <w:t>, 109–115 (2013).</w:t>
      </w:r>
    </w:p>
    <w:p w14:paraId="0074B99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23.</w:t>
      </w:r>
      <w:r w:rsidRPr="002D780B">
        <w:rPr>
          <w:rFonts w:cs="Times New Roman"/>
          <w:noProof/>
          <w:szCs w:val="24"/>
        </w:rPr>
        <w:tab/>
        <w:t xml:space="preserve">Whelton, H. L., Hammann, S., Cramp, L. J. E., Dunne, J., Roffet-Salque, M. &amp; Evershed, R. P. A call for caution in the analysis of lipids and other small biomolecules from archaeological contexts. </w:t>
      </w:r>
      <w:r w:rsidRPr="002D780B">
        <w:rPr>
          <w:rFonts w:cs="Times New Roman"/>
          <w:i/>
          <w:iCs/>
          <w:noProof/>
          <w:szCs w:val="24"/>
        </w:rPr>
        <w:t>J. Archaeol. Sci.</w:t>
      </w:r>
      <w:r w:rsidRPr="002D780B">
        <w:rPr>
          <w:rFonts w:cs="Times New Roman"/>
          <w:noProof/>
          <w:szCs w:val="24"/>
        </w:rPr>
        <w:t xml:space="preserve"> </w:t>
      </w:r>
      <w:r w:rsidRPr="002D780B">
        <w:rPr>
          <w:rFonts w:cs="Times New Roman"/>
          <w:b/>
          <w:bCs/>
          <w:noProof/>
          <w:szCs w:val="24"/>
        </w:rPr>
        <w:t>132</w:t>
      </w:r>
      <w:r w:rsidRPr="002D780B">
        <w:rPr>
          <w:rFonts w:cs="Times New Roman"/>
          <w:noProof/>
          <w:szCs w:val="24"/>
        </w:rPr>
        <w:t>, (2021).</w:t>
      </w:r>
    </w:p>
    <w:p w14:paraId="19016E9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24.</w:t>
      </w:r>
      <w:r w:rsidRPr="002D780B">
        <w:rPr>
          <w:rFonts w:cs="Times New Roman"/>
          <w:noProof/>
          <w:szCs w:val="24"/>
        </w:rPr>
        <w:tab/>
        <w:t xml:space="preserve">Zagorevski, D. V. &amp; Loughmiller-Newman, J. A. The detection of nicotine in a Late Mayan period flask by gas chromatography and liquid chromatography mass spectrometry methods. </w:t>
      </w:r>
      <w:r w:rsidRPr="002D780B">
        <w:rPr>
          <w:rFonts w:cs="Times New Roman"/>
          <w:i/>
          <w:iCs/>
          <w:noProof/>
          <w:szCs w:val="24"/>
        </w:rPr>
        <w:t>Rapid Commun. Mass Spectrom.</w:t>
      </w:r>
      <w:r w:rsidRPr="002D780B">
        <w:rPr>
          <w:rFonts w:cs="Times New Roman"/>
          <w:noProof/>
          <w:szCs w:val="24"/>
        </w:rPr>
        <w:t xml:space="preserve"> </w:t>
      </w:r>
      <w:r w:rsidRPr="002D780B">
        <w:rPr>
          <w:rFonts w:cs="Times New Roman"/>
          <w:b/>
          <w:bCs/>
          <w:noProof/>
          <w:szCs w:val="24"/>
        </w:rPr>
        <w:t>26</w:t>
      </w:r>
      <w:r w:rsidRPr="002D780B">
        <w:rPr>
          <w:rFonts w:cs="Times New Roman"/>
          <w:noProof/>
          <w:szCs w:val="24"/>
        </w:rPr>
        <w:t>, 403–411 (2012).</w:t>
      </w:r>
    </w:p>
    <w:p w14:paraId="66FD47D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25.</w:t>
      </w:r>
      <w:r w:rsidRPr="002D780B">
        <w:rPr>
          <w:rFonts w:cs="Times New Roman"/>
          <w:noProof/>
          <w:szCs w:val="24"/>
        </w:rPr>
        <w:tab/>
        <w:t xml:space="preserve">Steele, V. J. &amp; Stern, B. Red Lustrous Wheelmade ware: Analysis of organic residues in Late Bronze Age trade and storage vessels from the eastern Mediterranean.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16</w:t>
      </w:r>
      <w:r w:rsidRPr="002D780B">
        <w:rPr>
          <w:rFonts w:cs="Times New Roman"/>
          <w:noProof/>
          <w:szCs w:val="24"/>
        </w:rPr>
        <w:t>, 641–657 (2017).</w:t>
      </w:r>
    </w:p>
    <w:p w14:paraId="1DB8E68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26.</w:t>
      </w:r>
      <w:r w:rsidRPr="002D780B">
        <w:rPr>
          <w:rFonts w:cs="Times New Roman"/>
          <w:noProof/>
          <w:szCs w:val="24"/>
        </w:rPr>
        <w:tab/>
        <w:t xml:space="preserve">Giorgi, G., Salvini, L. &amp; Pecci, A. The meals in a Tuscan building yard during the Middle Age. Characterization of organic residues in ceramic potsherds. </w:t>
      </w:r>
      <w:r w:rsidRPr="002D780B">
        <w:rPr>
          <w:rFonts w:cs="Times New Roman"/>
          <w:i/>
          <w:iCs/>
          <w:noProof/>
          <w:szCs w:val="24"/>
        </w:rPr>
        <w:t>J. Archaeol. Sci.</w:t>
      </w:r>
      <w:r w:rsidRPr="002D780B">
        <w:rPr>
          <w:rFonts w:cs="Times New Roman"/>
          <w:noProof/>
          <w:szCs w:val="24"/>
        </w:rPr>
        <w:t xml:space="preserve"> </w:t>
      </w:r>
      <w:r w:rsidRPr="002D780B">
        <w:rPr>
          <w:rFonts w:cs="Times New Roman"/>
          <w:b/>
          <w:bCs/>
          <w:noProof/>
          <w:szCs w:val="24"/>
        </w:rPr>
        <w:t>37</w:t>
      </w:r>
      <w:r w:rsidRPr="002D780B">
        <w:rPr>
          <w:rFonts w:cs="Times New Roman"/>
          <w:noProof/>
          <w:szCs w:val="24"/>
        </w:rPr>
        <w:t>, 1453–1457 (2010).</w:t>
      </w:r>
    </w:p>
    <w:p w14:paraId="59713AE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27.</w:t>
      </w:r>
      <w:r w:rsidRPr="002D780B">
        <w:rPr>
          <w:rFonts w:cs="Times New Roman"/>
          <w:noProof/>
          <w:szCs w:val="24"/>
        </w:rPr>
        <w:tab/>
        <w:t xml:space="preserve">Salvini, L., Pecci, A. &amp; Giorgi, G. Cooking activities during the Middle Ages : organic residues in ceramic vessels from the Sant ’ Antimo Church (Piombinoo-Central Italy). </w:t>
      </w:r>
      <w:r w:rsidRPr="002D780B">
        <w:rPr>
          <w:rFonts w:cs="Times New Roman"/>
          <w:i/>
          <w:iCs/>
          <w:noProof/>
          <w:szCs w:val="24"/>
        </w:rPr>
        <w:t>J. Mass Spectrom.</w:t>
      </w:r>
      <w:r w:rsidRPr="002D780B">
        <w:rPr>
          <w:rFonts w:cs="Times New Roman"/>
          <w:noProof/>
          <w:szCs w:val="24"/>
        </w:rPr>
        <w:t xml:space="preserve"> </w:t>
      </w:r>
      <w:r w:rsidRPr="002D780B">
        <w:rPr>
          <w:rFonts w:cs="Times New Roman"/>
          <w:b/>
          <w:bCs/>
          <w:noProof/>
          <w:szCs w:val="24"/>
        </w:rPr>
        <w:t>43</w:t>
      </w:r>
      <w:r w:rsidRPr="002D780B">
        <w:rPr>
          <w:rFonts w:cs="Times New Roman"/>
          <w:noProof/>
          <w:szCs w:val="24"/>
        </w:rPr>
        <w:t>, 108–115 (2008).</w:t>
      </w:r>
    </w:p>
    <w:p w14:paraId="67EDE35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28.</w:t>
      </w:r>
      <w:r w:rsidRPr="002D780B">
        <w:rPr>
          <w:rFonts w:cs="Times New Roman"/>
          <w:noProof/>
          <w:szCs w:val="24"/>
        </w:rPr>
        <w:tab/>
        <w:t xml:space="preserve">Charters, S., Evershed, R. P., Goad, L. J. &amp; Leyden, A. Quantification and Distribution of Lipid in Archaeological Ceramics: Implications for Sampling Potsherds for Organic Residue Analysis and the Classification of Vessel Use. </w:t>
      </w:r>
      <w:r w:rsidRPr="002D780B">
        <w:rPr>
          <w:rFonts w:cs="Times New Roman"/>
          <w:i/>
          <w:iCs/>
          <w:noProof/>
          <w:szCs w:val="24"/>
        </w:rPr>
        <w:t>Archaeometry</w:t>
      </w:r>
      <w:r w:rsidRPr="002D780B">
        <w:rPr>
          <w:rFonts w:cs="Times New Roman"/>
          <w:noProof/>
          <w:szCs w:val="24"/>
        </w:rPr>
        <w:t xml:space="preserve"> </w:t>
      </w:r>
      <w:r w:rsidRPr="002D780B">
        <w:rPr>
          <w:rFonts w:cs="Times New Roman"/>
          <w:b/>
          <w:bCs/>
          <w:noProof/>
          <w:szCs w:val="24"/>
        </w:rPr>
        <w:t>35</w:t>
      </w:r>
      <w:r w:rsidRPr="002D780B">
        <w:rPr>
          <w:rFonts w:cs="Times New Roman"/>
          <w:noProof/>
          <w:szCs w:val="24"/>
        </w:rPr>
        <w:t>, 211–223 (1993).</w:t>
      </w:r>
    </w:p>
    <w:p w14:paraId="2C388E7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29.</w:t>
      </w:r>
      <w:r w:rsidRPr="002D780B">
        <w:rPr>
          <w:rFonts w:cs="Times New Roman"/>
          <w:noProof/>
          <w:szCs w:val="24"/>
        </w:rPr>
        <w:tab/>
        <w:t xml:space="preserve">Johnson, C. H., Ivanisevic, J. &amp; Siuzdak, G. Metabolomics: Beyond biomarkers and towards mechanisms. </w:t>
      </w:r>
      <w:r w:rsidRPr="002D780B">
        <w:rPr>
          <w:rFonts w:cs="Times New Roman"/>
          <w:i/>
          <w:iCs/>
          <w:noProof/>
          <w:szCs w:val="24"/>
        </w:rPr>
        <w:t>Nat. Rev. Mol. Cell Biol.</w:t>
      </w:r>
      <w:r w:rsidRPr="002D780B">
        <w:rPr>
          <w:rFonts w:cs="Times New Roman"/>
          <w:noProof/>
          <w:szCs w:val="24"/>
        </w:rPr>
        <w:t xml:space="preserve"> </w:t>
      </w:r>
      <w:r w:rsidRPr="002D780B">
        <w:rPr>
          <w:rFonts w:cs="Times New Roman"/>
          <w:b/>
          <w:bCs/>
          <w:noProof/>
          <w:szCs w:val="24"/>
        </w:rPr>
        <w:t>17</w:t>
      </w:r>
      <w:r w:rsidRPr="002D780B">
        <w:rPr>
          <w:rFonts w:cs="Times New Roman"/>
          <w:noProof/>
          <w:szCs w:val="24"/>
        </w:rPr>
        <w:t>, 451–459 (2016).</w:t>
      </w:r>
    </w:p>
    <w:p w14:paraId="10BEA56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30.</w:t>
      </w:r>
      <w:r w:rsidRPr="002D780B">
        <w:rPr>
          <w:rFonts w:cs="Times New Roman"/>
          <w:noProof/>
          <w:szCs w:val="24"/>
        </w:rPr>
        <w:tab/>
        <w:t xml:space="preserve">Quinn, R. A., Melnik, A. V., Vrbanac, A., Fu, T., Patras, K. A., Christy, M. P., Bodai, Z., Belda-Ferre, P., Tripathi, A., Chung, L. K., Downes, M., Welch, R. D., Quinn, M., Humphrey, G., Panitchpakdi, M., Weldon, K. C., Aksenov, A., da Silva, R., Avila-Pacheco, J., Clish, C., Bae, S., Mallick, H., Franzosa, E. A., Lloyd-Price, J., Bussell, R., Thron, T., Nelson, A. T., Wang, M., Leszczynski, E., Vargas, F., Gauglitz, J. M., Meehan, M. J., Gentry, E., Arthur, T. D., Komor, A. C., Poulsen, O., Boland, B. S., Chang, J. T., Sandborn, W. J., Lim, M., Garg, N., Lumeng, J. C., Xavier, R. J., Kazmierczak, B. I., Jain, R., Egan, M., Rhee, K. E., Ferguson, D., Raffatellu, M., Vlamakis, H., Haddad, G. G., Siegel, D., Huttenhower, C., Mazmanian, S. K., Evans, R. M., Nizet, V., Knight, R. &amp; Dorrestein, P. C. Global chemical effects of the microbiome include new bile-acid conjugations. </w:t>
      </w:r>
      <w:r w:rsidRPr="002D780B">
        <w:rPr>
          <w:rFonts w:cs="Times New Roman"/>
          <w:i/>
          <w:iCs/>
          <w:noProof/>
          <w:szCs w:val="24"/>
        </w:rPr>
        <w:t>Nature</w:t>
      </w:r>
      <w:r w:rsidRPr="002D780B">
        <w:rPr>
          <w:rFonts w:cs="Times New Roman"/>
          <w:noProof/>
          <w:szCs w:val="24"/>
        </w:rPr>
        <w:t xml:space="preserve"> </w:t>
      </w:r>
      <w:r w:rsidRPr="002D780B">
        <w:rPr>
          <w:rFonts w:cs="Times New Roman"/>
          <w:b/>
          <w:bCs/>
          <w:noProof/>
          <w:szCs w:val="24"/>
        </w:rPr>
        <w:t>579</w:t>
      </w:r>
      <w:r w:rsidRPr="002D780B">
        <w:rPr>
          <w:rFonts w:cs="Times New Roman"/>
          <w:noProof/>
          <w:szCs w:val="24"/>
        </w:rPr>
        <w:t>, 123–129 (2020).</w:t>
      </w:r>
    </w:p>
    <w:p w14:paraId="7CDD2EE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31.</w:t>
      </w:r>
      <w:r w:rsidRPr="002D780B">
        <w:rPr>
          <w:rFonts w:cs="Times New Roman"/>
          <w:noProof/>
          <w:szCs w:val="24"/>
        </w:rPr>
        <w:tab/>
        <w:t xml:space="preserve">Tan, K. C., Pham, T. X., Lee, Y., Lee, J. &amp; Balunas, M. J. Identification of Apocarotenoids as Chemical Markers of In Vitro Anti-In fl ammatory Activity for Spirulina Supplements. </w:t>
      </w:r>
      <w:r w:rsidRPr="002D780B">
        <w:rPr>
          <w:rFonts w:cs="Times New Roman"/>
          <w:i/>
          <w:iCs/>
          <w:noProof/>
          <w:szCs w:val="24"/>
        </w:rPr>
        <w:t>J. Agric. Food Chem.</w:t>
      </w:r>
      <w:r w:rsidRPr="002D780B">
        <w:rPr>
          <w:rFonts w:cs="Times New Roman"/>
          <w:noProof/>
          <w:szCs w:val="24"/>
        </w:rPr>
        <w:t xml:space="preserve"> </w:t>
      </w:r>
      <w:r w:rsidRPr="002D780B">
        <w:rPr>
          <w:rFonts w:cs="Times New Roman"/>
          <w:b/>
          <w:bCs/>
          <w:noProof/>
          <w:szCs w:val="24"/>
        </w:rPr>
        <w:t>69</w:t>
      </w:r>
      <w:r w:rsidRPr="002D780B">
        <w:rPr>
          <w:rFonts w:cs="Times New Roman"/>
          <w:noProof/>
          <w:szCs w:val="24"/>
        </w:rPr>
        <w:t>, 12674–12685 (2021).</w:t>
      </w:r>
    </w:p>
    <w:p w14:paraId="4C5D016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32.</w:t>
      </w:r>
      <w:r w:rsidRPr="002D780B">
        <w:rPr>
          <w:rFonts w:cs="Times New Roman"/>
          <w:noProof/>
          <w:szCs w:val="24"/>
        </w:rPr>
        <w:tab/>
        <w:t xml:space="preserve">Petras, D., Nothias, L. F., Quinn, R. A., Alexandrov, T., Bandeira, N., Bouslimani, A., Castro-Falcón, G., Chen, L., Dang, T., Floros, D. J., Hook, V., Garg, N., Hoffner, N., </w:t>
      </w:r>
      <w:r w:rsidRPr="002D780B">
        <w:rPr>
          <w:rFonts w:cs="Times New Roman"/>
          <w:noProof/>
          <w:szCs w:val="24"/>
        </w:rPr>
        <w:lastRenderedPageBreak/>
        <w:t xml:space="preserve">Jiang, Y., Kapono, C. A., Koester, I., Knight, R., Leber, C. A., Ling, T. J., Luzzatto-Knaan, T., McCall, L. I., McGrath, A. P., Meehan, M. J., Merritt, J. K., Mills, R. H., Morton, J., Podvin, S., Protsyuk, I., Purdy, T., Satterfield, K., Searles, S., Shah, S., Shires, S., Steffen, D., White, M., Todoric, J., Tuttle, R., Wojnicz, A., Sapp, V., Vargas, F., Yang, J., Zhang, C. &amp; Dorrestein, P. C. Mass spectrometry-based visualization of molecules associated with human habitats. </w:t>
      </w:r>
      <w:r w:rsidRPr="002D780B">
        <w:rPr>
          <w:rFonts w:cs="Times New Roman"/>
          <w:i/>
          <w:iCs/>
          <w:noProof/>
          <w:szCs w:val="24"/>
        </w:rPr>
        <w:t>Anal. Chem.</w:t>
      </w:r>
      <w:r w:rsidRPr="002D780B">
        <w:rPr>
          <w:rFonts w:cs="Times New Roman"/>
          <w:noProof/>
          <w:szCs w:val="24"/>
        </w:rPr>
        <w:t xml:space="preserve"> </w:t>
      </w:r>
      <w:r w:rsidRPr="002D780B">
        <w:rPr>
          <w:rFonts w:cs="Times New Roman"/>
          <w:b/>
          <w:bCs/>
          <w:noProof/>
          <w:szCs w:val="24"/>
        </w:rPr>
        <w:t>88</w:t>
      </w:r>
      <w:r w:rsidRPr="002D780B">
        <w:rPr>
          <w:rFonts w:cs="Times New Roman"/>
          <w:noProof/>
          <w:szCs w:val="24"/>
        </w:rPr>
        <w:t>, 10775–10784 (2016).</w:t>
      </w:r>
    </w:p>
    <w:p w14:paraId="270B89C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33.</w:t>
      </w:r>
      <w:r w:rsidRPr="002D780B">
        <w:rPr>
          <w:rFonts w:cs="Times New Roman"/>
          <w:noProof/>
          <w:szCs w:val="24"/>
        </w:rPr>
        <w:tab/>
        <w:t xml:space="preserve">McCall, L.-I., Anderson, V. M., Fogle, R. S., Haffner, J. J., Hossain, E., Liu, R., Ly, A. H., Ma, H., Nadeem, M. &amp; Yao, S. Analysis of university workplace building surfaces reveals usage-specific chemical signatures. </w:t>
      </w:r>
      <w:r w:rsidRPr="002D780B">
        <w:rPr>
          <w:rFonts w:cs="Times New Roman"/>
          <w:i/>
          <w:iCs/>
          <w:noProof/>
          <w:szCs w:val="24"/>
        </w:rPr>
        <w:t>Build. Environ.</w:t>
      </w:r>
      <w:r w:rsidRPr="002D780B">
        <w:rPr>
          <w:rFonts w:cs="Times New Roman"/>
          <w:noProof/>
          <w:szCs w:val="24"/>
        </w:rPr>
        <w:t xml:space="preserve"> </w:t>
      </w:r>
      <w:r w:rsidRPr="002D780B">
        <w:rPr>
          <w:rFonts w:cs="Times New Roman"/>
          <w:b/>
          <w:bCs/>
          <w:noProof/>
          <w:szCs w:val="24"/>
        </w:rPr>
        <w:t>162</w:t>
      </w:r>
      <w:r w:rsidRPr="002D780B">
        <w:rPr>
          <w:rFonts w:cs="Times New Roman"/>
          <w:noProof/>
          <w:szCs w:val="24"/>
        </w:rPr>
        <w:t>, 106289 (2019).</w:t>
      </w:r>
    </w:p>
    <w:p w14:paraId="00B1B4C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34.</w:t>
      </w:r>
      <w:r w:rsidRPr="002D780B">
        <w:rPr>
          <w:rFonts w:cs="Times New Roman"/>
          <w:noProof/>
          <w:szCs w:val="24"/>
        </w:rPr>
        <w:tab/>
        <w:t xml:space="preserve">Garg, N., Wang, M., Hyde, E., da Silva, R. R., Melnik, A. V., Protsyuk, I., Bouslimani, A., Lim, Y. W., Wong, R., Humphrey, G., Ackermann, G., Spivey, T., Brouha, S. S., Bandeira, N., Lin, G. Y., Rohwer, F., Conrad, D. J., Alexandrov, T., Knight, R. &amp; Dorrestein, P. C. Three-Dimensional Microbiome and Metabolome Cartography of a Diseased Human Lung. </w:t>
      </w:r>
      <w:r w:rsidRPr="002D780B">
        <w:rPr>
          <w:rFonts w:cs="Times New Roman"/>
          <w:i/>
          <w:iCs/>
          <w:noProof/>
          <w:szCs w:val="24"/>
        </w:rPr>
        <w:t>Cell Host Microbe</w:t>
      </w:r>
      <w:r w:rsidRPr="002D780B">
        <w:rPr>
          <w:rFonts w:cs="Times New Roman"/>
          <w:noProof/>
          <w:szCs w:val="24"/>
        </w:rPr>
        <w:t xml:space="preserve"> </w:t>
      </w:r>
      <w:r w:rsidRPr="002D780B">
        <w:rPr>
          <w:rFonts w:cs="Times New Roman"/>
          <w:b/>
          <w:bCs/>
          <w:noProof/>
          <w:szCs w:val="24"/>
        </w:rPr>
        <w:t>22</w:t>
      </w:r>
      <w:r w:rsidRPr="002D780B">
        <w:rPr>
          <w:rFonts w:cs="Times New Roman"/>
          <w:noProof/>
          <w:szCs w:val="24"/>
        </w:rPr>
        <w:t>, 705-716.e4 (2017).</w:t>
      </w:r>
    </w:p>
    <w:p w14:paraId="3C71A23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35.</w:t>
      </w:r>
      <w:r w:rsidRPr="002D780B">
        <w:rPr>
          <w:rFonts w:cs="Times New Roman"/>
          <w:noProof/>
          <w:szCs w:val="24"/>
        </w:rPr>
        <w:tab/>
        <w:t xml:space="preserve">McCall, L. I., Tripathi, A., Vargas, F., Knight, R., Dorrestein, P. C. &amp; Siqueira-Neto, J. L. Experimental Chagas disease-induced perturbations of the fecal microbiome and metabolome. </w:t>
      </w:r>
      <w:r w:rsidRPr="002D780B">
        <w:rPr>
          <w:rFonts w:cs="Times New Roman"/>
          <w:i/>
          <w:iCs/>
          <w:noProof/>
          <w:szCs w:val="24"/>
        </w:rPr>
        <w:t>PLoS Negl. Trop. Dis.</w:t>
      </w:r>
      <w:r w:rsidRPr="002D780B">
        <w:rPr>
          <w:rFonts w:cs="Times New Roman"/>
          <w:noProof/>
          <w:szCs w:val="24"/>
        </w:rPr>
        <w:t xml:space="preserve"> </w:t>
      </w:r>
      <w:r w:rsidRPr="002D780B">
        <w:rPr>
          <w:rFonts w:cs="Times New Roman"/>
          <w:b/>
          <w:bCs/>
          <w:noProof/>
          <w:szCs w:val="24"/>
        </w:rPr>
        <w:t>12</w:t>
      </w:r>
      <w:r w:rsidRPr="002D780B">
        <w:rPr>
          <w:rFonts w:cs="Times New Roman"/>
          <w:noProof/>
          <w:szCs w:val="24"/>
        </w:rPr>
        <w:t>, 1–15 (2018).</w:t>
      </w:r>
    </w:p>
    <w:p w14:paraId="6E69FDD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36.</w:t>
      </w:r>
      <w:r w:rsidRPr="002D780B">
        <w:rPr>
          <w:rFonts w:cs="Times New Roman"/>
          <w:noProof/>
          <w:szCs w:val="24"/>
        </w:rPr>
        <w:tab/>
        <w:t xml:space="preserve">Dean, D. A., Haffner, J. J., Katemauswa, M. &amp; McCall, L.-I. Chemical Cartography Approaches to Study Trypanosomatid Infection. </w:t>
      </w:r>
      <w:r w:rsidRPr="002D780B">
        <w:rPr>
          <w:rFonts w:cs="Times New Roman"/>
          <w:i/>
          <w:iCs/>
          <w:noProof/>
          <w:szCs w:val="24"/>
        </w:rPr>
        <w:t>J. Vis. Exp.</w:t>
      </w:r>
      <w:r w:rsidRPr="002D780B">
        <w:rPr>
          <w:rFonts w:cs="Times New Roman"/>
          <w:noProof/>
          <w:szCs w:val="24"/>
        </w:rPr>
        <w:t xml:space="preserve"> (2022).</w:t>
      </w:r>
    </w:p>
    <w:p w14:paraId="733BF3D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37.</w:t>
      </w:r>
      <w:r w:rsidRPr="002D780B">
        <w:rPr>
          <w:rFonts w:cs="Times New Roman"/>
          <w:noProof/>
          <w:szCs w:val="24"/>
        </w:rPr>
        <w:tab/>
        <w:t xml:space="preserve">Nguyen, T., Sedghi, L., Ganther, S., Malone, E., Kamarajan, P. &amp; Kapila, Y. Host-microbe interactions: Profiles in the transcriptome, the proteome, and the metabolome. </w:t>
      </w:r>
      <w:r w:rsidRPr="002D780B">
        <w:rPr>
          <w:rFonts w:cs="Times New Roman"/>
          <w:i/>
          <w:iCs/>
          <w:noProof/>
          <w:szCs w:val="24"/>
        </w:rPr>
        <w:t>Physiol. Behav.</w:t>
      </w:r>
      <w:r w:rsidRPr="002D780B">
        <w:rPr>
          <w:rFonts w:cs="Times New Roman"/>
          <w:noProof/>
          <w:szCs w:val="24"/>
        </w:rPr>
        <w:t xml:space="preserve"> </w:t>
      </w:r>
      <w:r w:rsidRPr="002D780B">
        <w:rPr>
          <w:rFonts w:cs="Times New Roman"/>
          <w:b/>
          <w:bCs/>
          <w:noProof/>
          <w:szCs w:val="24"/>
        </w:rPr>
        <w:t>176</w:t>
      </w:r>
      <w:r w:rsidRPr="002D780B">
        <w:rPr>
          <w:rFonts w:cs="Times New Roman"/>
          <w:noProof/>
          <w:szCs w:val="24"/>
        </w:rPr>
        <w:t>, 139–148 (2017).</w:t>
      </w:r>
    </w:p>
    <w:p w14:paraId="5E05D3D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38.</w:t>
      </w:r>
      <w:r w:rsidRPr="002D780B">
        <w:rPr>
          <w:rFonts w:cs="Times New Roman"/>
          <w:noProof/>
          <w:szCs w:val="24"/>
        </w:rPr>
        <w:tab/>
        <w:t xml:space="preserve">Dunn, W. B., Erban, A., Weber, R. J. M., Creek, D. J., Brown, M., Breitling, R., Hankemeier, T., Goodacre, R., Neumann, S., Kopka, J. &amp; Viant, M. R. Mass appeal: Metabolite identification in mass spectrometry-focused untargeted metabolomics. </w:t>
      </w:r>
      <w:r w:rsidRPr="002D780B">
        <w:rPr>
          <w:rFonts w:cs="Times New Roman"/>
          <w:i/>
          <w:iCs/>
          <w:noProof/>
          <w:szCs w:val="24"/>
        </w:rPr>
        <w:t>Metabolomics</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44–66 (2013).</w:t>
      </w:r>
    </w:p>
    <w:p w14:paraId="209DF35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39.</w:t>
      </w:r>
      <w:r w:rsidRPr="002D780B">
        <w:rPr>
          <w:rFonts w:cs="Times New Roman"/>
          <w:noProof/>
          <w:szCs w:val="24"/>
        </w:rPr>
        <w:tab/>
        <w:t xml:space="preserve">Gauglitz, J. M., Aceves, C. M., Aksenov, A. A., Aleti, G., Almaliti, J., Bouslimani, A., Brown, E. A., Campeau, A., Caraballo-Rodríguez, A. M., Chaar, R., da Silva, R. R., Demko, A. M., Di Ottavio, F., Elijah, E., Ernst, M., Ferguson, L. P., Holmes, X., Jarmusch, A. K., Jiang, L., Kang, K. Bin, Koester, I., Kwan, B., Li, J., Li, Y., Melnik, A. V., Molina-Santiago, C., Ni, B., Oom, A. L., Panitchpakdi, M. W., Petras, D., Quinn, R., Sikora, N., Spengler, K., Teke, B., Tripathi, A., Ul-Hasan, S., van der Hooft, J. J. J., Vargas, F., Vrbanac, A., Vu, A. Q., Wang, S. C., Weldon, K., Wilson, K., Wozniak, J. M., Yoon, M., Bandeira, N. &amp; Dorrestein, P. C. Untargeted mass spectrometry-based metabolomics approach unveils molecular changes in raw and processed foods and beverages. </w:t>
      </w:r>
      <w:r w:rsidRPr="002D780B">
        <w:rPr>
          <w:rFonts w:cs="Times New Roman"/>
          <w:i/>
          <w:iCs/>
          <w:noProof/>
          <w:szCs w:val="24"/>
        </w:rPr>
        <w:t>Food Chem.</w:t>
      </w:r>
      <w:r w:rsidRPr="002D780B">
        <w:rPr>
          <w:rFonts w:cs="Times New Roman"/>
          <w:noProof/>
          <w:szCs w:val="24"/>
        </w:rPr>
        <w:t xml:space="preserve"> </w:t>
      </w:r>
      <w:r w:rsidRPr="002D780B">
        <w:rPr>
          <w:rFonts w:cs="Times New Roman"/>
          <w:b/>
          <w:bCs/>
          <w:noProof/>
          <w:szCs w:val="24"/>
        </w:rPr>
        <w:t>302</w:t>
      </w:r>
      <w:r w:rsidRPr="002D780B">
        <w:rPr>
          <w:rFonts w:cs="Times New Roman"/>
          <w:noProof/>
          <w:szCs w:val="24"/>
        </w:rPr>
        <w:t>, 125290 (2020).</w:t>
      </w:r>
    </w:p>
    <w:p w14:paraId="668D4EE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40.</w:t>
      </w:r>
      <w:r w:rsidRPr="002D780B">
        <w:rPr>
          <w:rFonts w:cs="Times New Roman"/>
          <w:noProof/>
          <w:szCs w:val="24"/>
        </w:rPr>
        <w:tab/>
        <w:t xml:space="preserve">Taylor, B. C., Lejzerowicz, F., Poirel, M., Shaffer, J. P., Jiang, L., Aksenov, A., Litwin, N., Humphrey, G., Martino, C., Miller-Montgomery, S., Dorrestein, P. C., Veiga, P., Song, S. J., McDonald, D., Derrien, M. &amp; Knight, R. Consumption of Fermented Foods Is Associated with Systematic Differences in the Gut Microbiome and Metabolome. </w:t>
      </w:r>
      <w:r w:rsidRPr="002D780B">
        <w:rPr>
          <w:rFonts w:cs="Times New Roman"/>
          <w:i/>
          <w:iCs/>
          <w:noProof/>
          <w:szCs w:val="24"/>
        </w:rPr>
        <w:t>mSystems</w:t>
      </w:r>
      <w:r w:rsidRPr="002D780B">
        <w:rPr>
          <w:rFonts w:cs="Times New Roman"/>
          <w:noProof/>
          <w:szCs w:val="24"/>
        </w:rPr>
        <w:t xml:space="preserve"> </w:t>
      </w:r>
      <w:r w:rsidRPr="002D780B">
        <w:rPr>
          <w:rFonts w:cs="Times New Roman"/>
          <w:b/>
          <w:bCs/>
          <w:noProof/>
          <w:szCs w:val="24"/>
        </w:rPr>
        <w:t>5</w:t>
      </w:r>
      <w:r w:rsidRPr="002D780B">
        <w:rPr>
          <w:rFonts w:cs="Times New Roman"/>
          <w:noProof/>
          <w:szCs w:val="24"/>
        </w:rPr>
        <w:t>, 1–16 (2020).</w:t>
      </w:r>
    </w:p>
    <w:p w14:paraId="561A0A1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41.</w:t>
      </w:r>
      <w:r w:rsidRPr="002D780B">
        <w:rPr>
          <w:rFonts w:cs="Times New Roman"/>
          <w:noProof/>
          <w:szCs w:val="24"/>
        </w:rPr>
        <w:tab/>
        <w:t xml:space="preserve">Sumner, L. W., Amberg, A., Barrett, D., Beale, M. H., Beger, R., Daykin, C. A., Fan, T. W. M., Fiehn, O., Goodacre, R., Griffin, J. L., Hankemeier, T., Hardy, N., Harnly, J., Higashi, R., Kopka, J., Lane, A. N., Lindon, J. C., Marriott, P., Nicholls, A. W., Reily, M. D., Thaden, J. J. &amp; Viant, M. R. Proposed minimum reporting standards for chemical analysis: Chemical Analysis Working Group (CAWG) Metabolomics Standards Initiative </w:t>
      </w:r>
      <w:r w:rsidRPr="002D780B">
        <w:rPr>
          <w:rFonts w:cs="Times New Roman"/>
          <w:noProof/>
          <w:szCs w:val="24"/>
        </w:rPr>
        <w:lastRenderedPageBreak/>
        <w:t xml:space="preserve">(MSI). </w:t>
      </w:r>
      <w:r w:rsidRPr="002D780B">
        <w:rPr>
          <w:rFonts w:cs="Times New Roman"/>
          <w:i/>
          <w:iCs/>
          <w:noProof/>
          <w:szCs w:val="24"/>
        </w:rPr>
        <w:t>Metabolomics</w:t>
      </w:r>
      <w:r w:rsidRPr="002D780B">
        <w:rPr>
          <w:rFonts w:cs="Times New Roman"/>
          <w:noProof/>
          <w:szCs w:val="24"/>
        </w:rPr>
        <w:t xml:space="preserve"> </w:t>
      </w:r>
      <w:r w:rsidRPr="002D780B">
        <w:rPr>
          <w:rFonts w:cs="Times New Roman"/>
          <w:b/>
          <w:bCs/>
          <w:noProof/>
          <w:szCs w:val="24"/>
        </w:rPr>
        <w:t>3</w:t>
      </w:r>
      <w:r w:rsidRPr="002D780B">
        <w:rPr>
          <w:rFonts w:cs="Times New Roman"/>
          <w:noProof/>
          <w:szCs w:val="24"/>
        </w:rPr>
        <w:t>, 211–221 (2007).</w:t>
      </w:r>
    </w:p>
    <w:p w14:paraId="40027B2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42.</w:t>
      </w:r>
      <w:r w:rsidRPr="002D780B">
        <w:rPr>
          <w:rFonts w:cs="Times New Roman"/>
          <w:noProof/>
          <w:szCs w:val="24"/>
        </w:rPr>
        <w:tab/>
        <w:t xml:space="preserve">Karu, N., Deng, L., Slae, M., Guo, A. C., Sajed, T., Huynh, H., Wine, E. &amp; Wishart, D. S. A review on human fecal metabolomics: Methods, applications and the human fecal metabolome database. </w:t>
      </w:r>
      <w:r w:rsidRPr="002D780B">
        <w:rPr>
          <w:rFonts w:cs="Times New Roman"/>
          <w:i/>
          <w:iCs/>
          <w:noProof/>
          <w:szCs w:val="24"/>
        </w:rPr>
        <w:t>Anal. Chim. Acta</w:t>
      </w:r>
      <w:r w:rsidRPr="002D780B">
        <w:rPr>
          <w:rFonts w:cs="Times New Roman"/>
          <w:noProof/>
          <w:szCs w:val="24"/>
        </w:rPr>
        <w:t xml:space="preserve"> </w:t>
      </w:r>
      <w:r w:rsidRPr="002D780B">
        <w:rPr>
          <w:rFonts w:cs="Times New Roman"/>
          <w:b/>
          <w:bCs/>
          <w:noProof/>
          <w:szCs w:val="24"/>
        </w:rPr>
        <w:t>1030</w:t>
      </w:r>
      <w:r w:rsidRPr="002D780B">
        <w:rPr>
          <w:rFonts w:cs="Times New Roman"/>
          <w:noProof/>
          <w:szCs w:val="24"/>
        </w:rPr>
        <w:t>, 1–24 (2018).</w:t>
      </w:r>
    </w:p>
    <w:p w14:paraId="3A3AB29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43.</w:t>
      </w:r>
      <w:r w:rsidRPr="002D780B">
        <w:rPr>
          <w:rFonts w:cs="Times New Roman"/>
          <w:noProof/>
          <w:szCs w:val="24"/>
        </w:rPr>
        <w:tab/>
        <w:t xml:space="preserve">McCall, L. I., Callewaert, C., Zhu, Q., Song, S. J., Bouslimani, A., Minich, J. J., Ernst, M., Ruiz-Calderon, J. F., Cavallin, H., Pereira, H. S., Novoselac, A., Hernandez, J., Rios, R., Branch, O. L. H., Blaser, M. J., Paulino, L. C., Dorrestein, P. C., Knight, R. &amp; Dominguez-Bello, M. G. Home chemical and microbial transitions across urbanization. </w:t>
      </w:r>
      <w:r w:rsidRPr="002D780B">
        <w:rPr>
          <w:rFonts w:cs="Times New Roman"/>
          <w:i/>
          <w:iCs/>
          <w:noProof/>
          <w:szCs w:val="24"/>
        </w:rPr>
        <w:t>Nat. Microbiol.</w:t>
      </w:r>
      <w:r w:rsidRPr="002D780B">
        <w:rPr>
          <w:rFonts w:cs="Times New Roman"/>
          <w:noProof/>
          <w:szCs w:val="24"/>
        </w:rPr>
        <w:t xml:space="preserve"> (2020) doi:10.1038/s41564-019-0593-4.</w:t>
      </w:r>
    </w:p>
    <w:p w14:paraId="78E1887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44.</w:t>
      </w:r>
      <w:r w:rsidRPr="002D780B">
        <w:rPr>
          <w:rFonts w:cs="Times New Roman"/>
          <w:noProof/>
          <w:szCs w:val="24"/>
        </w:rPr>
        <w:tab/>
        <w:t xml:space="preserve">Wishart, D. S., Feunang, Y. D., Marcu, A., Guo, A. C., Liang, K., Vázquez-Fresno, R., Sajed, T., Johnson, D., Li, C., Karu, N., Sayeeda, Z., Lo, E., Assempour, N., Berjanskii, M., Singhal, S., Arndt, D., Liang, Y., Badran, H., Grant, J., Serra-Cayuela, A., Liu, Y., Mandal, R., Neveu, V., Pon, A., Knox, C., Wilson, M., Manach, C. &amp; Scalbert, A. HMDB 4.0: The human metabolome database for 2018. </w:t>
      </w:r>
      <w:r w:rsidRPr="002D780B">
        <w:rPr>
          <w:rFonts w:cs="Times New Roman"/>
          <w:i/>
          <w:iCs/>
          <w:noProof/>
          <w:szCs w:val="24"/>
        </w:rPr>
        <w:t>Nucleic Acids Res.</w:t>
      </w:r>
      <w:r w:rsidRPr="002D780B">
        <w:rPr>
          <w:rFonts w:cs="Times New Roman"/>
          <w:noProof/>
          <w:szCs w:val="24"/>
        </w:rPr>
        <w:t xml:space="preserve"> </w:t>
      </w:r>
      <w:r w:rsidRPr="002D780B">
        <w:rPr>
          <w:rFonts w:cs="Times New Roman"/>
          <w:b/>
          <w:bCs/>
          <w:noProof/>
          <w:szCs w:val="24"/>
        </w:rPr>
        <w:t>46</w:t>
      </w:r>
      <w:r w:rsidRPr="002D780B">
        <w:rPr>
          <w:rFonts w:cs="Times New Roman"/>
          <w:noProof/>
          <w:szCs w:val="24"/>
        </w:rPr>
        <w:t>, D608–D617 (2017).</w:t>
      </w:r>
    </w:p>
    <w:p w14:paraId="7F3D3FF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45.</w:t>
      </w:r>
      <w:r w:rsidRPr="002D780B">
        <w:rPr>
          <w:rFonts w:cs="Times New Roman"/>
          <w:noProof/>
          <w:szCs w:val="24"/>
        </w:rPr>
        <w:tab/>
        <w:t xml:space="preserve">Wang, M., Carver, J. J., Phelan, V. V., Sanchez, L. M., Garg, N., Peng, Y., Nguyen, D. D., Watrous, J., Kapono, C. A., Luzzatto-Knaan, T., Porto, C., Bouslimani, A., Melnik, A. V., Meehan, M. J., Liu, W.-T., Crüsemann, M., Boudreau, P. D., Esquenazi, E., Sandoval-Calderon, M., Kersten, R. D., Pace, L. A., Quinn, R. A., Duncan, K. R., Hsu, C.-C., Floros, D. J., Gavilan, R. G., Kleigrewe, K., Northen, T., Dutton, R. J., Parrot, D., Carlson, E. E., Aigle, B., Michelsen, C. F., Jelsbak, L., Sohlenkamp, C., Pevzner, P., Edlund, A., McLean, J., Piel, J., Murphy, B. T., Gerwick, L., Liaw, C.-C., Yang, Y.-L., Humpf, H.-U., Maansson, M., Keyzers, R. A., Sims, A. C., Johnson, A. R., Sidebottom, A. M., Sedio, B. E., Klitgaard, A., Larson, C. B., Boya P, C. A., TorresMendoza, D., Gonzalez, D. J., Silva, D. B., Marques, L. M., Demarque, D. P., Pociute, E., O’Neill, E. C., Briand, E., Helfrich, E. J. N., Granatosky, E. A., Glukhov, E., Ryffel, F., Houson, H., Mohimani, H., Kharbush, J. J., Zeng, Y., Vorholt, J. A., Kurita, K. L., Charusanti, P., McPhail, K. L., Nielsen, K. F., Vuong, L., Elfeki, M., Traxler, M. F., Engene, N., Koyama, N., Vining, O. B., Baric, R., Silva, R. R., Mascuch, S. J., Tomasi, S., Jenkins, S., Macherla, V., Hoffman, T., Agarwal, V., Williams, P. G., Dai, J., Neupane, R., Gurr, J., Rodríguez, A. M. C. ., Lamsa, A., Zhang, C., Dorrestein, K., Duggan, B. M., Almaliti, J., Allard, P.-M., Phapale, P., Nothias, L.-F., Alexandrov, T., Litaudon, M., Wolfender, J.-L., Kyle, J. E., Metz, T. O., Peryea, T., Nguyen, D.-T., VanLeer, D., Shinn, P., Jadhav, A., Müller, R., Waters, K. M., Shi, W., Liu, X., Zhang, L., Knight, R., Jensen, P. R., Palsson, B. Ø., Pogliano, K., Linington, R. G., Gutierrez, M., Lopes, N. P., Gerwick, W. H., Moore, B. S., Dorrestein, P. C. &amp; Bandeira, N. Sharing and community curation of mass spectrometry data with GNPS. </w:t>
      </w:r>
      <w:r w:rsidRPr="002D780B">
        <w:rPr>
          <w:rFonts w:cs="Times New Roman"/>
          <w:i/>
          <w:iCs/>
          <w:noProof/>
          <w:szCs w:val="24"/>
        </w:rPr>
        <w:t>Nat. Biotechnol.</w:t>
      </w:r>
      <w:r w:rsidRPr="002D780B">
        <w:rPr>
          <w:rFonts w:cs="Times New Roman"/>
          <w:noProof/>
          <w:szCs w:val="24"/>
        </w:rPr>
        <w:t xml:space="preserve"> </w:t>
      </w:r>
      <w:r w:rsidRPr="002D780B">
        <w:rPr>
          <w:rFonts w:cs="Times New Roman"/>
          <w:b/>
          <w:bCs/>
          <w:noProof/>
          <w:szCs w:val="24"/>
        </w:rPr>
        <w:t>34</w:t>
      </w:r>
      <w:r w:rsidRPr="002D780B">
        <w:rPr>
          <w:rFonts w:cs="Times New Roman"/>
          <w:noProof/>
          <w:szCs w:val="24"/>
        </w:rPr>
        <w:t>, 828–837 (2016).</w:t>
      </w:r>
    </w:p>
    <w:p w14:paraId="6BCC58A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46.</w:t>
      </w:r>
      <w:r w:rsidRPr="002D780B">
        <w:rPr>
          <w:rFonts w:cs="Times New Roman"/>
          <w:noProof/>
          <w:szCs w:val="24"/>
        </w:rPr>
        <w:tab/>
        <w:t xml:space="preserve">Aron, A. T., Gentry, E. C., McPhail, K. L., Nothias, L. F., Nothias-Esposito, M., Bousilmani, A., Petras, D., Gauglitz, J. M., Sikora, N., Vargas, F., van der Hooft, J. J. J., Ernst, M., Bin Kang, K., Aceves, C. M., Mauricio, C.-R. A., Koester, I., Weldon, K. C., Bertrand, S., Roullier, C., Sun, K., Tehan, R. M., Boya, C. A., Martin H., C., Gutierrez, M., Ulloa, A. M., Mora, J. A. T., Mojica-Flores, R., Lakey-Beitia, J., Vasquez-Chaves, V., Zhang, Y., Calderon, A. I., Tayler, N., Keyzers, R. A., Tugizimana, F., Ndlovu, N., Aksenov, A. A., Jarmusch, A., Schmid, R., Truman, A. W., Bandeira, N., Wang, M. &amp; Dorrestein, P. C. Reproducible Molecular Networking of Untargeted Mass Spectrometry Data Using GNPS. </w:t>
      </w:r>
      <w:r w:rsidRPr="002D780B">
        <w:rPr>
          <w:rFonts w:cs="Times New Roman"/>
          <w:i/>
          <w:iCs/>
          <w:noProof/>
          <w:szCs w:val="24"/>
        </w:rPr>
        <w:t>ChemRxiv</w:t>
      </w:r>
      <w:r w:rsidRPr="002D780B">
        <w:rPr>
          <w:rFonts w:cs="Times New Roman"/>
          <w:noProof/>
          <w:szCs w:val="24"/>
        </w:rPr>
        <w:t xml:space="preserve"> (2019).</w:t>
      </w:r>
    </w:p>
    <w:p w14:paraId="1972AC4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lastRenderedPageBreak/>
        <w:t>47.</w:t>
      </w:r>
      <w:r w:rsidRPr="002D780B">
        <w:rPr>
          <w:rFonts w:cs="Times New Roman"/>
          <w:noProof/>
          <w:szCs w:val="24"/>
        </w:rPr>
        <w:tab/>
        <w:t xml:space="preserve">Phelan, V. V. Feature-based molecular networking for metabolite annotation. in </w:t>
      </w:r>
      <w:r w:rsidRPr="002D780B">
        <w:rPr>
          <w:rFonts w:cs="Times New Roman"/>
          <w:i/>
          <w:iCs/>
          <w:noProof/>
          <w:szCs w:val="24"/>
        </w:rPr>
        <w:t>Computational Methods and Data Analysis for Metabolomics</w:t>
      </w:r>
      <w:r w:rsidRPr="002D780B">
        <w:rPr>
          <w:rFonts w:cs="Times New Roman"/>
          <w:noProof/>
          <w:szCs w:val="24"/>
        </w:rPr>
        <w:t xml:space="preserve"> 227–243 (2020). doi:doi:10.1007/978-1-0716-0239-3_13.</w:t>
      </w:r>
    </w:p>
    <w:p w14:paraId="5F47177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48.</w:t>
      </w:r>
      <w:r w:rsidRPr="002D780B">
        <w:rPr>
          <w:rFonts w:cs="Times New Roman"/>
          <w:noProof/>
          <w:szCs w:val="24"/>
        </w:rPr>
        <w:tab/>
        <w:t xml:space="preserve">Ayeni, F. A., Biagi, E., Rampelli, S., Fiori, J., Soverini, M., Audu, H. J., Cristino, S., Caporali, L., Schnorr, S. L., Carelli, V., Brigidi, P., Candela, M. &amp; Turroni, S. Infant and Adult Gut Microbiome and Metabolome in Rural Bassa and Urban Settlers from Nigeria. </w:t>
      </w:r>
      <w:r w:rsidRPr="002D780B">
        <w:rPr>
          <w:rFonts w:cs="Times New Roman"/>
          <w:i/>
          <w:iCs/>
          <w:noProof/>
          <w:szCs w:val="24"/>
        </w:rPr>
        <w:t>Cell Rep.</w:t>
      </w:r>
      <w:r w:rsidRPr="002D780B">
        <w:rPr>
          <w:rFonts w:cs="Times New Roman"/>
          <w:noProof/>
          <w:szCs w:val="24"/>
        </w:rPr>
        <w:t xml:space="preserve"> </w:t>
      </w:r>
      <w:r w:rsidRPr="002D780B">
        <w:rPr>
          <w:rFonts w:cs="Times New Roman"/>
          <w:b/>
          <w:bCs/>
          <w:noProof/>
          <w:szCs w:val="24"/>
        </w:rPr>
        <w:t>23</w:t>
      </w:r>
      <w:r w:rsidRPr="002D780B">
        <w:rPr>
          <w:rFonts w:cs="Times New Roman"/>
          <w:noProof/>
          <w:szCs w:val="24"/>
        </w:rPr>
        <w:t>, 3056–3067 (2018).</w:t>
      </w:r>
    </w:p>
    <w:p w14:paraId="455D53D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49.</w:t>
      </w:r>
      <w:r w:rsidRPr="002D780B">
        <w:rPr>
          <w:rFonts w:cs="Times New Roman"/>
          <w:noProof/>
          <w:szCs w:val="24"/>
        </w:rPr>
        <w:tab/>
        <w:t xml:space="preserve">Kisuse, J., La-ongkham, O., Nakphaichit, M., Therdtatha, P., Momoda, R., Tanaka, M., Fukuda, S., Popluechai, S., Kespechara, K., Sonomoto, K., Lee, Y. K., Nitisinprasert, S. &amp; Nakayama, J. Urban diets linked to gut microbiome and metabolome alterations in children: A comparative cross-sectional study in Thailand. </w:t>
      </w:r>
      <w:r w:rsidRPr="002D780B">
        <w:rPr>
          <w:rFonts w:cs="Times New Roman"/>
          <w:i/>
          <w:iCs/>
          <w:noProof/>
          <w:szCs w:val="24"/>
        </w:rPr>
        <w:t>Front. Microbiol.</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1–16 (2018).</w:t>
      </w:r>
    </w:p>
    <w:p w14:paraId="2865CD0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50.</w:t>
      </w:r>
      <w:r w:rsidRPr="002D780B">
        <w:rPr>
          <w:rFonts w:cs="Times New Roman"/>
          <w:noProof/>
          <w:szCs w:val="24"/>
        </w:rPr>
        <w:tab/>
        <w:t xml:space="preserve">Turroni, S., Fiori, J., Rampelli, S., Schnorr, S. L., Consolandi, C., Barone, M., Biagi, E., Fanelli, F., Mezzullo, M., Crittenden, A. N., Henry, A. G., Brigidi, P. &amp; Candela, M. Fecal metabolome of the Hadza hunter-gatherers: a host-microbiome integrative view. </w:t>
      </w:r>
      <w:r w:rsidRPr="002D780B">
        <w:rPr>
          <w:rFonts w:cs="Times New Roman"/>
          <w:i/>
          <w:iCs/>
          <w:noProof/>
          <w:szCs w:val="24"/>
        </w:rPr>
        <w:t>Sci. Rep.</w:t>
      </w:r>
      <w:r w:rsidRPr="002D780B">
        <w:rPr>
          <w:rFonts w:cs="Times New Roman"/>
          <w:noProof/>
          <w:szCs w:val="24"/>
        </w:rPr>
        <w:t xml:space="preserve"> </w:t>
      </w:r>
      <w:r w:rsidRPr="002D780B">
        <w:rPr>
          <w:rFonts w:cs="Times New Roman"/>
          <w:b/>
          <w:bCs/>
          <w:noProof/>
          <w:szCs w:val="24"/>
        </w:rPr>
        <w:t>6</w:t>
      </w:r>
      <w:r w:rsidRPr="002D780B">
        <w:rPr>
          <w:rFonts w:cs="Times New Roman"/>
          <w:noProof/>
          <w:szCs w:val="24"/>
        </w:rPr>
        <w:t>, 1–9 (2016).</w:t>
      </w:r>
    </w:p>
    <w:p w14:paraId="647827D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51.</w:t>
      </w:r>
      <w:r w:rsidRPr="002D780B">
        <w:rPr>
          <w:rFonts w:cs="Times New Roman"/>
          <w:noProof/>
          <w:szCs w:val="24"/>
        </w:rPr>
        <w:tab/>
        <w:t xml:space="preserve">Velsko, I. M., Overmyer, K. A., Speller, C., Klaus, L., Collins, M. J., Loe, L., Frantz, L. A. F., Sankaranarayanan, K., Lewis, C. M., Martinez, J. B. R., Chaves, E., Coon, J. J., Larson, G. &amp; Warinner, C. The dental calculus metabolome in modern and historic samples. </w:t>
      </w:r>
      <w:r w:rsidRPr="002D780B">
        <w:rPr>
          <w:rFonts w:cs="Times New Roman"/>
          <w:i/>
          <w:iCs/>
          <w:noProof/>
          <w:szCs w:val="24"/>
        </w:rPr>
        <w:t>Metabolomics</w:t>
      </w:r>
      <w:r w:rsidRPr="002D780B">
        <w:rPr>
          <w:rFonts w:cs="Times New Roman"/>
          <w:noProof/>
          <w:szCs w:val="24"/>
        </w:rPr>
        <w:t xml:space="preserve"> </w:t>
      </w:r>
      <w:r w:rsidRPr="002D780B">
        <w:rPr>
          <w:rFonts w:cs="Times New Roman"/>
          <w:b/>
          <w:bCs/>
          <w:noProof/>
          <w:szCs w:val="24"/>
        </w:rPr>
        <w:t>13</w:t>
      </w:r>
      <w:r w:rsidRPr="002D780B">
        <w:rPr>
          <w:rFonts w:cs="Times New Roman"/>
          <w:noProof/>
          <w:szCs w:val="24"/>
        </w:rPr>
        <w:t>, 1–17 (2017).</w:t>
      </w:r>
    </w:p>
    <w:p w14:paraId="709C4A5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52.</w:t>
      </w:r>
      <w:r w:rsidRPr="002D780B">
        <w:rPr>
          <w:rFonts w:cs="Times New Roman"/>
          <w:noProof/>
          <w:szCs w:val="24"/>
        </w:rPr>
        <w:tab/>
        <w:t xml:space="preserve">Bonicelli, A., Mickleburgh, H. L., Chighine, A., Locci, E., Wescott, D. J. &amp; Procopio, N. The ‘ForensOMICS’ approach for postmortem interval estimation from human bone by integrating metabolomics, lipidomics, and proteomics. </w:t>
      </w:r>
      <w:r w:rsidRPr="002D780B">
        <w:rPr>
          <w:rFonts w:cs="Times New Roman"/>
          <w:i/>
          <w:iCs/>
          <w:noProof/>
          <w:szCs w:val="24"/>
        </w:rPr>
        <w:t>Elife</w:t>
      </w:r>
      <w:r w:rsidRPr="002D780B">
        <w:rPr>
          <w:rFonts w:cs="Times New Roman"/>
          <w:noProof/>
          <w:szCs w:val="24"/>
        </w:rPr>
        <w:t xml:space="preserve"> </w:t>
      </w:r>
      <w:r w:rsidRPr="002D780B">
        <w:rPr>
          <w:rFonts w:cs="Times New Roman"/>
          <w:b/>
          <w:bCs/>
          <w:noProof/>
          <w:szCs w:val="24"/>
        </w:rPr>
        <w:t>11</w:t>
      </w:r>
      <w:r w:rsidRPr="002D780B">
        <w:rPr>
          <w:rFonts w:cs="Times New Roman"/>
          <w:noProof/>
          <w:szCs w:val="24"/>
        </w:rPr>
        <w:t>, 1–22 (2022).</w:t>
      </w:r>
    </w:p>
    <w:p w14:paraId="36DC445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53.</w:t>
      </w:r>
      <w:r w:rsidRPr="002D780B">
        <w:rPr>
          <w:rFonts w:cs="Times New Roman"/>
          <w:noProof/>
          <w:szCs w:val="24"/>
        </w:rPr>
        <w:tab/>
        <w:t xml:space="preserve">Hardy, K., Buckley, S., Collins, M. J., Estalrrich, A., Brothwell, D., Copeland, L., García-Tabernero, A., García-Vargas, S., De La Rasilla, M., Lalueza-Fox, C., Huguet, R., Bastir, M., Santamaría, D., Madella, M., Wilson, J., Cortés, Á. F. &amp; Rosas, A. Neanderthal medics? Evidence for food, cooking, and medicinal plants entrapped in dental calculus. </w:t>
      </w:r>
      <w:r w:rsidRPr="002D780B">
        <w:rPr>
          <w:rFonts w:cs="Times New Roman"/>
          <w:i/>
          <w:iCs/>
          <w:noProof/>
          <w:szCs w:val="24"/>
        </w:rPr>
        <w:t>Naturwissenschaften</w:t>
      </w:r>
      <w:r w:rsidRPr="002D780B">
        <w:rPr>
          <w:rFonts w:cs="Times New Roman"/>
          <w:noProof/>
          <w:szCs w:val="24"/>
        </w:rPr>
        <w:t xml:space="preserve"> </w:t>
      </w:r>
      <w:r w:rsidRPr="002D780B">
        <w:rPr>
          <w:rFonts w:cs="Times New Roman"/>
          <w:b/>
          <w:bCs/>
          <w:noProof/>
          <w:szCs w:val="24"/>
        </w:rPr>
        <w:t>99</w:t>
      </w:r>
      <w:r w:rsidRPr="002D780B">
        <w:rPr>
          <w:rFonts w:cs="Times New Roman"/>
          <w:noProof/>
          <w:szCs w:val="24"/>
        </w:rPr>
        <w:t>, 617–626 (2012).</w:t>
      </w:r>
    </w:p>
    <w:p w14:paraId="3B36B6E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54.</w:t>
      </w:r>
      <w:r w:rsidRPr="002D780B">
        <w:rPr>
          <w:rFonts w:cs="Times New Roman"/>
          <w:noProof/>
          <w:szCs w:val="24"/>
        </w:rPr>
        <w:tab/>
        <w:t xml:space="preserve">Grice, E. A. &amp; Segre, J. A. The Human Microbiome: Our Second Genome. </w:t>
      </w:r>
      <w:r w:rsidRPr="002D780B">
        <w:rPr>
          <w:rFonts w:cs="Times New Roman"/>
          <w:i/>
          <w:iCs/>
          <w:noProof/>
          <w:szCs w:val="24"/>
        </w:rPr>
        <w:t>Annu. Rev. Genomics Hum. Genet.</w:t>
      </w:r>
      <w:r w:rsidRPr="002D780B">
        <w:rPr>
          <w:rFonts w:cs="Times New Roman"/>
          <w:noProof/>
          <w:szCs w:val="24"/>
        </w:rPr>
        <w:t xml:space="preserve"> </w:t>
      </w:r>
      <w:r w:rsidRPr="002D780B">
        <w:rPr>
          <w:rFonts w:cs="Times New Roman"/>
          <w:b/>
          <w:bCs/>
          <w:noProof/>
          <w:szCs w:val="24"/>
        </w:rPr>
        <w:t>13</w:t>
      </w:r>
      <w:r w:rsidRPr="002D780B">
        <w:rPr>
          <w:rFonts w:cs="Times New Roman"/>
          <w:noProof/>
          <w:szCs w:val="24"/>
        </w:rPr>
        <w:t>, 151–170 (2012).</w:t>
      </w:r>
    </w:p>
    <w:p w14:paraId="3D140BC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55.</w:t>
      </w:r>
      <w:r w:rsidRPr="002D780B">
        <w:rPr>
          <w:rFonts w:cs="Times New Roman"/>
          <w:noProof/>
          <w:szCs w:val="24"/>
        </w:rPr>
        <w:tab/>
        <w:t xml:space="preserve">Sankaranarayanan, K., Ozga, A. T., Warinner, C., Tito, R. Y., Obregon-Tito, A. J., Xu, J., Gaffney, P. M., Jervis, L. L., Cox, D., Stephens, L., Foster, M., Tallbull, G., Spicer, P. &amp; Lewis, C. M. Gut Microbiome Diversity among Cheyenne and Arapaho Individuals from Western Oklahoma. </w:t>
      </w:r>
      <w:r w:rsidRPr="002D780B">
        <w:rPr>
          <w:rFonts w:cs="Times New Roman"/>
          <w:i/>
          <w:iCs/>
          <w:noProof/>
          <w:szCs w:val="24"/>
        </w:rPr>
        <w:t>Curr. Biol.</w:t>
      </w:r>
      <w:r w:rsidRPr="002D780B">
        <w:rPr>
          <w:rFonts w:cs="Times New Roman"/>
          <w:noProof/>
          <w:szCs w:val="24"/>
        </w:rPr>
        <w:t xml:space="preserve"> </w:t>
      </w:r>
      <w:r w:rsidRPr="002D780B">
        <w:rPr>
          <w:rFonts w:cs="Times New Roman"/>
          <w:b/>
          <w:bCs/>
          <w:noProof/>
          <w:szCs w:val="24"/>
        </w:rPr>
        <w:t>25</w:t>
      </w:r>
      <w:r w:rsidRPr="002D780B">
        <w:rPr>
          <w:rFonts w:cs="Times New Roman"/>
          <w:noProof/>
          <w:szCs w:val="24"/>
        </w:rPr>
        <w:t>, 3161–3169 (2015).</w:t>
      </w:r>
    </w:p>
    <w:p w14:paraId="4514597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56.</w:t>
      </w:r>
      <w:r w:rsidRPr="002D780B">
        <w:rPr>
          <w:rFonts w:cs="Times New Roman"/>
          <w:noProof/>
          <w:szCs w:val="24"/>
        </w:rPr>
        <w:tab/>
        <w:t xml:space="preserve">Velsko, I. M., Fellows Yates, J. A., Aron, F., Hagan, R. W., Frantz, L. A. F., Loe, L., Martinez, J. B. R., Chaves, E., Gosden, C., Larson, G. &amp; Warinner, C. Microbial differences between dental plaque and historic dental calculus are related to oral biofilm maturation stage. </w:t>
      </w:r>
      <w:r w:rsidRPr="002D780B">
        <w:rPr>
          <w:rFonts w:cs="Times New Roman"/>
          <w:i/>
          <w:iCs/>
          <w:noProof/>
          <w:szCs w:val="24"/>
        </w:rPr>
        <w:t>Microbiome</w:t>
      </w:r>
      <w:r w:rsidRPr="002D780B">
        <w:rPr>
          <w:rFonts w:cs="Times New Roman"/>
          <w:noProof/>
          <w:szCs w:val="24"/>
        </w:rPr>
        <w:t xml:space="preserve"> </w:t>
      </w:r>
      <w:r w:rsidRPr="002D780B">
        <w:rPr>
          <w:rFonts w:cs="Times New Roman"/>
          <w:b/>
          <w:bCs/>
          <w:noProof/>
          <w:szCs w:val="24"/>
        </w:rPr>
        <w:t>7</w:t>
      </w:r>
      <w:r w:rsidRPr="002D780B">
        <w:rPr>
          <w:rFonts w:cs="Times New Roman"/>
          <w:noProof/>
          <w:szCs w:val="24"/>
        </w:rPr>
        <w:t>, 1–20 (2019).</w:t>
      </w:r>
    </w:p>
    <w:p w14:paraId="38B8D5F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57.</w:t>
      </w:r>
      <w:r w:rsidRPr="002D780B">
        <w:rPr>
          <w:rFonts w:cs="Times New Roman"/>
          <w:noProof/>
          <w:szCs w:val="24"/>
        </w:rPr>
        <w:tab/>
        <w:t xml:space="preserve">McGovern, P. E. &amp; Hall, G. R. Charting a Future Course for Organic Residue Analysis in Archaeology. </w:t>
      </w:r>
      <w:r w:rsidRPr="002D780B">
        <w:rPr>
          <w:rFonts w:cs="Times New Roman"/>
          <w:i/>
          <w:iCs/>
          <w:noProof/>
          <w:szCs w:val="24"/>
        </w:rPr>
        <w:t>J. Archaeol. Method Theory</w:t>
      </w:r>
      <w:r w:rsidRPr="002D780B">
        <w:rPr>
          <w:rFonts w:cs="Times New Roman"/>
          <w:noProof/>
          <w:szCs w:val="24"/>
        </w:rPr>
        <w:t xml:space="preserve"> </w:t>
      </w:r>
      <w:r w:rsidRPr="002D780B">
        <w:rPr>
          <w:rFonts w:cs="Times New Roman"/>
          <w:b/>
          <w:bCs/>
          <w:noProof/>
          <w:szCs w:val="24"/>
        </w:rPr>
        <w:t>23</w:t>
      </w:r>
      <w:r w:rsidRPr="002D780B">
        <w:rPr>
          <w:rFonts w:cs="Times New Roman"/>
          <w:noProof/>
          <w:szCs w:val="24"/>
        </w:rPr>
        <w:t>, 592–622 (2016).</w:t>
      </w:r>
    </w:p>
    <w:p w14:paraId="25F627C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58.</w:t>
      </w:r>
      <w:r w:rsidRPr="002D780B">
        <w:rPr>
          <w:rFonts w:cs="Times New Roman"/>
          <w:noProof/>
          <w:szCs w:val="24"/>
        </w:rPr>
        <w:tab/>
        <w:t xml:space="preserve">Heron, C. &amp; Evershed, R. P. The Analysis of Organic Residues and the Study of Pottery Use. </w:t>
      </w:r>
      <w:r w:rsidRPr="002D780B">
        <w:rPr>
          <w:rFonts w:cs="Times New Roman"/>
          <w:i/>
          <w:iCs/>
          <w:noProof/>
          <w:szCs w:val="24"/>
        </w:rPr>
        <w:t>Archaeol. Method Theory</w:t>
      </w:r>
      <w:r w:rsidRPr="002D780B">
        <w:rPr>
          <w:rFonts w:cs="Times New Roman"/>
          <w:noProof/>
          <w:szCs w:val="24"/>
        </w:rPr>
        <w:t xml:space="preserve"> </w:t>
      </w:r>
      <w:r w:rsidRPr="002D780B">
        <w:rPr>
          <w:rFonts w:cs="Times New Roman"/>
          <w:b/>
          <w:bCs/>
          <w:noProof/>
          <w:szCs w:val="24"/>
        </w:rPr>
        <w:t>5</w:t>
      </w:r>
      <w:r w:rsidRPr="002D780B">
        <w:rPr>
          <w:rFonts w:cs="Times New Roman"/>
          <w:noProof/>
          <w:szCs w:val="24"/>
        </w:rPr>
        <w:t>, 247–284 (1993).</w:t>
      </w:r>
    </w:p>
    <w:p w14:paraId="6F5FA63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59.</w:t>
      </w:r>
      <w:r w:rsidRPr="002D780B">
        <w:rPr>
          <w:rFonts w:cs="Times New Roman"/>
          <w:noProof/>
          <w:szCs w:val="24"/>
        </w:rPr>
        <w:tab/>
        <w:t xml:space="preserve">Crown, P. L., Gu, J., Hurst, W. J., Ward, T. J., Bravenec, A. D., Ali, S., Kebert, L., Berch, M., Redman, E., Lyons, P. D., Merewether, J., Phillips, D. A., Reed, L. S. &amp; Woodson, K. Ritual drinks in the pre-Hispanic US Southwest and Mexican Northwest. </w:t>
      </w:r>
      <w:r w:rsidRPr="002D780B">
        <w:rPr>
          <w:rFonts w:cs="Times New Roman"/>
          <w:i/>
          <w:iCs/>
          <w:noProof/>
          <w:szCs w:val="24"/>
        </w:rPr>
        <w:t>Proc. Natl. Acad. Sci.</w:t>
      </w:r>
      <w:r w:rsidRPr="002D780B">
        <w:rPr>
          <w:rFonts w:cs="Times New Roman"/>
          <w:noProof/>
          <w:szCs w:val="24"/>
        </w:rPr>
        <w:t xml:space="preserve"> </w:t>
      </w:r>
      <w:r w:rsidRPr="002D780B">
        <w:rPr>
          <w:rFonts w:cs="Times New Roman"/>
          <w:b/>
          <w:bCs/>
          <w:noProof/>
          <w:szCs w:val="24"/>
        </w:rPr>
        <w:t>112</w:t>
      </w:r>
      <w:r w:rsidRPr="002D780B">
        <w:rPr>
          <w:rFonts w:cs="Times New Roman"/>
          <w:noProof/>
          <w:szCs w:val="24"/>
        </w:rPr>
        <w:t>, 11436–11442 (2015).</w:t>
      </w:r>
    </w:p>
    <w:p w14:paraId="4379B34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lastRenderedPageBreak/>
        <w:t>60.</w:t>
      </w:r>
      <w:r w:rsidRPr="002D780B">
        <w:rPr>
          <w:rFonts w:cs="Times New Roman"/>
          <w:noProof/>
          <w:szCs w:val="24"/>
        </w:rPr>
        <w:tab/>
        <w:t xml:space="preserve">Guasch-Jané, M. R., Andrés-Lacueva, C., Járegui, O. &amp; Lamuela-Raventós, R. M. The origin of the ancient Egyptian drink Shedeh revealed using LC/MS/MS. </w:t>
      </w:r>
      <w:r w:rsidRPr="002D780B">
        <w:rPr>
          <w:rFonts w:cs="Times New Roman"/>
          <w:i/>
          <w:iCs/>
          <w:noProof/>
          <w:szCs w:val="24"/>
        </w:rPr>
        <w:t>J. Archaeol. Sci.</w:t>
      </w:r>
      <w:r w:rsidRPr="002D780B">
        <w:rPr>
          <w:rFonts w:cs="Times New Roman"/>
          <w:noProof/>
          <w:szCs w:val="24"/>
        </w:rPr>
        <w:t xml:space="preserve"> </w:t>
      </w:r>
      <w:r w:rsidRPr="002D780B">
        <w:rPr>
          <w:rFonts w:cs="Times New Roman"/>
          <w:b/>
          <w:bCs/>
          <w:noProof/>
          <w:szCs w:val="24"/>
        </w:rPr>
        <w:t>33</w:t>
      </w:r>
      <w:r w:rsidRPr="002D780B">
        <w:rPr>
          <w:rFonts w:cs="Times New Roman"/>
          <w:noProof/>
          <w:szCs w:val="24"/>
        </w:rPr>
        <w:t>, 98–101 (2006).</w:t>
      </w:r>
    </w:p>
    <w:p w14:paraId="2EDE7B8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61.</w:t>
      </w:r>
      <w:r w:rsidRPr="002D780B">
        <w:rPr>
          <w:rFonts w:cs="Times New Roman"/>
          <w:noProof/>
          <w:szCs w:val="24"/>
        </w:rPr>
        <w:tab/>
        <w:t xml:space="preserve">Carmody, S. B., Kassabaum, M. C., Hunt, R. K., Prodanovich, N., Elliott, H. &amp; Russ, J. Residue analysis of smoking pipe fragments from the Feltus archaeological site, Southeastern North America.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17</w:t>
      </w:r>
      <w:r w:rsidRPr="002D780B">
        <w:rPr>
          <w:rFonts w:cs="Times New Roman"/>
          <w:noProof/>
          <w:szCs w:val="24"/>
        </w:rPr>
        <w:t>, 640–649 (2018).</w:t>
      </w:r>
    </w:p>
    <w:p w14:paraId="2836161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62.</w:t>
      </w:r>
      <w:r w:rsidRPr="002D780B">
        <w:rPr>
          <w:rFonts w:cs="Times New Roman"/>
          <w:noProof/>
          <w:szCs w:val="24"/>
        </w:rPr>
        <w:tab/>
        <w:t xml:space="preserve">Brownstein, K. J., Tushingham, S., Damitio, W. J., Nguyen, T. &amp; Gang, D. R. An Ancient Residue Metabolomics-Based Method to Distinguish Use of Closely Related Plant Species in Ancient Pipes. </w:t>
      </w:r>
      <w:r w:rsidRPr="002D780B">
        <w:rPr>
          <w:rFonts w:cs="Times New Roman"/>
          <w:i/>
          <w:iCs/>
          <w:noProof/>
          <w:szCs w:val="24"/>
        </w:rPr>
        <w:t>Front. Mol. Biosci.</w:t>
      </w:r>
      <w:r w:rsidRPr="002D780B">
        <w:rPr>
          <w:rFonts w:cs="Times New Roman"/>
          <w:noProof/>
          <w:szCs w:val="24"/>
        </w:rPr>
        <w:t xml:space="preserve"> </w:t>
      </w:r>
      <w:r w:rsidRPr="002D780B">
        <w:rPr>
          <w:rFonts w:cs="Times New Roman"/>
          <w:b/>
          <w:bCs/>
          <w:noProof/>
          <w:szCs w:val="24"/>
        </w:rPr>
        <w:t>7</w:t>
      </w:r>
      <w:r w:rsidRPr="002D780B">
        <w:rPr>
          <w:rFonts w:cs="Times New Roman"/>
          <w:noProof/>
          <w:szCs w:val="24"/>
        </w:rPr>
        <w:t>, 1–14 (2020).</w:t>
      </w:r>
    </w:p>
    <w:p w14:paraId="3DF9D8E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63.</w:t>
      </w:r>
      <w:r w:rsidRPr="002D780B">
        <w:rPr>
          <w:rFonts w:cs="Times New Roman"/>
          <w:noProof/>
          <w:szCs w:val="24"/>
        </w:rPr>
        <w:tab/>
        <w:t xml:space="preserve">Zimmermann, M., Brownstein, K. J., Díaz, L. P., Aragón, I. A., Hutson, S., Kidder, B., Tushingham, S. &amp; Gang, D. R. Metabolomics ‑based analysis of miniature flask contents identifies tobacco mixture use among the ancient Maya. </w:t>
      </w:r>
      <w:r w:rsidRPr="002D780B">
        <w:rPr>
          <w:rFonts w:cs="Times New Roman"/>
          <w:i/>
          <w:iCs/>
          <w:noProof/>
          <w:szCs w:val="24"/>
        </w:rPr>
        <w:t>Sci. Rep.</w:t>
      </w:r>
      <w:r w:rsidRPr="002D780B">
        <w:rPr>
          <w:rFonts w:cs="Times New Roman"/>
          <w:noProof/>
          <w:szCs w:val="24"/>
        </w:rPr>
        <w:t xml:space="preserve"> 1–11 (2021) doi:10.1038/s41598-021-81158-y.</w:t>
      </w:r>
    </w:p>
    <w:p w14:paraId="3502F56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64.</w:t>
      </w:r>
      <w:r w:rsidRPr="002D780B">
        <w:rPr>
          <w:rFonts w:cs="Times New Roman"/>
          <w:noProof/>
          <w:szCs w:val="24"/>
        </w:rPr>
        <w:tab/>
        <w:t xml:space="preserve">Garnier, N. &amp; Vedeler, M. Revealing Medieval culinary practices in Norway: A first metabolomic-based approach.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40</w:t>
      </w:r>
      <w:r w:rsidRPr="002D780B">
        <w:rPr>
          <w:rFonts w:cs="Times New Roman"/>
          <w:noProof/>
          <w:szCs w:val="24"/>
        </w:rPr>
        <w:t>, 103206 (2021).</w:t>
      </w:r>
    </w:p>
    <w:p w14:paraId="4D8C4D7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65.</w:t>
      </w:r>
      <w:r w:rsidRPr="002D780B">
        <w:rPr>
          <w:rFonts w:cs="Times New Roman"/>
          <w:noProof/>
          <w:szCs w:val="24"/>
        </w:rPr>
        <w:tab/>
        <w:t xml:space="preserve">DeBerardinis, R. &amp; Thompson, C. Cellular metabolism and disease: what do metabolic outliers teach us? </w:t>
      </w:r>
      <w:r w:rsidRPr="002D780B">
        <w:rPr>
          <w:rFonts w:cs="Times New Roman"/>
          <w:b/>
          <w:bCs/>
          <w:noProof/>
          <w:szCs w:val="24"/>
        </w:rPr>
        <w:t>148</w:t>
      </w:r>
      <w:r w:rsidRPr="002D780B">
        <w:rPr>
          <w:rFonts w:cs="Times New Roman"/>
          <w:noProof/>
          <w:szCs w:val="24"/>
        </w:rPr>
        <w:t>, 1132–1144 (2012).</w:t>
      </w:r>
    </w:p>
    <w:p w14:paraId="1A840BF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66.</w:t>
      </w:r>
      <w:r w:rsidRPr="002D780B">
        <w:rPr>
          <w:rFonts w:cs="Times New Roman"/>
          <w:noProof/>
          <w:szCs w:val="24"/>
        </w:rPr>
        <w:tab/>
        <w:t xml:space="preserve">Rappaport, S. M. Environment and Disease Risks. </w:t>
      </w:r>
      <w:r w:rsidRPr="002D780B">
        <w:rPr>
          <w:rFonts w:cs="Times New Roman"/>
          <w:i/>
          <w:iCs/>
          <w:noProof/>
          <w:szCs w:val="24"/>
        </w:rPr>
        <w:t>Science (80-. ).</w:t>
      </w:r>
      <w:r w:rsidRPr="002D780B">
        <w:rPr>
          <w:rFonts w:cs="Times New Roman"/>
          <w:noProof/>
          <w:szCs w:val="24"/>
        </w:rPr>
        <w:t xml:space="preserve"> </w:t>
      </w:r>
      <w:r w:rsidRPr="002D780B">
        <w:rPr>
          <w:rFonts w:cs="Times New Roman"/>
          <w:b/>
          <w:bCs/>
          <w:noProof/>
          <w:szCs w:val="24"/>
        </w:rPr>
        <w:t>460</w:t>
      </w:r>
      <w:r w:rsidRPr="002D780B">
        <w:rPr>
          <w:rFonts w:cs="Times New Roman"/>
          <w:noProof/>
          <w:szCs w:val="24"/>
        </w:rPr>
        <w:t>, 460–461 (2011).</w:t>
      </w:r>
    </w:p>
    <w:p w14:paraId="56CCF99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67.</w:t>
      </w:r>
      <w:r w:rsidRPr="002D780B">
        <w:rPr>
          <w:rFonts w:cs="Times New Roman"/>
          <w:noProof/>
          <w:szCs w:val="24"/>
        </w:rPr>
        <w:tab/>
        <w:t>Rattray, N. J. W., Deziel, N. C., Wallach, J. D., Khan, S. A., Vasiliou, V., Ioannidis, J. P. A. &amp; Johnson, C. H. Beyond genomics : understanding exposotypes through metabolomics. 1–14 (2018) doi:10.1186/s40246-018-0134-x.</w:t>
      </w:r>
    </w:p>
    <w:p w14:paraId="109032C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68.</w:t>
      </w:r>
      <w:r w:rsidRPr="002D780B">
        <w:rPr>
          <w:rFonts w:cs="Times New Roman"/>
          <w:noProof/>
          <w:szCs w:val="24"/>
        </w:rPr>
        <w:tab/>
        <w:t xml:space="preserve">Lewis, C. M., McCall, L. I., Sharp, R. R. &amp; Spicer, P. G. Ethical priority of the most actionable system of biomolecules: the metabolome. </w:t>
      </w:r>
      <w:r w:rsidRPr="002D780B">
        <w:rPr>
          <w:rFonts w:cs="Times New Roman"/>
          <w:i/>
          <w:iCs/>
          <w:noProof/>
          <w:szCs w:val="24"/>
        </w:rPr>
        <w:t>Am. J. Phys. Anthropol.</w:t>
      </w:r>
      <w:r w:rsidRPr="002D780B">
        <w:rPr>
          <w:rFonts w:cs="Times New Roman"/>
          <w:noProof/>
          <w:szCs w:val="24"/>
        </w:rPr>
        <w:t xml:space="preserve"> </w:t>
      </w:r>
      <w:r w:rsidRPr="002D780B">
        <w:rPr>
          <w:rFonts w:cs="Times New Roman"/>
          <w:b/>
          <w:bCs/>
          <w:noProof/>
          <w:szCs w:val="24"/>
        </w:rPr>
        <w:t>171</w:t>
      </w:r>
      <w:r w:rsidRPr="002D780B">
        <w:rPr>
          <w:rFonts w:cs="Times New Roman"/>
          <w:noProof/>
          <w:szCs w:val="24"/>
        </w:rPr>
        <w:t>, 177–181 (2019).</w:t>
      </w:r>
    </w:p>
    <w:p w14:paraId="06F7FD9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69.</w:t>
      </w:r>
      <w:r w:rsidRPr="002D780B">
        <w:rPr>
          <w:rFonts w:cs="Times New Roman"/>
          <w:noProof/>
          <w:szCs w:val="24"/>
        </w:rPr>
        <w:tab/>
        <w:t xml:space="preserve">Nordström, A., O’Maille, G., Qin, C. &amp; Siuzdak, G. Nonlinear data alignment for UPLC-MS and HPLC-MS based metabolomics: Quantitative analysis of endogenous and exogenous metabolites in human serum. </w:t>
      </w:r>
      <w:r w:rsidRPr="002D780B">
        <w:rPr>
          <w:rFonts w:cs="Times New Roman"/>
          <w:i/>
          <w:iCs/>
          <w:noProof/>
          <w:szCs w:val="24"/>
        </w:rPr>
        <w:t>Anal. Chem.</w:t>
      </w:r>
      <w:r w:rsidRPr="002D780B">
        <w:rPr>
          <w:rFonts w:cs="Times New Roman"/>
          <w:noProof/>
          <w:szCs w:val="24"/>
        </w:rPr>
        <w:t xml:space="preserve"> </w:t>
      </w:r>
      <w:r w:rsidRPr="002D780B">
        <w:rPr>
          <w:rFonts w:cs="Times New Roman"/>
          <w:b/>
          <w:bCs/>
          <w:noProof/>
          <w:szCs w:val="24"/>
        </w:rPr>
        <w:t>78</w:t>
      </w:r>
      <w:r w:rsidRPr="002D780B">
        <w:rPr>
          <w:rFonts w:cs="Times New Roman"/>
          <w:noProof/>
          <w:szCs w:val="24"/>
        </w:rPr>
        <w:t>, 3289–3295 (2006).</w:t>
      </w:r>
    </w:p>
    <w:p w14:paraId="72C85DC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70.</w:t>
      </w:r>
      <w:r w:rsidRPr="002D780B">
        <w:rPr>
          <w:rFonts w:cs="Times New Roman"/>
          <w:noProof/>
          <w:szCs w:val="24"/>
        </w:rPr>
        <w:tab/>
        <w:t xml:space="preserve">Wishart, D. S. Emerging applications of metabolomics in drug discovery and precision medicine. </w:t>
      </w:r>
      <w:r w:rsidRPr="002D780B">
        <w:rPr>
          <w:rFonts w:cs="Times New Roman"/>
          <w:i/>
          <w:iCs/>
          <w:noProof/>
          <w:szCs w:val="24"/>
        </w:rPr>
        <w:t>Nat. Rev. Drug Discov.</w:t>
      </w:r>
      <w:r w:rsidRPr="002D780B">
        <w:rPr>
          <w:rFonts w:cs="Times New Roman"/>
          <w:noProof/>
          <w:szCs w:val="24"/>
        </w:rPr>
        <w:t xml:space="preserve"> </w:t>
      </w:r>
      <w:r w:rsidRPr="002D780B">
        <w:rPr>
          <w:rFonts w:cs="Times New Roman"/>
          <w:b/>
          <w:bCs/>
          <w:noProof/>
          <w:szCs w:val="24"/>
        </w:rPr>
        <w:t>15</w:t>
      </w:r>
      <w:r w:rsidRPr="002D780B">
        <w:rPr>
          <w:rFonts w:cs="Times New Roman"/>
          <w:noProof/>
          <w:szCs w:val="24"/>
        </w:rPr>
        <w:t>, 473–484 (2016).</w:t>
      </w:r>
    </w:p>
    <w:p w14:paraId="0BC25F8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71.</w:t>
      </w:r>
      <w:r w:rsidRPr="002D780B">
        <w:rPr>
          <w:rFonts w:cs="Times New Roman"/>
          <w:noProof/>
          <w:szCs w:val="24"/>
        </w:rPr>
        <w:tab/>
        <w:t xml:space="preserve">Lamichhane, S., Sen, P., Dickens, A. M., Orešič, M. &amp; Bertram, H. C. Gut metabolome meets microbiome: A methodological perspective to understand the relationship between host and microbe. </w:t>
      </w:r>
      <w:r w:rsidRPr="002D780B">
        <w:rPr>
          <w:rFonts w:cs="Times New Roman"/>
          <w:i/>
          <w:iCs/>
          <w:noProof/>
          <w:szCs w:val="24"/>
        </w:rPr>
        <w:t>Methods</w:t>
      </w:r>
      <w:r w:rsidRPr="002D780B">
        <w:rPr>
          <w:rFonts w:cs="Times New Roman"/>
          <w:noProof/>
          <w:szCs w:val="24"/>
        </w:rPr>
        <w:t xml:space="preserve"> </w:t>
      </w:r>
      <w:r w:rsidRPr="002D780B">
        <w:rPr>
          <w:rFonts w:cs="Times New Roman"/>
          <w:b/>
          <w:bCs/>
          <w:noProof/>
          <w:szCs w:val="24"/>
        </w:rPr>
        <w:t>149</w:t>
      </w:r>
      <w:r w:rsidRPr="002D780B">
        <w:rPr>
          <w:rFonts w:cs="Times New Roman"/>
          <w:noProof/>
          <w:szCs w:val="24"/>
        </w:rPr>
        <w:t>, 3–12 (2018).</w:t>
      </w:r>
    </w:p>
    <w:p w14:paraId="3AD8905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72.</w:t>
      </w:r>
      <w:r w:rsidRPr="002D780B">
        <w:rPr>
          <w:rFonts w:cs="Times New Roman"/>
          <w:noProof/>
          <w:szCs w:val="24"/>
        </w:rPr>
        <w:tab/>
        <w:t xml:space="preserve">Vernocchi, P., Del Chierico, F. &amp; Putignani, L. Gut microbiota profiling: Metabolomics based approach to unravel compounds affecting human health. </w:t>
      </w:r>
      <w:r w:rsidRPr="002D780B">
        <w:rPr>
          <w:rFonts w:cs="Times New Roman"/>
          <w:i/>
          <w:iCs/>
          <w:noProof/>
          <w:szCs w:val="24"/>
        </w:rPr>
        <w:t>Front. Microbiol.</w:t>
      </w:r>
      <w:r w:rsidRPr="002D780B">
        <w:rPr>
          <w:rFonts w:cs="Times New Roman"/>
          <w:noProof/>
          <w:szCs w:val="24"/>
        </w:rPr>
        <w:t xml:space="preserve"> </w:t>
      </w:r>
      <w:r w:rsidRPr="002D780B">
        <w:rPr>
          <w:rFonts w:cs="Times New Roman"/>
          <w:b/>
          <w:bCs/>
          <w:noProof/>
          <w:szCs w:val="24"/>
        </w:rPr>
        <w:t>7</w:t>
      </w:r>
      <w:r w:rsidRPr="002D780B">
        <w:rPr>
          <w:rFonts w:cs="Times New Roman"/>
          <w:noProof/>
          <w:szCs w:val="24"/>
        </w:rPr>
        <w:t>, (2016).</w:t>
      </w:r>
    </w:p>
    <w:p w14:paraId="21265DE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73.</w:t>
      </w:r>
      <w:r w:rsidRPr="002D780B">
        <w:rPr>
          <w:rFonts w:cs="Times New Roman"/>
          <w:noProof/>
          <w:szCs w:val="24"/>
        </w:rPr>
        <w:tab/>
        <w:t xml:space="preserve">Treiman, D. J. Industrialization and Social Stratification. </w:t>
      </w:r>
      <w:r w:rsidRPr="002D780B">
        <w:rPr>
          <w:rFonts w:cs="Times New Roman"/>
          <w:i/>
          <w:iCs/>
          <w:noProof/>
          <w:szCs w:val="24"/>
        </w:rPr>
        <w:t>Sociol. Inq.</w:t>
      </w:r>
      <w:r w:rsidRPr="002D780B">
        <w:rPr>
          <w:rFonts w:cs="Times New Roman"/>
          <w:noProof/>
          <w:szCs w:val="24"/>
        </w:rPr>
        <w:t xml:space="preserve"> </w:t>
      </w:r>
      <w:r w:rsidRPr="002D780B">
        <w:rPr>
          <w:rFonts w:cs="Times New Roman"/>
          <w:b/>
          <w:bCs/>
          <w:noProof/>
          <w:szCs w:val="24"/>
        </w:rPr>
        <w:t>40</w:t>
      </w:r>
      <w:r w:rsidRPr="002D780B">
        <w:rPr>
          <w:rFonts w:cs="Times New Roman"/>
          <w:noProof/>
          <w:szCs w:val="24"/>
        </w:rPr>
        <w:t>, 207–234 (1970).</w:t>
      </w:r>
    </w:p>
    <w:p w14:paraId="57EE44C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74.</w:t>
      </w:r>
      <w:r w:rsidRPr="002D780B">
        <w:rPr>
          <w:rFonts w:cs="Times New Roman"/>
          <w:noProof/>
          <w:szCs w:val="24"/>
        </w:rPr>
        <w:tab/>
        <w:t xml:space="preserve">Gollin, D., Jedwab, R. &amp; Vollrath, D. Urbanization with and without industrialization. </w:t>
      </w:r>
      <w:r w:rsidRPr="002D780B">
        <w:rPr>
          <w:rFonts w:cs="Times New Roman"/>
          <w:i/>
          <w:iCs/>
          <w:noProof/>
          <w:szCs w:val="24"/>
        </w:rPr>
        <w:t>J. Econ. Growth</w:t>
      </w:r>
      <w:r w:rsidRPr="002D780B">
        <w:rPr>
          <w:rFonts w:cs="Times New Roman"/>
          <w:noProof/>
          <w:szCs w:val="24"/>
        </w:rPr>
        <w:t xml:space="preserve"> </w:t>
      </w:r>
      <w:r w:rsidRPr="002D780B">
        <w:rPr>
          <w:rFonts w:cs="Times New Roman"/>
          <w:b/>
          <w:bCs/>
          <w:noProof/>
          <w:szCs w:val="24"/>
        </w:rPr>
        <w:t>21</w:t>
      </w:r>
      <w:r w:rsidRPr="002D780B">
        <w:rPr>
          <w:rFonts w:cs="Times New Roman"/>
          <w:noProof/>
          <w:szCs w:val="24"/>
        </w:rPr>
        <w:t>, 35–70 (2016).</w:t>
      </w:r>
    </w:p>
    <w:p w14:paraId="6AD0A36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75.</w:t>
      </w:r>
      <w:r w:rsidRPr="002D780B">
        <w:rPr>
          <w:rFonts w:cs="Times New Roman"/>
          <w:noProof/>
          <w:szCs w:val="24"/>
        </w:rPr>
        <w:tab/>
        <w:t xml:space="preserve">Ritchie, H. &amp; Roser, M. Urbanization. </w:t>
      </w:r>
      <w:r w:rsidRPr="002D780B">
        <w:rPr>
          <w:rFonts w:cs="Times New Roman"/>
          <w:i/>
          <w:iCs/>
          <w:noProof/>
          <w:szCs w:val="24"/>
        </w:rPr>
        <w:t>Publ. online OurWorldInData.org</w:t>
      </w:r>
      <w:r w:rsidRPr="002D780B">
        <w:rPr>
          <w:rFonts w:cs="Times New Roman"/>
          <w:noProof/>
          <w:szCs w:val="24"/>
        </w:rPr>
        <w:t xml:space="preserve"> (2020).</w:t>
      </w:r>
    </w:p>
    <w:p w14:paraId="6118EFC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76.</w:t>
      </w:r>
      <w:r w:rsidRPr="002D780B">
        <w:rPr>
          <w:rFonts w:cs="Times New Roman"/>
          <w:noProof/>
          <w:szCs w:val="24"/>
        </w:rPr>
        <w:tab/>
        <w:t xml:space="preserve">Nguyen, T. D., Lesani, M., Forrest, I., Lan, Y., Dean, D. A., Gibaut, Q. M. R., Guo, Y., Hossain, E., Olvera, M., Panlilio, H., Parab, A. R., Wu, C., Bernatchez, J. A., Cichewicz, R. H. &amp; McCall, L. I. Local phenomena shape backyard soil metabolite composition. </w:t>
      </w:r>
      <w:r w:rsidRPr="002D780B">
        <w:rPr>
          <w:rFonts w:cs="Times New Roman"/>
          <w:i/>
          <w:iCs/>
          <w:noProof/>
          <w:szCs w:val="24"/>
        </w:rPr>
        <w:t>Metabolites</w:t>
      </w:r>
      <w:r w:rsidRPr="002D780B">
        <w:rPr>
          <w:rFonts w:cs="Times New Roman"/>
          <w:noProof/>
          <w:szCs w:val="24"/>
        </w:rPr>
        <w:t xml:space="preserve"> </w:t>
      </w:r>
      <w:r w:rsidRPr="002D780B">
        <w:rPr>
          <w:rFonts w:cs="Times New Roman"/>
          <w:b/>
          <w:bCs/>
          <w:noProof/>
          <w:szCs w:val="24"/>
        </w:rPr>
        <w:t>10</w:t>
      </w:r>
      <w:r w:rsidRPr="002D780B">
        <w:rPr>
          <w:rFonts w:cs="Times New Roman"/>
          <w:noProof/>
          <w:szCs w:val="24"/>
        </w:rPr>
        <w:t>, 1–16 (2020).</w:t>
      </w:r>
    </w:p>
    <w:p w14:paraId="14B42F1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77.</w:t>
      </w:r>
      <w:r w:rsidRPr="002D780B">
        <w:rPr>
          <w:rFonts w:cs="Times New Roman"/>
          <w:noProof/>
          <w:szCs w:val="24"/>
        </w:rPr>
        <w:tab/>
        <w:t xml:space="preserve">Höppe, P. &amp; Martinac, I. Indoor climate and air quality. Review of current and future topics in the field of ISB study group 10. </w:t>
      </w:r>
      <w:r w:rsidRPr="002D780B">
        <w:rPr>
          <w:rFonts w:cs="Times New Roman"/>
          <w:i/>
          <w:iCs/>
          <w:noProof/>
          <w:szCs w:val="24"/>
        </w:rPr>
        <w:t>Int. J. Biometeorol.</w:t>
      </w:r>
      <w:r w:rsidRPr="002D780B">
        <w:rPr>
          <w:rFonts w:cs="Times New Roman"/>
          <w:noProof/>
          <w:szCs w:val="24"/>
        </w:rPr>
        <w:t xml:space="preserve"> </w:t>
      </w:r>
      <w:r w:rsidRPr="002D780B">
        <w:rPr>
          <w:rFonts w:cs="Times New Roman"/>
          <w:b/>
          <w:bCs/>
          <w:noProof/>
          <w:szCs w:val="24"/>
        </w:rPr>
        <w:t>42</w:t>
      </w:r>
      <w:r w:rsidRPr="002D780B">
        <w:rPr>
          <w:rFonts w:cs="Times New Roman"/>
          <w:noProof/>
          <w:szCs w:val="24"/>
        </w:rPr>
        <w:t>, 1–7 (1998).</w:t>
      </w:r>
    </w:p>
    <w:p w14:paraId="5F7E5D5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78.</w:t>
      </w:r>
      <w:r w:rsidRPr="002D780B">
        <w:rPr>
          <w:rFonts w:cs="Times New Roman"/>
          <w:noProof/>
          <w:szCs w:val="24"/>
        </w:rPr>
        <w:tab/>
        <w:t xml:space="preserve">Katemauswa, M., Hossain, E., Liu, Z., Lesani, M., Parab, A. R., Dean, D. A. &amp; McCall, </w:t>
      </w:r>
      <w:r w:rsidRPr="002D780B">
        <w:rPr>
          <w:rFonts w:cs="Times New Roman"/>
          <w:noProof/>
          <w:szCs w:val="24"/>
        </w:rPr>
        <w:lastRenderedPageBreak/>
        <w:t>L.-I. Optimized extraction method enables quantitative analysis of surface metabolite recovery for exposomics and behavioral studies. 5–6 (2021).</w:t>
      </w:r>
    </w:p>
    <w:p w14:paraId="0DD0AFD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79.</w:t>
      </w:r>
      <w:r w:rsidRPr="002D780B">
        <w:rPr>
          <w:rFonts w:cs="Times New Roman"/>
          <w:noProof/>
          <w:szCs w:val="24"/>
        </w:rPr>
        <w:tab/>
        <w:t xml:space="preserve">Ruiz-Calderon, J. F., Cavallin, H., Song, S. J., Novoselac, A., Pericchi, L. R., Hernandez, J. N., Rios, R., Branch, O. H., Pereira, H., Paulino, L. C., Blaser, M. J., Knight, R. &amp; Dominguez-Bello, M. G. Microbiology: Walls talk: Microbial biogeography of homes spanning urbanization. </w:t>
      </w:r>
      <w:r w:rsidRPr="002D780B">
        <w:rPr>
          <w:rFonts w:cs="Times New Roman"/>
          <w:i/>
          <w:iCs/>
          <w:noProof/>
          <w:szCs w:val="24"/>
        </w:rPr>
        <w:t>Sci. Adv.</w:t>
      </w:r>
      <w:r w:rsidRPr="002D780B">
        <w:rPr>
          <w:rFonts w:cs="Times New Roman"/>
          <w:noProof/>
          <w:szCs w:val="24"/>
        </w:rPr>
        <w:t xml:space="preserve"> </w:t>
      </w:r>
      <w:r w:rsidRPr="002D780B">
        <w:rPr>
          <w:rFonts w:cs="Times New Roman"/>
          <w:b/>
          <w:bCs/>
          <w:noProof/>
          <w:szCs w:val="24"/>
        </w:rPr>
        <w:t>2</w:t>
      </w:r>
      <w:r w:rsidRPr="002D780B">
        <w:rPr>
          <w:rFonts w:cs="Times New Roman"/>
          <w:noProof/>
          <w:szCs w:val="24"/>
        </w:rPr>
        <w:t>, (2016).</w:t>
      </w:r>
    </w:p>
    <w:p w14:paraId="19F6E35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80.</w:t>
      </w:r>
      <w:r w:rsidRPr="002D780B">
        <w:rPr>
          <w:rFonts w:cs="Times New Roman"/>
          <w:noProof/>
          <w:szCs w:val="24"/>
        </w:rPr>
        <w:tab/>
        <w:t xml:space="preserve">Popkin, B. M. Urbanization, lifestyle changes and the nutrition transition. </w:t>
      </w:r>
      <w:r w:rsidRPr="002D780B">
        <w:rPr>
          <w:rFonts w:cs="Times New Roman"/>
          <w:i/>
          <w:iCs/>
          <w:noProof/>
          <w:szCs w:val="24"/>
        </w:rPr>
        <w:t>World Dev.</w:t>
      </w:r>
      <w:r w:rsidRPr="002D780B">
        <w:rPr>
          <w:rFonts w:cs="Times New Roman"/>
          <w:noProof/>
          <w:szCs w:val="24"/>
        </w:rPr>
        <w:t xml:space="preserve"> </w:t>
      </w:r>
      <w:r w:rsidRPr="002D780B">
        <w:rPr>
          <w:rFonts w:cs="Times New Roman"/>
          <w:b/>
          <w:bCs/>
          <w:noProof/>
          <w:szCs w:val="24"/>
        </w:rPr>
        <w:t>27</w:t>
      </w:r>
      <w:r w:rsidRPr="002D780B">
        <w:rPr>
          <w:rFonts w:cs="Times New Roman"/>
          <w:noProof/>
          <w:szCs w:val="24"/>
        </w:rPr>
        <w:t>, 1905–1916 (1999).</w:t>
      </w:r>
    </w:p>
    <w:p w14:paraId="2F7D1DD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81.</w:t>
      </w:r>
      <w:r w:rsidRPr="002D780B">
        <w:rPr>
          <w:rFonts w:cs="Times New Roman"/>
          <w:noProof/>
          <w:szCs w:val="24"/>
        </w:rPr>
        <w:tab/>
        <w:t xml:space="preserve">Satterthwaite, D., McGranahan, G. &amp; Tacoli, C. Urbanization and its implications for food and farming. </w:t>
      </w:r>
      <w:r w:rsidRPr="002D780B">
        <w:rPr>
          <w:rFonts w:cs="Times New Roman"/>
          <w:i/>
          <w:iCs/>
          <w:noProof/>
          <w:szCs w:val="24"/>
        </w:rPr>
        <w:t>Philos. Trans. R. Soc. B Biol. Sci.</w:t>
      </w:r>
      <w:r w:rsidRPr="002D780B">
        <w:rPr>
          <w:rFonts w:cs="Times New Roman"/>
          <w:noProof/>
          <w:szCs w:val="24"/>
        </w:rPr>
        <w:t xml:space="preserve"> </w:t>
      </w:r>
      <w:r w:rsidRPr="002D780B">
        <w:rPr>
          <w:rFonts w:cs="Times New Roman"/>
          <w:b/>
          <w:bCs/>
          <w:noProof/>
          <w:szCs w:val="24"/>
        </w:rPr>
        <w:t>365</w:t>
      </w:r>
      <w:r w:rsidRPr="002D780B">
        <w:rPr>
          <w:rFonts w:cs="Times New Roman"/>
          <w:noProof/>
          <w:szCs w:val="24"/>
        </w:rPr>
        <w:t>, 2809–2820 (2010).</w:t>
      </w:r>
    </w:p>
    <w:p w14:paraId="6DEF47C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82.</w:t>
      </w:r>
      <w:r w:rsidRPr="002D780B">
        <w:rPr>
          <w:rFonts w:cs="Times New Roman"/>
          <w:noProof/>
          <w:szCs w:val="24"/>
        </w:rPr>
        <w:tab/>
        <w:t xml:space="preserve">Obregon-Tito, A. J., Tito, R. Y., Metcalf, J., Sankaranarayanan, K., Clemente, J. C., Ursell, L. K., Zech Xu, Z., Van Treuren, W., Knight, R., Gaffney, P. M., Spicer, P., Lawson, P., Marin-Reyes, L., Trujillo-Villarroel, O., Foster, M., Guija-Poma, E., Troncoso-Corzo, L., Warinner, C., Ozga, A. T. &amp; Lewis, C. M. Subsistence strategies in traditional societies distinguish gut microbiomes: Supplementary Information. </w:t>
      </w:r>
      <w:r w:rsidRPr="002D780B">
        <w:rPr>
          <w:rFonts w:cs="Times New Roman"/>
          <w:i/>
          <w:iCs/>
          <w:noProof/>
          <w:szCs w:val="24"/>
        </w:rPr>
        <w:t>Nat. Commun.</w:t>
      </w:r>
      <w:r w:rsidRPr="002D780B">
        <w:rPr>
          <w:rFonts w:cs="Times New Roman"/>
          <w:noProof/>
          <w:szCs w:val="24"/>
        </w:rPr>
        <w:t xml:space="preserve"> </w:t>
      </w:r>
      <w:r w:rsidRPr="002D780B">
        <w:rPr>
          <w:rFonts w:cs="Times New Roman"/>
          <w:b/>
          <w:bCs/>
          <w:noProof/>
          <w:szCs w:val="24"/>
        </w:rPr>
        <w:t>6</w:t>
      </w:r>
      <w:r w:rsidRPr="002D780B">
        <w:rPr>
          <w:rFonts w:cs="Times New Roman"/>
          <w:noProof/>
          <w:szCs w:val="24"/>
        </w:rPr>
        <w:t>, 1–9 (2015).</w:t>
      </w:r>
    </w:p>
    <w:p w14:paraId="0FA27D3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83.</w:t>
      </w:r>
      <w:r w:rsidRPr="002D780B">
        <w:rPr>
          <w:rFonts w:cs="Times New Roman"/>
          <w:noProof/>
          <w:szCs w:val="24"/>
        </w:rPr>
        <w:tab/>
        <w:t xml:space="preserve">Winglee, K., Howard, A. G., Sha, W., Gharaibeh, R. Z., Liu, J., Jin, D., Fodor, A. A. &amp; Gordon-Larsen, P. Recent urbanization in China is correlated with a Westernized microbiome encoding increased virulence and antibiotic resistance genes. </w:t>
      </w:r>
      <w:r w:rsidRPr="002D780B">
        <w:rPr>
          <w:rFonts w:cs="Times New Roman"/>
          <w:i/>
          <w:iCs/>
          <w:noProof/>
          <w:szCs w:val="24"/>
        </w:rPr>
        <w:t>Microbiome</w:t>
      </w:r>
      <w:r w:rsidRPr="002D780B">
        <w:rPr>
          <w:rFonts w:cs="Times New Roman"/>
          <w:noProof/>
          <w:szCs w:val="24"/>
        </w:rPr>
        <w:t xml:space="preserve"> </w:t>
      </w:r>
      <w:r w:rsidRPr="002D780B">
        <w:rPr>
          <w:rFonts w:cs="Times New Roman"/>
          <w:b/>
          <w:bCs/>
          <w:noProof/>
          <w:szCs w:val="24"/>
        </w:rPr>
        <w:t>5</w:t>
      </w:r>
      <w:r w:rsidRPr="002D780B">
        <w:rPr>
          <w:rFonts w:cs="Times New Roman"/>
          <w:noProof/>
          <w:szCs w:val="24"/>
        </w:rPr>
        <w:t>, 1–13 (2017).</w:t>
      </w:r>
    </w:p>
    <w:p w14:paraId="67AB20B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84.</w:t>
      </w:r>
      <w:r w:rsidRPr="002D780B">
        <w:rPr>
          <w:rFonts w:cs="Times New Roman"/>
          <w:noProof/>
          <w:szCs w:val="24"/>
        </w:rPr>
        <w:tab/>
        <w:t xml:space="preserve">Stamper, C. E., Hoisington, A. J., Gomez, O. M., Halweg-Edwards, A. L., Smith, D. G., Bates, K. L., Kinney, K. A., Postolache, T. T., Brenner, L. A., Rook, G. A. W. &amp; Lowry, C. A. Chapter 14: The Microbiome of the Built Environment and Human Behavior: Implications for Emotional Health and Well-Being in Postmodern Western Societies. in </w:t>
      </w:r>
      <w:r w:rsidRPr="002D780B">
        <w:rPr>
          <w:rFonts w:cs="Times New Roman"/>
          <w:i/>
          <w:iCs/>
          <w:noProof/>
          <w:szCs w:val="24"/>
        </w:rPr>
        <w:t>International Review of Neurobiology</w:t>
      </w:r>
      <w:r w:rsidRPr="002D780B">
        <w:rPr>
          <w:rFonts w:cs="Times New Roman"/>
          <w:noProof/>
          <w:szCs w:val="24"/>
        </w:rPr>
        <w:t xml:space="preserve"> 289–323 (Elsevier Inc., 2016). doi:10.1016/bs.irn.2016.07.006.</w:t>
      </w:r>
    </w:p>
    <w:p w14:paraId="2B12F5F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85.</w:t>
      </w:r>
      <w:r w:rsidRPr="002D780B">
        <w:rPr>
          <w:rFonts w:cs="Times New Roman"/>
          <w:noProof/>
          <w:szCs w:val="24"/>
        </w:rPr>
        <w:tab/>
        <w:t xml:space="preserve">Carlsten, C. &amp; Rider, C. F. Traffic-related air pollution and allergic disease: An update in the context of global urbanization. </w:t>
      </w:r>
      <w:r w:rsidRPr="002D780B">
        <w:rPr>
          <w:rFonts w:cs="Times New Roman"/>
          <w:i/>
          <w:iCs/>
          <w:noProof/>
          <w:szCs w:val="24"/>
        </w:rPr>
        <w:t>Curr. Opin. Allergy Clin. Immunol.</w:t>
      </w:r>
      <w:r w:rsidRPr="002D780B">
        <w:rPr>
          <w:rFonts w:cs="Times New Roman"/>
          <w:noProof/>
          <w:szCs w:val="24"/>
        </w:rPr>
        <w:t xml:space="preserve"> </w:t>
      </w:r>
      <w:r w:rsidRPr="002D780B">
        <w:rPr>
          <w:rFonts w:cs="Times New Roman"/>
          <w:b/>
          <w:bCs/>
          <w:noProof/>
          <w:szCs w:val="24"/>
        </w:rPr>
        <w:t>17</w:t>
      </w:r>
      <w:r w:rsidRPr="002D780B">
        <w:rPr>
          <w:rFonts w:cs="Times New Roman"/>
          <w:noProof/>
          <w:szCs w:val="24"/>
        </w:rPr>
        <w:t>, 86–89 (2017).</w:t>
      </w:r>
    </w:p>
    <w:p w14:paraId="11736E6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86.</w:t>
      </w:r>
      <w:r w:rsidRPr="002D780B">
        <w:rPr>
          <w:rFonts w:cs="Times New Roman"/>
          <w:noProof/>
          <w:szCs w:val="24"/>
        </w:rPr>
        <w:tab/>
        <w:t xml:space="preserve">Nicolaou, N., Siddique, N. &amp; Custovic, A. Allergic disease in urban and rural populations: Increasing prevalence with increasing urbanization. </w:t>
      </w:r>
      <w:r w:rsidRPr="002D780B">
        <w:rPr>
          <w:rFonts w:cs="Times New Roman"/>
          <w:i/>
          <w:iCs/>
          <w:noProof/>
          <w:szCs w:val="24"/>
        </w:rPr>
        <w:t>Allergy Eur. J. Allergy Clin. Immunol.</w:t>
      </w:r>
      <w:r w:rsidRPr="002D780B">
        <w:rPr>
          <w:rFonts w:cs="Times New Roman"/>
          <w:noProof/>
          <w:szCs w:val="24"/>
        </w:rPr>
        <w:t xml:space="preserve"> </w:t>
      </w:r>
      <w:r w:rsidRPr="002D780B">
        <w:rPr>
          <w:rFonts w:cs="Times New Roman"/>
          <w:b/>
          <w:bCs/>
          <w:noProof/>
          <w:szCs w:val="24"/>
        </w:rPr>
        <w:t>60</w:t>
      </w:r>
      <w:r w:rsidRPr="002D780B">
        <w:rPr>
          <w:rFonts w:cs="Times New Roman"/>
          <w:noProof/>
          <w:szCs w:val="24"/>
        </w:rPr>
        <w:t>, 1357–1360 (2005).</w:t>
      </w:r>
    </w:p>
    <w:p w14:paraId="1460606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87.</w:t>
      </w:r>
      <w:r w:rsidRPr="002D780B">
        <w:rPr>
          <w:rFonts w:cs="Times New Roman"/>
          <w:noProof/>
          <w:szCs w:val="24"/>
        </w:rPr>
        <w:tab/>
        <w:t xml:space="preserve">Ponte, E. V., Cruz, A. A., Athanazio, R., Carvalho-Pinto, R., Fernandes, F. L. A., Barreto, M. L. &amp; Stelmach, R. Urbanization is associated with increased asthma morbidity and mortality in Brazil. </w:t>
      </w:r>
      <w:r w:rsidRPr="002D780B">
        <w:rPr>
          <w:rFonts w:cs="Times New Roman"/>
          <w:i/>
          <w:iCs/>
          <w:noProof/>
          <w:szCs w:val="24"/>
        </w:rPr>
        <w:t>Clin. Respir. J.</w:t>
      </w:r>
      <w:r w:rsidRPr="002D780B">
        <w:rPr>
          <w:rFonts w:cs="Times New Roman"/>
          <w:noProof/>
          <w:szCs w:val="24"/>
        </w:rPr>
        <w:t xml:space="preserve"> </w:t>
      </w:r>
      <w:r w:rsidRPr="002D780B">
        <w:rPr>
          <w:rFonts w:cs="Times New Roman"/>
          <w:b/>
          <w:bCs/>
          <w:noProof/>
          <w:szCs w:val="24"/>
        </w:rPr>
        <w:t>12</w:t>
      </w:r>
      <w:r w:rsidRPr="002D780B">
        <w:rPr>
          <w:rFonts w:cs="Times New Roman"/>
          <w:noProof/>
          <w:szCs w:val="24"/>
        </w:rPr>
        <w:t>, 410–417 (2018).</w:t>
      </w:r>
    </w:p>
    <w:p w14:paraId="505F459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88.</w:t>
      </w:r>
      <w:r w:rsidRPr="002D780B">
        <w:rPr>
          <w:rFonts w:cs="Times New Roman"/>
          <w:noProof/>
          <w:szCs w:val="24"/>
        </w:rPr>
        <w:tab/>
        <w:t xml:space="preserve">Abu Freha, N., Schwartz, D., Elkrinawi, J., Ben Yakov, G., Abu Tailakh, M., Munteanu, D., Abu Ganim, A. &amp; Fich, A. Inflammatory bowel disease among Bedouin Arabs in southern Israel: Urbanization and increasing prevalence rates. </w:t>
      </w:r>
      <w:r w:rsidRPr="002D780B">
        <w:rPr>
          <w:rFonts w:cs="Times New Roman"/>
          <w:i/>
          <w:iCs/>
          <w:noProof/>
          <w:szCs w:val="24"/>
        </w:rPr>
        <w:t>Eur. J. Gastroenterol. Hepatol.</w:t>
      </w:r>
      <w:r w:rsidRPr="002D780B">
        <w:rPr>
          <w:rFonts w:cs="Times New Roman"/>
          <w:noProof/>
          <w:szCs w:val="24"/>
        </w:rPr>
        <w:t xml:space="preserve"> </w:t>
      </w:r>
      <w:r w:rsidRPr="002D780B">
        <w:rPr>
          <w:rFonts w:cs="Times New Roman"/>
          <w:b/>
          <w:bCs/>
          <w:noProof/>
          <w:szCs w:val="24"/>
        </w:rPr>
        <w:t>27</w:t>
      </w:r>
      <w:r w:rsidRPr="002D780B">
        <w:rPr>
          <w:rFonts w:cs="Times New Roman"/>
          <w:noProof/>
          <w:szCs w:val="24"/>
        </w:rPr>
        <w:t>, 230–234 (2015).</w:t>
      </w:r>
    </w:p>
    <w:p w14:paraId="71FD29C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89.</w:t>
      </w:r>
      <w:r w:rsidRPr="002D780B">
        <w:rPr>
          <w:rFonts w:cs="Times New Roman"/>
          <w:noProof/>
          <w:szCs w:val="24"/>
        </w:rPr>
        <w:tab/>
        <w:t xml:space="preserve">Barreiro-de Acosta, M., Alvarez Castro, A., Souto, R., Iglesias, M., Lorenzo, A. &amp; Dominguez-Muñoz, J. E. Emigration to western industrialized countries: A risk factor for developing inflammatory bowel disease. </w:t>
      </w:r>
      <w:r w:rsidRPr="002D780B">
        <w:rPr>
          <w:rFonts w:cs="Times New Roman"/>
          <w:i/>
          <w:iCs/>
          <w:noProof/>
          <w:szCs w:val="24"/>
        </w:rPr>
        <w:t>J. Crohn’s Colitis</w:t>
      </w:r>
      <w:r w:rsidRPr="002D780B">
        <w:rPr>
          <w:rFonts w:cs="Times New Roman"/>
          <w:noProof/>
          <w:szCs w:val="24"/>
        </w:rPr>
        <w:t xml:space="preserve"> </w:t>
      </w:r>
      <w:r w:rsidRPr="002D780B">
        <w:rPr>
          <w:rFonts w:cs="Times New Roman"/>
          <w:b/>
          <w:bCs/>
          <w:noProof/>
          <w:szCs w:val="24"/>
        </w:rPr>
        <w:t>5</w:t>
      </w:r>
      <w:r w:rsidRPr="002D780B">
        <w:rPr>
          <w:rFonts w:cs="Times New Roman"/>
          <w:noProof/>
          <w:szCs w:val="24"/>
        </w:rPr>
        <w:t>, 566–569 (2011).</w:t>
      </w:r>
    </w:p>
    <w:p w14:paraId="1838065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90.</w:t>
      </w:r>
      <w:r w:rsidRPr="002D780B">
        <w:rPr>
          <w:rFonts w:cs="Times New Roman"/>
          <w:noProof/>
          <w:szCs w:val="24"/>
        </w:rPr>
        <w:tab/>
        <w:t xml:space="preserve">Benchimol, E. I., Kaplan, G. G., Otley, A. R., Nguyen, G. C., Underwood, F. E., Guttmann, A., Jones, J. L., Potter, B. K., Catley, C. A., Nugent, Z. J., Cui, Y., Tanyingoh, D., Mojaverian, N., Bitton, A., Carroll, M. W., Debruyn, J., Dummer, T. J. B., El-Matary, W., Griffiths, A. M., Jacobson, K., Kuenzig, M. E., Leddin, D., Lix, L. M., Mack, D. R., Murthy, S. K., Sánchez, J. N. P., Singh, H., Targownik, L. E., Vutcovici, M. &amp; Bernstein, </w:t>
      </w:r>
      <w:r w:rsidRPr="002D780B">
        <w:rPr>
          <w:rFonts w:cs="Times New Roman"/>
          <w:noProof/>
          <w:szCs w:val="24"/>
        </w:rPr>
        <w:lastRenderedPageBreak/>
        <w:t xml:space="preserve">C. N. Rural and Urban Residence during Early Life is Associated with a Lower Risk of Inflammatory Bowel Disease: A Population-Based Inception and Birth Cohort Study. </w:t>
      </w:r>
      <w:r w:rsidRPr="002D780B">
        <w:rPr>
          <w:rFonts w:cs="Times New Roman"/>
          <w:i/>
          <w:iCs/>
          <w:noProof/>
          <w:szCs w:val="24"/>
        </w:rPr>
        <w:t>Am. J. Gastroenterol.</w:t>
      </w:r>
      <w:r w:rsidRPr="002D780B">
        <w:rPr>
          <w:rFonts w:cs="Times New Roman"/>
          <w:noProof/>
          <w:szCs w:val="24"/>
        </w:rPr>
        <w:t xml:space="preserve"> </w:t>
      </w:r>
      <w:r w:rsidRPr="002D780B">
        <w:rPr>
          <w:rFonts w:cs="Times New Roman"/>
          <w:b/>
          <w:bCs/>
          <w:noProof/>
          <w:szCs w:val="24"/>
        </w:rPr>
        <w:t>112</w:t>
      </w:r>
      <w:r w:rsidRPr="002D780B">
        <w:rPr>
          <w:rFonts w:cs="Times New Roman"/>
          <w:noProof/>
          <w:szCs w:val="24"/>
        </w:rPr>
        <w:t>, 1412–1422 (2017).</w:t>
      </w:r>
    </w:p>
    <w:p w14:paraId="3859069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91.</w:t>
      </w:r>
      <w:r w:rsidRPr="002D780B">
        <w:rPr>
          <w:rFonts w:cs="Times New Roman"/>
          <w:noProof/>
          <w:szCs w:val="24"/>
        </w:rPr>
        <w:tab/>
        <w:t xml:space="preserve">Bach, J. F. The hygiene hypothesis in autoimmunity: The role of pathogens and commensals. </w:t>
      </w:r>
      <w:r w:rsidRPr="002D780B">
        <w:rPr>
          <w:rFonts w:cs="Times New Roman"/>
          <w:i/>
          <w:iCs/>
          <w:noProof/>
          <w:szCs w:val="24"/>
        </w:rPr>
        <w:t>Nat. Rev. Immunol.</w:t>
      </w:r>
      <w:r w:rsidRPr="002D780B">
        <w:rPr>
          <w:rFonts w:cs="Times New Roman"/>
          <w:noProof/>
          <w:szCs w:val="24"/>
        </w:rPr>
        <w:t xml:space="preserve"> </w:t>
      </w:r>
      <w:r w:rsidRPr="002D780B">
        <w:rPr>
          <w:rFonts w:cs="Times New Roman"/>
          <w:b/>
          <w:bCs/>
          <w:noProof/>
          <w:szCs w:val="24"/>
        </w:rPr>
        <w:t>18</w:t>
      </w:r>
      <w:r w:rsidRPr="002D780B">
        <w:rPr>
          <w:rFonts w:cs="Times New Roman"/>
          <w:noProof/>
          <w:szCs w:val="24"/>
        </w:rPr>
        <w:t>, 105–120 (2018).</w:t>
      </w:r>
    </w:p>
    <w:p w14:paraId="4A5F6CE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92.</w:t>
      </w:r>
      <w:r w:rsidRPr="002D780B">
        <w:rPr>
          <w:rFonts w:cs="Times New Roman"/>
          <w:noProof/>
          <w:szCs w:val="24"/>
        </w:rPr>
        <w:tab/>
        <w:t xml:space="preserve">Sonnenburg, E. D. &amp; Sonnenburg, J. L. The ancestral and industrialized gut microbiota and implications for human health. </w:t>
      </w:r>
      <w:r w:rsidRPr="002D780B">
        <w:rPr>
          <w:rFonts w:cs="Times New Roman"/>
          <w:i/>
          <w:iCs/>
          <w:noProof/>
          <w:szCs w:val="24"/>
        </w:rPr>
        <w:t>Nat. Rev. Microbiol.</w:t>
      </w:r>
      <w:r w:rsidRPr="002D780B">
        <w:rPr>
          <w:rFonts w:cs="Times New Roman"/>
          <w:noProof/>
          <w:szCs w:val="24"/>
        </w:rPr>
        <w:t xml:space="preserve"> </w:t>
      </w:r>
      <w:r w:rsidRPr="002D780B">
        <w:rPr>
          <w:rFonts w:cs="Times New Roman"/>
          <w:b/>
          <w:bCs/>
          <w:noProof/>
          <w:szCs w:val="24"/>
        </w:rPr>
        <w:t>17</w:t>
      </w:r>
      <w:r w:rsidRPr="002D780B">
        <w:rPr>
          <w:rFonts w:cs="Times New Roman"/>
          <w:noProof/>
          <w:szCs w:val="24"/>
        </w:rPr>
        <w:t>, 383–390 (2019).</w:t>
      </w:r>
    </w:p>
    <w:p w14:paraId="49E2D3A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93.</w:t>
      </w:r>
      <w:r w:rsidRPr="002D780B">
        <w:rPr>
          <w:rFonts w:cs="Times New Roman"/>
          <w:noProof/>
          <w:szCs w:val="24"/>
        </w:rPr>
        <w:tab/>
        <w:t xml:space="preserve">Zierer, J., Jackson, M. A., Kastenmüller, G., Mangino, M., Long, T., Telenti, A., Mohney, R. P., Small, K. S., Bell, J. T., Steves, C. J., Valdes, A. M., Spector, T. D. &amp; Menni, C. The fecal metabolome as a functional readout of the gut microbiome. </w:t>
      </w:r>
      <w:r w:rsidRPr="002D780B">
        <w:rPr>
          <w:rFonts w:cs="Times New Roman"/>
          <w:i/>
          <w:iCs/>
          <w:noProof/>
          <w:szCs w:val="24"/>
        </w:rPr>
        <w:t>Nat. Genet.</w:t>
      </w:r>
      <w:r w:rsidRPr="002D780B">
        <w:rPr>
          <w:rFonts w:cs="Times New Roman"/>
          <w:noProof/>
          <w:szCs w:val="24"/>
        </w:rPr>
        <w:t xml:space="preserve"> </w:t>
      </w:r>
      <w:r w:rsidRPr="002D780B">
        <w:rPr>
          <w:rFonts w:cs="Times New Roman"/>
          <w:b/>
          <w:bCs/>
          <w:noProof/>
          <w:szCs w:val="24"/>
        </w:rPr>
        <w:t>50</w:t>
      </w:r>
      <w:r w:rsidRPr="002D780B">
        <w:rPr>
          <w:rFonts w:cs="Times New Roman"/>
          <w:noProof/>
          <w:szCs w:val="24"/>
        </w:rPr>
        <w:t>, 790–795 (2018).</w:t>
      </w:r>
    </w:p>
    <w:p w14:paraId="1DDDBA4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94.</w:t>
      </w:r>
      <w:r w:rsidRPr="002D780B">
        <w:rPr>
          <w:rFonts w:cs="Times New Roman"/>
          <w:noProof/>
          <w:szCs w:val="24"/>
        </w:rPr>
        <w:tab/>
        <w:t xml:space="preserve">Claesson, M. J., Cusack, S., O’Sullivan, O., Greene-Diniz, R., De Weerd, H., Flannery, E., Marchesi, J. R., Falush, D., Dinan, T., Fitzgerald, G., Stanton, C., Van Sinderen, D., O’Connor, M., Harnedy, N., O’Connor, K., Henry, C., O’Mahony, D., Fitzgerald, A. P., Shanahan, F., Twomey, C., Hill, C., Ross, R. P. &amp; O’Toole, P. W. Composition, variability, and temporal stability of the intestinal microbiota of the elderly. </w:t>
      </w:r>
      <w:r w:rsidRPr="002D780B">
        <w:rPr>
          <w:rFonts w:cs="Times New Roman"/>
          <w:i/>
          <w:iCs/>
          <w:noProof/>
          <w:szCs w:val="24"/>
        </w:rPr>
        <w:t>Proc. Natl. Acad. Sci. U. S. A.</w:t>
      </w:r>
      <w:r w:rsidRPr="002D780B">
        <w:rPr>
          <w:rFonts w:cs="Times New Roman"/>
          <w:noProof/>
          <w:szCs w:val="24"/>
        </w:rPr>
        <w:t xml:space="preserve"> </w:t>
      </w:r>
      <w:r w:rsidRPr="002D780B">
        <w:rPr>
          <w:rFonts w:cs="Times New Roman"/>
          <w:b/>
          <w:bCs/>
          <w:noProof/>
          <w:szCs w:val="24"/>
        </w:rPr>
        <w:t>108</w:t>
      </w:r>
      <w:r w:rsidRPr="002D780B">
        <w:rPr>
          <w:rFonts w:cs="Times New Roman"/>
          <w:noProof/>
          <w:szCs w:val="24"/>
        </w:rPr>
        <w:t>, 4586–4591 (2011).</w:t>
      </w:r>
    </w:p>
    <w:p w14:paraId="5E401A1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95.</w:t>
      </w:r>
      <w:r w:rsidRPr="002D780B">
        <w:rPr>
          <w:rFonts w:cs="Times New Roman"/>
          <w:noProof/>
          <w:szCs w:val="24"/>
        </w:rPr>
        <w:tab/>
        <w:t xml:space="preserve">Yatsunenko, T., Rey, F. E., Manary, M. J., Trehan, I., Dominguez-Bello, M. G., Contreras, M., Magris, M., Hidalgo, G., Baldassano, R. N., Anokhin, A. P., Heath, A. C., Warner, B., Reeder, J., Kuczynski, J., Caporaso, J. G., Lozupone, C. A., Lauber, C., Clemente, J. C., Knights, D., Knight, R. &amp; Gordon, J. I. Human gut microbiome viewed across age and geography. </w:t>
      </w:r>
      <w:r w:rsidRPr="002D780B">
        <w:rPr>
          <w:rFonts w:cs="Times New Roman"/>
          <w:i/>
          <w:iCs/>
          <w:noProof/>
          <w:szCs w:val="24"/>
        </w:rPr>
        <w:t>Nature</w:t>
      </w:r>
      <w:r w:rsidRPr="002D780B">
        <w:rPr>
          <w:rFonts w:cs="Times New Roman"/>
          <w:noProof/>
          <w:szCs w:val="24"/>
        </w:rPr>
        <w:t xml:space="preserve"> </w:t>
      </w:r>
      <w:r w:rsidRPr="002D780B">
        <w:rPr>
          <w:rFonts w:cs="Times New Roman"/>
          <w:b/>
          <w:bCs/>
          <w:noProof/>
          <w:szCs w:val="24"/>
        </w:rPr>
        <w:t>486</w:t>
      </w:r>
      <w:r w:rsidRPr="002D780B">
        <w:rPr>
          <w:rFonts w:cs="Times New Roman"/>
          <w:noProof/>
          <w:szCs w:val="24"/>
        </w:rPr>
        <w:t>, 222–227 (2012).</w:t>
      </w:r>
    </w:p>
    <w:p w14:paraId="5C36F96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96.</w:t>
      </w:r>
      <w:r w:rsidRPr="002D780B">
        <w:rPr>
          <w:rFonts w:cs="Times New Roman"/>
          <w:noProof/>
          <w:szCs w:val="24"/>
        </w:rPr>
        <w:tab/>
        <w:t xml:space="preserve">Obregon-Tito, A. J., Tito, R. Y., Metcalf, J., Sankaranarayanan, K., Clemente, J. C., Ursell, L. K., Zech Xu, Z., Van Treuren, W., Knight, R., Gaffney, P. M., Spicer, P., Lawson, P., Marin-Reyes, L., Trujillo-Villarroel, O., Foster, M., Guija-Poma, E., Troncoso-Corzo, L., Warinner, C., Ozga, A. T. &amp; Lewis, C. M. Subsistence strategies in traditional societies distinguish gut microbiomes. </w:t>
      </w:r>
      <w:r w:rsidRPr="002D780B">
        <w:rPr>
          <w:rFonts w:cs="Times New Roman"/>
          <w:i/>
          <w:iCs/>
          <w:noProof/>
          <w:szCs w:val="24"/>
        </w:rPr>
        <w:t>Nat. Commun.</w:t>
      </w:r>
      <w:r w:rsidRPr="002D780B">
        <w:rPr>
          <w:rFonts w:cs="Times New Roman"/>
          <w:noProof/>
          <w:szCs w:val="24"/>
        </w:rPr>
        <w:t xml:space="preserve"> </w:t>
      </w:r>
      <w:r w:rsidRPr="002D780B">
        <w:rPr>
          <w:rFonts w:cs="Times New Roman"/>
          <w:b/>
          <w:bCs/>
          <w:noProof/>
          <w:szCs w:val="24"/>
        </w:rPr>
        <w:t>6</w:t>
      </w:r>
      <w:r w:rsidRPr="002D780B">
        <w:rPr>
          <w:rFonts w:cs="Times New Roman"/>
          <w:noProof/>
          <w:szCs w:val="24"/>
        </w:rPr>
        <w:t>, 1–9 (2015).</w:t>
      </w:r>
    </w:p>
    <w:p w14:paraId="440B55C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97.</w:t>
      </w:r>
      <w:r w:rsidRPr="002D780B">
        <w:rPr>
          <w:rFonts w:cs="Times New Roman"/>
          <w:noProof/>
          <w:szCs w:val="24"/>
        </w:rPr>
        <w:tab/>
        <w:t xml:space="preserve">Want, E. J., Masson, P., Michopoulos, F., Wilson, I. D., Theodoridis, G., Plumb, R. S., Shockcor, J., Loftus, N., Holmes, E. &amp; Nicholson, J. K. Global metabolic profiling of animal and human tissues via UPLC-MS. </w:t>
      </w:r>
      <w:r w:rsidRPr="002D780B">
        <w:rPr>
          <w:rFonts w:cs="Times New Roman"/>
          <w:i/>
          <w:iCs/>
          <w:noProof/>
          <w:szCs w:val="24"/>
        </w:rPr>
        <w:t>Nat. Protoc.</w:t>
      </w:r>
      <w:r w:rsidRPr="002D780B">
        <w:rPr>
          <w:rFonts w:cs="Times New Roman"/>
          <w:noProof/>
          <w:szCs w:val="24"/>
        </w:rPr>
        <w:t xml:space="preserve"> </w:t>
      </w:r>
      <w:r w:rsidRPr="002D780B">
        <w:rPr>
          <w:rFonts w:cs="Times New Roman"/>
          <w:b/>
          <w:bCs/>
          <w:noProof/>
          <w:szCs w:val="24"/>
        </w:rPr>
        <w:t>8</w:t>
      </w:r>
      <w:r w:rsidRPr="002D780B">
        <w:rPr>
          <w:rFonts w:cs="Times New Roman"/>
          <w:noProof/>
          <w:szCs w:val="24"/>
        </w:rPr>
        <w:t>, 17–32 (2013).</w:t>
      </w:r>
    </w:p>
    <w:p w14:paraId="01E5F62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98.</w:t>
      </w:r>
      <w:r w:rsidRPr="002D780B">
        <w:rPr>
          <w:rFonts w:cs="Times New Roman"/>
          <w:noProof/>
          <w:szCs w:val="24"/>
        </w:rPr>
        <w:tab/>
        <w:t xml:space="preserve">Chambers, M. C., Maclean, B., Burke, R., Amodei, D., Ruderman, D. L., Neumann, S., Gatto, L., Fischer, B., Pratt, B., Egertson, J., Hoff, K., Kessner, D., Tasman, N., Shulman, N., Frewen, B., Baker, T. A., Brusniak, M.-Y., Paulse, C., Creasy, D., Flashner, L., Kani, K., Moulding, C., Seymour, S. L., Nuwaysir, L. M., Lefebvre, B., Kuhlmann, F., Roark, J., Rainer, P., Detlev, S., Hemenway, T., Huhmer, A., Langridge, J., Connolly, B., Chadick, T., Holly, K., Eckels, J., Deutsch, E. W., Moritz, R. L., Katz, J. E., Agus, D. B., MacCoss, M., Tabb, D. L. &amp; Mallick, P. A cross-platform toolkit for mass spectrometry and proteomics. </w:t>
      </w:r>
      <w:r w:rsidRPr="002D780B">
        <w:rPr>
          <w:rFonts w:cs="Times New Roman"/>
          <w:i/>
          <w:iCs/>
          <w:noProof/>
          <w:szCs w:val="24"/>
        </w:rPr>
        <w:t>Nat. Biotechnol.</w:t>
      </w:r>
      <w:r w:rsidRPr="002D780B">
        <w:rPr>
          <w:rFonts w:cs="Times New Roman"/>
          <w:noProof/>
          <w:szCs w:val="24"/>
        </w:rPr>
        <w:t xml:space="preserve"> </w:t>
      </w:r>
      <w:r w:rsidRPr="002D780B">
        <w:rPr>
          <w:rFonts w:cs="Times New Roman"/>
          <w:b/>
          <w:bCs/>
          <w:noProof/>
          <w:szCs w:val="24"/>
        </w:rPr>
        <w:t>30</w:t>
      </w:r>
      <w:r w:rsidRPr="002D780B">
        <w:rPr>
          <w:rFonts w:cs="Times New Roman"/>
          <w:noProof/>
          <w:szCs w:val="24"/>
        </w:rPr>
        <w:t>, 918–920 (2012).</w:t>
      </w:r>
    </w:p>
    <w:p w14:paraId="6E21079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99.</w:t>
      </w:r>
      <w:r w:rsidRPr="002D780B">
        <w:rPr>
          <w:rFonts w:cs="Times New Roman"/>
          <w:noProof/>
          <w:szCs w:val="24"/>
        </w:rPr>
        <w:tab/>
        <w:t xml:space="preserve">Nothias, L. F., Petras, D., Schmid, R., Dührkop, K., Rainer, J., Sarvepalli, A., Protsyuk, I., Ernst, M. &amp; Tsugawa, H. Feature-based Molecular Networking in the GNPS Analysis Environment. </w:t>
      </w:r>
      <w:r w:rsidRPr="002D780B">
        <w:rPr>
          <w:rFonts w:cs="Times New Roman"/>
          <w:i/>
          <w:iCs/>
          <w:noProof/>
          <w:szCs w:val="24"/>
        </w:rPr>
        <w:t>biorXiv</w:t>
      </w:r>
      <w:r w:rsidRPr="002D780B">
        <w:rPr>
          <w:rFonts w:cs="Times New Roman"/>
          <w:noProof/>
          <w:szCs w:val="24"/>
        </w:rPr>
        <w:t xml:space="preserve"> (2019).</w:t>
      </w:r>
    </w:p>
    <w:p w14:paraId="042DFCE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100.</w:t>
      </w:r>
      <w:r w:rsidRPr="002D780B">
        <w:rPr>
          <w:rFonts w:cs="Times New Roman"/>
          <w:noProof/>
          <w:szCs w:val="24"/>
        </w:rPr>
        <w:tab/>
        <w:t xml:space="preserve">Pluskal, T., Castillo, S., Villar-Briones, A. &amp; Orešič, M. MZmine 2: Modular framework for processing, visualizing, and analyzing mass spectrometry-based molecular profile data. </w:t>
      </w:r>
      <w:r w:rsidRPr="002D780B">
        <w:rPr>
          <w:rFonts w:cs="Times New Roman"/>
          <w:i/>
          <w:iCs/>
          <w:noProof/>
          <w:szCs w:val="24"/>
        </w:rPr>
        <w:t>BMC Bioinformatics</w:t>
      </w:r>
      <w:r w:rsidRPr="002D780B">
        <w:rPr>
          <w:rFonts w:cs="Times New Roman"/>
          <w:noProof/>
          <w:szCs w:val="24"/>
        </w:rPr>
        <w:t xml:space="preserve"> </w:t>
      </w:r>
      <w:r w:rsidRPr="002D780B">
        <w:rPr>
          <w:rFonts w:cs="Times New Roman"/>
          <w:b/>
          <w:bCs/>
          <w:noProof/>
          <w:szCs w:val="24"/>
        </w:rPr>
        <w:t>11</w:t>
      </w:r>
      <w:r w:rsidRPr="002D780B">
        <w:rPr>
          <w:rFonts w:cs="Times New Roman"/>
          <w:noProof/>
          <w:szCs w:val="24"/>
        </w:rPr>
        <w:t>, (2010).</w:t>
      </w:r>
    </w:p>
    <w:p w14:paraId="734B5BC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101.</w:t>
      </w:r>
      <w:r w:rsidRPr="002D780B">
        <w:rPr>
          <w:rFonts w:cs="Times New Roman"/>
          <w:noProof/>
          <w:szCs w:val="24"/>
        </w:rPr>
        <w:tab/>
        <w:t xml:space="preserve">Bunn, A. &amp; Korpela, M. R: A Language for Data Analysis and Graphics. </w:t>
      </w:r>
      <w:r w:rsidRPr="002D780B">
        <w:rPr>
          <w:rFonts w:cs="Times New Roman"/>
          <w:i/>
          <w:iCs/>
          <w:noProof/>
          <w:szCs w:val="24"/>
        </w:rPr>
        <w:t>Ind. Commer. Train.</w:t>
      </w:r>
      <w:r w:rsidRPr="002D780B">
        <w:rPr>
          <w:rFonts w:cs="Times New Roman"/>
          <w:noProof/>
          <w:szCs w:val="24"/>
        </w:rPr>
        <w:t xml:space="preserve"> </w:t>
      </w:r>
      <w:r w:rsidRPr="002D780B">
        <w:rPr>
          <w:rFonts w:cs="Times New Roman"/>
          <w:b/>
          <w:bCs/>
          <w:noProof/>
          <w:szCs w:val="24"/>
        </w:rPr>
        <w:t>0</w:t>
      </w:r>
      <w:r w:rsidRPr="002D780B">
        <w:rPr>
          <w:rFonts w:cs="Times New Roman"/>
          <w:noProof/>
          <w:szCs w:val="24"/>
        </w:rPr>
        <w:t>, 1–16 (2018).</w:t>
      </w:r>
    </w:p>
    <w:p w14:paraId="2D0C5D1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lastRenderedPageBreak/>
        <w:t>102.</w:t>
      </w:r>
      <w:r w:rsidRPr="002D780B">
        <w:rPr>
          <w:rFonts w:cs="Times New Roman"/>
          <w:noProof/>
          <w:szCs w:val="24"/>
        </w:rPr>
        <w:tab/>
        <w:t xml:space="preserve">Kluyver, T., Ragan-kelley, B., Pérez, F., Granger, B., Bussonnier, M., Frederic, J., Kelley, K., Hamrick, J., Grout, J., Corlay, S., Ivanov, P., Avila, D., Abdalla, S. &amp; Willing, C. Jupyter Notebooks—a publishing format for reproducible computational workflows. </w:t>
      </w:r>
      <w:r w:rsidRPr="002D780B">
        <w:rPr>
          <w:rFonts w:cs="Times New Roman"/>
          <w:i/>
          <w:iCs/>
          <w:noProof/>
          <w:szCs w:val="24"/>
        </w:rPr>
        <w:t>Position. Power Acad. Publ. Play. Agents Agendas</w:t>
      </w:r>
      <w:r w:rsidRPr="002D780B">
        <w:rPr>
          <w:rFonts w:cs="Times New Roman"/>
          <w:noProof/>
          <w:szCs w:val="24"/>
        </w:rPr>
        <w:t xml:space="preserve"> 87–90 (2016) doi:10.3233/978-1-61499-649-1-87.</w:t>
      </w:r>
    </w:p>
    <w:p w14:paraId="4E5C5B5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103.</w:t>
      </w:r>
      <w:r w:rsidRPr="002D780B">
        <w:rPr>
          <w:rFonts w:cs="Times New Roman"/>
          <w:noProof/>
          <w:szCs w:val="24"/>
        </w:rPr>
        <w:tab/>
        <w:t xml:space="preserve">Shannon, P., Markiel, A., Ozier, O., Baliga, N. S., Wang, J. T., Ramage, D., Amin, N., Schikowski, B. &amp; Ideker, T. Cytoscape: A Software Environment for Integrated Models. </w:t>
      </w:r>
      <w:r w:rsidRPr="002D780B">
        <w:rPr>
          <w:rFonts w:cs="Times New Roman"/>
          <w:i/>
          <w:iCs/>
          <w:noProof/>
          <w:szCs w:val="24"/>
        </w:rPr>
        <w:t>Genome Res.</w:t>
      </w:r>
      <w:r w:rsidRPr="002D780B">
        <w:rPr>
          <w:rFonts w:cs="Times New Roman"/>
          <w:noProof/>
          <w:szCs w:val="24"/>
        </w:rPr>
        <w:t xml:space="preserve"> </w:t>
      </w:r>
      <w:r w:rsidRPr="002D780B">
        <w:rPr>
          <w:rFonts w:cs="Times New Roman"/>
          <w:b/>
          <w:bCs/>
          <w:noProof/>
          <w:szCs w:val="24"/>
        </w:rPr>
        <w:t>13</w:t>
      </w:r>
      <w:r w:rsidRPr="002D780B">
        <w:rPr>
          <w:rFonts w:cs="Times New Roman"/>
          <w:noProof/>
          <w:szCs w:val="24"/>
        </w:rPr>
        <w:t>, 2498–2504 (2003).</w:t>
      </w:r>
    </w:p>
    <w:p w14:paraId="482877C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104.</w:t>
      </w:r>
      <w:r w:rsidRPr="002D780B">
        <w:rPr>
          <w:rFonts w:cs="Times New Roman"/>
          <w:noProof/>
          <w:szCs w:val="24"/>
        </w:rPr>
        <w:tab/>
        <w:t xml:space="preserve">Djoumbou Feunang, Y., Eisner, R., Knox, C., Chepelev, L., Hastings, J., Owen, G., Fahy, E., Steinbeck, C., Subramanian, S., Bolton, E., Greiner, R. &amp; Wishart, D. S. ClassyFire: automated chemical classification with a comprehensive, computable taxonomy. </w:t>
      </w:r>
      <w:r w:rsidRPr="002D780B">
        <w:rPr>
          <w:rFonts w:cs="Times New Roman"/>
          <w:i/>
          <w:iCs/>
          <w:noProof/>
          <w:szCs w:val="24"/>
        </w:rPr>
        <w:t>J. Cheminform.</w:t>
      </w:r>
      <w:r w:rsidRPr="002D780B">
        <w:rPr>
          <w:rFonts w:cs="Times New Roman"/>
          <w:noProof/>
          <w:szCs w:val="24"/>
        </w:rPr>
        <w:t xml:space="preserve"> </w:t>
      </w:r>
      <w:r w:rsidRPr="002D780B">
        <w:rPr>
          <w:rFonts w:cs="Times New Roman"/>
          <w:b/>
          <w:bCs/>
          <w:noProof/>
          <w:szCs w:val="24"/>
        </w:rPr>
        <w:t>8</w:t>
      </w:r>
      <w:r w:rsidRPr="002D780B">
        <w:rPr>
          <w:rFonts w:cs="Times New Roman"/>
          <w:noProof/>
          <w:szCs w:val="24"/>
        </w:rPr>
        <w:t>, 1–20 (2016).</w:t>
      </w:r>
    </w:p>
    <w:p w14:paraId="538844C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105.</w:t>
      </w:r>
      <w:r w:rsidRPr="002D780B">
        <w:rPr>
          <w:rFonts w:cs="Times New Roman"/>
          <w:noProof/>
          <w:szCs w:val="24"/>
        </w:rPr>
        <w:tab/>
        <w:t xml:space="preserve">Ernst, M., Kang, K. Bin, Caraballo-Rodríguez, A. M., Nothias, L.-F., Wandy, J., Chen, C., Wang, M., Rogers, S., Medema, M. H., Dorrestein, P. C. &amp; van der Hooft, J. J. J. MolNetEnhancer: Enhanced Molecular Networks by Integrating Metabolome Mining and Annotation Tools. </w:t>
      </w:r>
      <w:r w:rsidRPr="002D780B">
        <w:rPr>
          <w:rFonts w:cs="Times New Roman"/>
          <w:i/>
          <w:iCs/>
          <w:noProof/>
          <w:szCs w:val="24"/>
        </w:rPr>
        <w:t>Metabolites</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144 (2019).</w:t>
      </w:r>
    </w:p>
    <w:p w14:paraId="2DC3F35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106.</w:t>
      </w:r>
      <w:r w:rsidRPr="002D780B">
        <w:rPr>
          <w:rFonts w:cs="Times New Roman"/>
          <w:noProof/>
          <w:szCs w:val="24"/>
        </w:rPr>
        <w:tab/>
        <w:t xml:space="preserve">Wang, M., Jarmusch, A. K., Vargas, F., Aksenov, A. A., Gauglitz, J. M., Weldon, K., Petras, D., da Silva, R., Quinn, R., Melnik, A. V., van der Hooft, J. J. J., Caraballo-Rodríguez, A. M., Nothias, L. F., Aceves, C. M., Panitchpakdi, M., Brown, E., Di Ottavio, F., Sikora, N., Elijah, E. O., Labarta-Bajo, L., Gentry, E. C., Shalapour, S., Kyle, K. E., Puckett, S. P., Watrous, J. D., Carpenter, C. S., Bouslimani, A., Ernst, M., Swafford, A. D., Zúñiga, E. I., Balunas, M. J., Klassen, J. L., Loomba, R., Knight, R., Bandeira, N. &amp; Dorrestein, P. C. Mass spectrometry searches using MASST. </w:t>
      </w:r>
      <w:r w:rsidRPr="002D780B">
        <w:rPr>
          <w:rFonts w:cs="Times New Roman"/>
          <w:i/>
          <w:iCs/>
          <w:noProof/>
          <w:szCs w:val="24"/>
        </w:rPr>
        <w:t>Nat. Biotechnol.</w:t>
      </w:r>
      <w:r w:rsidRPr="002D780B">
        <w:rPr>
          <w:rFonts w:cs="Times New Roman"/>
          <w:noProof/>
          <w:szCs w:val="24"/>
        </w:rPr>
        <w:t xml:space="preserve"> </w:t>
      </w:r>
      <w:r w:rsidRPr="002D780B">
        <w:rPr>
          <w:rFonts w:cs="Times New Roman"/>
          <w:b/>
          <w:bCs/>
          <w:noProof/>
          <w:szCs w:val="24"/>
        </w:rPr>
        <w:t>38</w:t>
      </w:r>
      <w:r w:rsidRPr="002D780B">
        <w:rPr>
          <w:rFonts w:cs="Times New Roman"/>
          <w:noProof/>
          <w:szCs w:val="24"/>
        </w:rPr>
        <w:t>, 19–22 (2020).</w:t>
      </w:r>
    </w:p>
    <w:p w14:paraId="515C2BE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107.</w:t>
      </w:r>
      <w:r w:rsidRPr="002D780B">
        <w:rPr>
          <w:rFonts w:cs="Times New Roman"/>
          <w:noProof/>
          <w:szCs w:val="24"/>
        </w:rPr>
        <w:tab/>
        <w:t xml:space="preserve">Sud, M., Fahy, E., Cotter, D., Azam, K., Vadivelu, I., Burant, C., Edison, A., Fiehn, O., Higashi, R., Nair, K. S., Sumner, S. &amp; Subramaniam, S. Metabolomics Workbench: An international repository for metabolomics data and metadata, metabolite standards, protocols, tutorials and training, and analysis tools. </w:t>
      </w:r>
      <w:r w:rsidRPr="002D780B">
        <w:rPr>
          <w:rFonts w:cs="Times New Roman"/>
          <w:i/>
          <w:iCs/>
          <w:noProof/>
          <w:szCs w:val="24"/>
        </w:rPr>
        <w:t>Nucleic Acids Res.</w:t>
      </w:r>
      <w:r w:rsidRPr="002D780B">
        <w:rPr>
          <w:rFonts w:cs="Times New Roman"/>
          <w:noProof/>
          <w:szCs w:val="24"/>
        </w:rPr>
        <w:t xml:space="preserve"> </w:t>
      </w:r>
      <w:r w:rsidRPr="002D780B">
        <w:rPr>
          <w:rFonts w:cs="Times New Roman"/>
          <w:b/>
          <w:bCs/>
          <w:noProof/>
          <w:szCs w:val="24"/>
        </w:rPr>
        <w:t>44</w:t>
      </w:r>
      <w:r w:rsidRPr="002D780B">
        <w:rPr>
          <w:rFonts w:cs="Times New Roman"/>
          <w:noProof/>
          <w:szCs w:val="24"/>
        </w:rPr>
        <w:t>, D463–D470 (2016).</w:t>
      </w:r>
    </w:p>
    <w:p w14:paraId="580CECB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108.</w:t>
      </w:r>
      <w:r w:rsidRPr="002D780B">
        <w:rPr>
          <w:rFonts w:cs="Times New Roman"/>
          <w:noProof/>
          <w:szCs w:val="24"/>
        </w:rPr>
        <w:tab/>
        <w:t xml:space="preserve">Haug, K., Salek, R. M., Conesa, P., Hastings, J., De Matos, P., Rijnbeek, M., Mahendraker, T., Williams, M., Neumann, S., Rocca-Serra, P., Maguire, E., González-Beltrán, A., Sansone, S. A., Griffin, J. L. &amp; Steinbeck, C. MetaboLights - An open-access general-purpose repository for metabolomics studies and associated meta-data. </w:t>
      </w:r>
      <w:r w:rsidRPr="002D780B">
        <w:rPr>
          <w:rFonts w:cs="Times New Roman"/>
          <w:i/>
          <w:iCs/>
          <w:noProof/>
          <w:szCs w:val="24"/>
        </w:rPr>
        <w:t>Nucleic Acids Res.</w:t>
      </w:r>
      <w:r w:rsidRPr="002D780B">
        <w:rPr>
          <w:rFonts w:cs="Times New Roman"/>
          <w:noProof/>
          <w:szCs w:val="24"/>
        </w:rPr>
        <w:t xml:space="preserve"> </w:t>
      </w:r>
      <w:r w:rsidRPr="002D780B">
        <w:rPr>
          <w:rFonts w:cs="Times New Roman"/>
          <w:b/>
          <w:bCs/>
          <w:noProof/>
          <w:szCs w:val="24"/>
        </w:rPr>
        <w:t>41</w:t>
      </w:r>
      <w:r w:rsidRPr="002D780B">
        <w:rPr>
          <w:rFonts w:cs="Times New Roman"/>
          <w:noProof/>
          <w:szCs w:val="24"/>
        </w:rPr>
        <w:t>, 781–786 (2013).</w:t>
      </w:r>
    </w:p>
    <w:p w14:paraId="02E24AB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109.</w:t>
      </w:r>
      <w:r w:rsidRPr="002D780B">
        <w:rPr>
          <w:rFonts w:cs="Times New Roman"/>
          <w:noProof/>
          <w:szCs w:val="24"/>
        </w:rPr>
        <w:tab/>
        <w:t xml:space="preserve">Scalbert, A., Brennan, L., Manach, C., Andres-Lacueva, C., Dragsted, L. O., Draper, J., Rappaport, S. M., Van Der Hooft, J. J. J. &amp; Wishart, D. S. The food metabolome: A window over dietary exposure. </w:t>
      </w:r>
      <w:r w:rsidRPr="002D780B">
        <w:rPr>
          <w:rFonts w:cs="Times New Roman"/>
          <w:i/>
          <w:iCs/>
          <w:noProof/>
          <w:szCs w:val="24"/>
        </w:rPr>
        <w:t>Am. J. Clin. Nutr.</w:t>
      </w:r>
      <w:r w:rsidRPr="002D780B">
        <w:rPr>
          <w:rFonts w:cs="Times New Roman"/>
          <w:noProof/>
          <w:szCs w:val="24"/>
        </w:rPr>
        <w:t xml:space="preserve"> </w:t>
      </w:r>
      <w:r w:rsidRPr="002D780B">
        <w:rPr>
          <w:rFonts w:cs="Times New Roman"/>
          <w:b/>
          <w:bCs/>
          <w:noProof/>
          <w:szCs w:val="24"/>
        </w:rPr>
        <w:t>99</w:t>
      </w:r>
      <w:r w:rsidRPr="002D780B">
        <w:rPr>
          <w:rFonts w:cs="Times New Roman"/>
          <w:noProof/>
          <w:szCs w:val="24"/>
        </w:rPr>
        <w:t>, 1286–1308 (2014).</w:t>
      </w:r>
    </w:p>
    <w:p w14:paraId="3E58988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110.</w:t>
      </w:r>
      <w:r w:rsidRPr="002D780B">
        <w:rPr>
          <w:rFonts w:cs="Times New Roman"/>
          <w:noProof/>
          <w:szCs w:val="24"/>
        </w:rPr>
        <w:tab/>
        <w:t xml:space="preserve">Schubert, M., Lindgreen, S. &amp; Orlando, L. AdapterRemoval v2: rapid adapter trimming, identification, and read merging. </w:t>
      </w:r>
      <w:r w:rsidRPr="002D780B">
        <w:rPr>
          <w:rFonts w:cs="Times New Roman"/>
          <w:i/>
          <w:iCs/>
          <w:noProof/>
          <w:szCs w:val="24"/>
        </w:rPr>
        <w:t>BMC Res. Notes</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88 (2016).</w:t>
      </w:r>
    </w:p>
    <w:p w14:paraId="67E07BA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111.</w:t>
      </w:r>
      <w:r w:rsidRPr="002D780B">
        <w:rPr>
          <w:rFonts w:cs="Times New Roman"/>
          <w:noProof/>
          <w:szCs w:val="24"/>
        </w:rPr>
        <w:tab/>
        <w:t xml:space="preserve">Caporaso, J. G., Kuczynski, J., Stombaugh, J., Bittinger, K., Bushman, F. D., Costello, E. K., Fierer, N., Peña, A. G., Goodrich, J. K., Gordon, J. I., Huttley, G. A., Kelley, S. T., Knights, D., Koenig, J. E., Ley, R. E., Lozupone, C. A., McDonald, D., Muegge, B. D., Pirrung, M., Reeder, J., Sevinsky, J. R., Turnbaugh, P. J., Walters, W. A., Widmann, J., Yatsunenko, T., Zaneveld, J. &amp; Knight, R. QIIME allows analysis of high-throughput community sequencing data. </w:t>
      </w:r>
      <w:r w:rsidRPr="002D780B">
        <w:rPr>
          <w:rFonts w:cs="Times New Roman"/>
          <w:i/>
          <w:iCs/>
          <w:noProof/>
          <w:szCs w:val="24"/>
        </w:rPr>
        <w:t>Nat. Methods</w:t>
      </w:r>
      <w:r w:rsidRPr="002D780B">
        <w:rPr>
          <w:rFonts w:cs="Times New Roman"/>
          <w:noProof/>
          <w:szCs w:val="24"/>
        </w:rPr>
        <w:t xml:space="preserve"> </w:t>
      </w:r>
      <w:r w:rsidRPr="002D780B">
        <w:rPr>
          <w:rFonts w:cs="Times New Roman"/>
          <w:b/>
          <w:bCs/>
          <w:noProof/>
          <w:szCs w:val="24"/>
        </w:rPr>
        <w:t>7</w:t>
      </w:r>
      <w:r w:rsidRPr="002D780B">
        <w:rPr>
          <w:rFonts w:cs="Times New Roman"/>
          <w:noProof/>
          <w:szCs w:val="24"/>
        </w:rPr>
        <w:t>, 335–336 (2010).</w:t>
      </w:r>
    </w:p>
    <w:p w14:paraId="29F4121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112.</w:t>
      </w:r>
      <w:r w:rsidRPr="002D780B">
        <w:rPr>
          <w:rFonts w:cs="Times New Roman"/>
          <w:noProof/>
          <w:szCs w:val="24"/>
        </w:rPr>
        <w:tab/>
        <w:t xml:space="preserve">Chun, J., Lee, J. H., Jung, Y., Kim, M., Kim, S., Kim, B. K. &amp; Lim, Y. W. EzTaxon: A </w:t>
      </w:r>
      <w:r w:rsidRPr="002D780B">
        <w:rPr>
          <w:rFonts w:cs="Times New Roman"/>
          <w:noProof/>
          <w:szCs w:val="24"/>
        </w:rPr>
        <w:lastRenderedPageBreak/>
        <w:t xml:space="preserve">web-based tool for the identification of prokaryotes based on 16S ribosomal RNA gene sequences. </w:t>
      </w:r>
      <w:r w:rsidRPr="002D780B">
        <w:rPr>
          <w:rFonts w:cs="Times New Roman"/>
          <w:i/>
          <w:iCs/>
          <w:noProof/>
          <w:szCs w:val="24"/>
        </w:rPr>
        <w:t>Int. J. Syst. Evol. Microbiol.</w:t>
      </w:r>
      <w:r w:rsidRPr="002D780B">
        <w:rPr>
          <w:rFonts w:cs="Times New Roman"/>
          <w:noProof/>
          <w:szCs w:val="24"/>
        </w:rPr>
        <w:t xml:space="preserve"> </w:t>
      </w:r>
      <w:r w:rsidRPr="002D780B">
        <w:rPr>
          <w:rFonts w:cs="Times New Roman"/>
          <w:b/>
          <w:bCs/>
          <w:noProof/>
          <w:szCs w:val="24"/>
        </w:rPr>
        <w:t>57</w:t>
      </w:r>
      <w:r w:rsidRPr="002D780B">
        <w:rPr>
          <w:rFonts w:cs="Times New Roman"/>
          <w:noProof/>
          <w:szCs w:val="24"/>
        </w:rPr>
        <w:t>, 2259–2261 (2007).</w:t>
      </w:r>
    </w:p>
    <w:p w14:paraId="1366586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113.</w:t>
      </w:r>
      <w:r w:rsidRPr="002D780B">
        <w:rPr>
          <w:rFonts w:cs="Times New Roman"/>
          <w:noProof/>
          <w:szCs w:val="24"/>
        </w:rPr>
        <w:tab/>
        <w:t xml:space="preserve">DeSantis, T. Z., Hugenholtz, P., Larsen, N., Rojas, M., Brodie, E. L., Keller, K., Huber, T., Dalevi, D., Hu, P. &amp; Andersen, G. L. Greengenes, a chimera-checked 16S rRNA gene database and workbench compatible with ARB. </w:t>
      </w:r>
      <w:r w:rsidRPr="002D780B">
        <w:rPr>
          <w:rFonts w:cs="Times New Roman"/>
          <w:i/>
          <w:iCs/>
          <w:noProof/>
          <w:szCs w:val="24"/>
        </w:rPr>
        <w:t>Appl. Environ. Microbiol.</w:t>
      </w:r>
      <w:r w:rsidRPr="002D780B">
        <w:rPr>
          <w:rFonts w:cs="Times New Roman"/>
          <w:noProof/>
          <w:szCs w:val="24"/>
        </w:rPr>
        <w:t xml:space="preserve"> </w:t>
      </w:r>
      <w:r w:rsidRPr="002D780B">
        <w:rPr>
          <w:rFonts w:cs="Times New Roman"/>
          <w:b/>
          <w:bCs/>
          <w:noProof/>
          <w:szCs w:val="24"/>
        </w:rPr>
        <w:t>72</w:t>
      </w:r>
      <w:r w:rsidRPr="002D780B">
        <w:rPr>
          <w:rFonts w:cs="Times New Roman"/>
          <w:noProof/>
          <w:szCs w:val="24"/>
        </w:rPr>
        <w:t>, 5069–5072 (2006).</w:t>
      </w:r>
    </w:p>
    <w:p w14:paraId="5859C6F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114.</w:t>
      </w:r>
      <w:r w:rsidRPr="002D780B">
        <w:rPr>
          <w:rFonts w:cs="Times New Roman"/>
          <w:noProof/>
          <w:szCs w:val="24"/>
        </w:rPr>
        <w:tab/>
        <w:t xml:space="preserve">Bolyen, E., Rideout, J. R., Dillon, M. R., Bokulich, N. A., Abnet, C. C., Al-Ghalith, G. A., Alexander, H., Alm, E. J., Arumugam, M., Asnicar, F., Bai, Y., Bisanz, J. E., Bittinger, K., Brejnrod, A., Brislawn, C. J., Brown, C. T., Callahan, B. J., Caraballo-Rodríguez, A. M., Chase, J., Cope, E. K., Da Silva, R., Diener, C., Dorrestein, P. C., Douglas, G. M., Durall, D. M., Duvallet, C., Edwardson, C. F., Ernst, M., Estaki, M., Fouquier, J., Gauglitz, J. M., Gibbons, S. M., Gibson, D. L., Gonzalez, A., Gorlick, K., Guo, J., Hillmann, B., Holmes, S., Holste, H., Huttenhower, C., Huttley, G. A., Janssen, S., Jarmusch, A. K., Jiang, L., Kaehler, B. D., Kang, K. Bin, Keefe, C. R., Keim, P., Kelley, S. T., Knights, D., Koester, I., Kosciolek, T., Kreps, J., Langille, M. G. I., Lee, J., Ley, R., Liu, Y. X., Loftfield, E., Lozupone, C., Maher, M., Marotz, C., Martin, B. D., McDonald, D., McIver, L. J., Melnik, A. V., Metcalf, J. L., Morgan, S. C., Morton, J. T., Naimey, A. T., Navas-Molina, J. A., Nothias, L. F., Orchanian, S. B., Pearson, T., Peoples, S. L., Petras, D., Preuss, M. L., Pruesse, E., Rasmussen, L. B., Rivers, A., Robeson, M. S., Rosenthal, P., Segata, N., Shaffer, M., Shiffer, A., Sinha, R., Song, S. J., Spear, J. R., Swafford, A. D., Thompson, L. R., Torres, P. J., Trinh, P., Tripathi, A., Turnbaugh, P. J., Ul-Hasan, S., van der Hooft, J. J. J., Vargas, F., Vázquez-Baeza, Y., Vogtmann, E., von Hippel, M., Walters, W., Wan, Y., Wang, M., Warren, J., Weber, K. C., Williamson, C. H. D., Willis, A. D., Xu, Z. Z., Zaneveld, J. R., Zhang, Y., Zhu, Q., Knight, R. &amp; Caporaso, J. G. Reproducible, interactive, scalable and extensible microbiome data science using QIIME 2. </w:t>
      </w:r>
      <w:r w:rsidRPr="002D780B">
        <w:rPr>
          <w:rFonts w:cs="Times New Roman"/>
          <w:i/>
          <w:iCs/>
          <w:noProof/>
          <w:szCs w:val="24"/>
        </w:rPr>
        <w:t>Nat. Biotechnol.</w:t>
      </w:r>
      <w:r w:rsidRPr="002D780B">
        <w:rPr>
          <w:rFonts w:cs="Times New Roman"/>
          <w:noProof/>
          <w:szCs w:val="24"/>
        </w:rPr>
        <w:t xml:space="preserve"> </w:t>
      </w:r>
      <w:r w:rsidRPr="002D780B">
        <w:rPr>
          <w:rFonts w:cs="Times New Roman"/>
          <w:b/>
          <w:bCs/>
          <w:noProof/>
          <w:szCs w:val="24"/>
        </w:rPr>
        <w:t>37</w:t>
      </w:r>
      <w:r w:rsidRPr="002D780B">
        <w:rPr>
          <w:rFonts w:cs="Times New Roman"/>
          <w:noProof/>
          <w:szCs w:val="24"/>
        </w:rPr>
        <w:t>, 852–857 (2019).</w:t>
      </w:r>
    </w:p>
    <w:p w14:paraId="073325B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115.</w:t>
      </w:r>
      <w:r w:rsidRPr="002D780B">
        <w:rPr>
          <w:rFonts w:cs="Times New Roman"/>
          <w:noProof/>
          <w:szCs w:val="24"/>
        </w:rPr>
        <w:tab/>
        <w:t xml:space="preserve">Morton, J. T., Aksenov, A. A., Nothias, L. F., Foulds, J. R., Quinn, R. A., Badri, M. H., Swenson, T. L., Van Goethem, M. W., Northen, T. R., Vazquez-Baeza, Y., Wang, M., Bokulich, N. A., Watters, A., Song, S. J., Bonneau, R., Dorrestein, P. C. &amp; Knight, R. Learning representations of microbe–metabolite interactions. </w:t>
      </w:r>
      <w:r w:rsidRPr="002D780B">
        <w:rPr>
          <w:rFonts w:cs="Times New Roman"/>
          <w:i/>
          <w:iCs/>
          <w:noProof/>
          <w:szCs w:val="24"/>
        </w:rPr>
        <w:t>Nat. Methods</w:t>
      </w:r>
      <w:r w:rsidRPr="002D780B">
        <w:rPr>
          <w:rFonts w:cs="Times New Roman"/>
          <w:noProof/>
          <w:szCs w:val="24"/>
        </w:rPr>
        <w:t xml:space="preserve"> </w:t>
      </w:r>
      <w:r w:rsidRPr="002D780B">
        <w:rPr>
          <w:rFonts w:cs="Times New Roman"/>
          <w:b/>
          <w:bCs/>
          <w:noProof/>
          <w:szCs w:val="24"/>
        </w:rPr>
        <w:t>16</w:t>
      </w:r>
      <w:r w:rsidRPr="002D780B">
        <w:rPr>
          <w:rFonts w:cs="Times New Roman"/>
          <w:noProof/>
          <w:szCs w:val="24"/>
        </w:rPr>
        <w:t>, 1306–1314 (2019).</w:t>
      </w:r>
    </w:p>
    <w:p w14:paraId="503A762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116.</w:t>
      </w:r>
      <w:r w:rsidRPr="002D780B">
        <w:rPr>
          <w:rFonts w:cs="Times New Roman"/>
          <w:noProof/>
          <w:szCs w:val="24"/>
        </w:rPr>
        <w:tab/>
        <w:t>Weiner, J. Package ‘pca3d’: Three Dimensional PCA Plots. (2020).</w:t>
      </w:r>
    </w:p>
    <w:p w14:paraId="6DD2C6F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117.</w:t>
      </w:r>
      <w:r w:rsidRPr="002D780B">
        <w:rPr>
          <w:rFonts w:cs="Times New Roman"/>
          <w:noProof/>
          <w:szCs w:val="24"/>
        </w:rPr>
        <w:tab/>
        <w:t xml:space="preserve">Vázquez-Baeza, Y., Pirrung, M., Gonzalez, A. &amp; Knight, R. EMPeror: A tool for visualizing high-throughput microbial community data. </w:t>
      </w:r>
      <w:r w:rsidRPr="002D780B">
        <w:rPr>
          <w:rFonts w:cs="Times New Roman"/>
          <w:i/>
          <w:iCs/>
          <w:noProof/>
          <w:szCs w:val="24"/>
        </w:rPr>
        <w:t>Gigascience</w:t>
      </w:r>
      <w:r w:rsidRPr="002D780B">
        <w:rPr>
          <w:rFonts w:cs="Times New Roman"/>
          <w:noProof/>
          <w:szCs w:val="24"/>
        </w:rPr>
        <w:t xml:space="preserve"> </w:t>
      </w:r>
      <w:r w:rsidRPr="002D780B">
        <w:rPr>
          <w:rFonts w:cs="Times New Roman"/>
          <w:b/>
          <w:bCs/>
          <w:noProof/>
          <w:szCs w:val="24"/>
        </w:rPr>
        <w:t>2</w:t>
      </w:r>
      <w:r w:rsidRPr="002D780B">
        <w:rPr>
          <w:rFonts w:cs="Times New Roman"/>
          <w:noProof/>
          <w:szCs w:val="24"/>
        </w:rPr>
        <w:t>, 2–5 (2013).</w:t>
      </w:r>
    </w:p>
    <w:p w14:paraId="4A28296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118.</w:t>
      </w:r>
      <w:r w:rsidRPr="002D780B">
        <w:rPr>
          <w:rFonts w:cs="Times New Roman"/>
          <w:noProof/>
          <w:szCs w:val="24"/>
        </w:rPr>
        <w:tab/>
        <w:t xml:space="preserve">Anderson, M. J.  Permutational Multivariate Analysis of Variance ( PERMANOVA ) . </w:t>
      </w:r>
      <w:r w:rsidRPr="002D780B">
        <w:rPr>
          <w:rFonts w:cs="Times New Roman"/>
          <w:i/>
          <w:iCs/>
          <w:noProof/>
          <w:szCs w:val="24"/>
        </w:rPr>
        <w:t>Wiley StatsRef Stat. Ref. Online</w:t>
      </w:r>
      <w:r w:rsidRPr="002D780B">
        <w:rPr>
          <w:rFonts w:cs="Times New Roman"/>
          <w:noProof/>
          <w:szCs w:val="24"/>
        </w:rPr>
        <w:t xml:space="preserve"> 1–15 (2017) doi:10.1002/9781118445112.stat07841.</w:t>
      </w:r>
    </w:p>
    <w:p w14:paraId="01C84FE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119.</w:t>
      </w:r>
      <w:r w:rsidRPr="002D780B">
        <w:rPr>
          <w:rFonts w:cs="Times New Roman"/>
          <w:noProof/>
          <w:szCs w:val="24"/>
        </w:rPr>
        <w:tab/>
        <w:t xml:space="preserve">Wickham, H. </w:t>
      </w:r>
      <w:r w:rsidRPr="002D780B">
        <w:rPr>
          <w:rFonts w:cs="Times New Roman"/>
          <w:i/>
          <w:iCs/>
          <w:noProof/>
          <w:szCs w:val="24"/>
        </w:rPr>
        <w:t>Ggplot2: Elegant Graphics for Data Analysis</w:t>
      </w:r>
      <w:r w:rsidRPr="002D780B">
        <w:rPr>
          <w:rFonts w:cs="Times New Roman"/>
          <w:noProof/>
          <w:szCs w:val="24"/>
        </w:rPr>
        <w:t>. (Springer US, 2016).</w:t>
      </w:r>
    </w:p>
    <w:p w14:paraId="7CACEB7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120.</w:t>
      </w:r>
      <w:r w:rsidRPr="002D780B">
        <w:rPr>
          <w:rFonts w:cs="Times New Roman"/>
          <w:noProof/>
          <w:szCs w:val="24"/>
        </w:rPr>
        <w:tab/>
        <w:t xml:space="preserve">South, A. rworldmap: A new R package for mapping global data. </w:t>
      </w:r>
      <w:r w:rsidRPr="002D780B">
        <w:rPr>
          <w:rFonts w:cs="Times New Roman"/>
          <w:i/>
          <w:iCs/>
          <w:noProof/>
          <w:szCs w:val="24"/>
        </w:rPr>
        <w:t>R J.</w:t>
      </w:r>
      <w:r w:rsidRPr="002D780B">
        <w:rPr>
          <w:rFonts w:cs="Times New Roman"/>
          <w:noProof/>
          <w:szCs w:val="24"/>
        </w:rPr>
        <w:t xml:space="preserve"> </w:t>
      </w:r>
      <w:r w:rsidRPr="002D780B">
        <w:rPr>
          <w:rFonts w:cs="Times New Roman"/>
          <w:b/>
          <w:bCs/>
          <w:noProof/>
          <w:szCs w:val="24"/>
        </w:rPr>
        <w:t>3</w:t>
      </w:r>
      <w:r w:rsidRPr="002D780B">
        <w:rPr>
          <w:rFonts w:cs="Times New Roman"/>
          <w:noProof/>
          <w:szCs w:val="24"/>
        </w:rPr>
        <w:t>, 35–43 (2011).</w:t>
      </w:r>
    </w:p>
    <w:p w14:paraId="10D2ED3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121.</w:t>
      </w:r>
      <w:r w:rsidRPr="002D780B">
        <w:rPr>
          <w:rFonts w:cs="Times New Roman"/>
          <w:noProof/>
          <w:szCs w:val="24"/>
        </w:rPr>
        <w:tab/>
        <w:t xml:space="preserve">Ben-Shachar, M., Makowski, D. &amp; Lüdecke, D. Compute and interpret indices of effect size. </w:t>
      </w:r>
      <w:r w:rsidRPr="002D780B">
        <w:rPr>
          <w:rFonts w:cs="Times New Roman"/>
          <w:i/>
          <w:iCs/>
          <w:noProof/>
          <w:szCs w:val="24"/>
        </w:rPr>
        <w:t>CRAN</w:t>
      </w:r>
      <w:r w:rsidRPr="002D780B">
        <w:rPr>
          <w:rFonts w:cs="Times New Roman"/>
          <w:noProof/>
          <w:szCs w:val="24"/>
        </w:rPr>
        <w:t xml:space="preserve"> (2020).</w:t>
      </w:r>
    </w:p>
    <w:p w14:paraId="06E2F01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122.</w:t>
      </w:r>
      <w:r w:rsidRPr="002D780B">
        <w:rPr>
          <w:rFonts w:cs="Times New Roman"/>
          <w:noProof/>
          <w:szCs w:val="24"/>
        </w:rPr>
        <w:tab/>
        <w:t xml:space="preserve">Lex, A., Gehlenborg, N., Strobelt, H., Vuillemot, R. &amp; Pfister, H. UpSet: Visualization of intersecting sets. </w:t>
      </w:r>
      <w:r w:rsidRPr="002D780B">
        <w:rPr>
          <w:rFonts w:cs="Times New Roman"/>
          <w:i/>
          <w:iCs/>
          <w:noProof/>
          <w:szCs w:val="24"/>
        </w:rPr>
        <w:t>IEEE Trans. Vis. Comput. Graph.</w:t>
      </w:r>
      <w:r w:rsidRPr="002D780B">
        <w:rPr>
          <w:rFonts w:cs="Times New Roman"/>
          <w:noProof/>
          <w:szCs w:val="24"/>
        </w:rPr>
        <w:t xml:space="preserve"> </w:t>
      </w:r>
      <w:r w:rsidRPr="002D780B">
        <w:rPr>
          <w:rFonts w:cs="Times New Roman"/>
          <w:b/>
          <w:bCs/>
          <w:noProof/>
          <w:szCs w:val="24"/>
        </w:rPr>
        <w:t>20</w:t>
      </w:r>
      <w:r w:rsidRPr="002D780B">
        <w:rPr>
          <w:rFonts w:cs="Times New Roman"/>
          <w:noProof/>
          <w:szCs w:val="24"/>
        </w:rPr>
        <w:t>, 1983–1992 (2014).</w:t>
      </w:r>
    </w:p>
    <w:p w14:paraId="4B2129B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123.</w:t>
      </w:r>
      <w:r w:rsidRPr="002D780B">
        <w:rPr>
          <w:rFonts w:cs="Times New Roman"/>
          <w:noProof/>
          <w:szCs w:val="24"/>
        </w:rPr>
        <w:tab/>
        <w:t>van Rossum, G. &amp; Drake, F. L. Python 3 Reference Manual. at https://www.python.org/ (2009).</w:t>
      </w:r>
    </w:p>
    <w:p w14:paraId="52498A3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124.</w:t>
      </w:r>
      <w:r w:rsidRPr="002D780B">
        <w:rPr>
          <w:rFonts w:cs="Times New Roman"/>
          <w:noProof/>
          <w:szCs w:val="24"/>
        </w:rPr>
        <w:tab/>
        <w:t xml:space="preserve">McKinney, W. pandas: a Foundational Python Library for Data Analysis and Statistics. </w:t>
      </w:r>
      <w:r w:rsidRPr="002D780B">
        <w:rPr>
          <w:rFonts w:cs="Times New Roman"/>
          <w:i/>
          <w:iCs/>
          <w:noProof/>
          <w:szCs w:val="24"/>
        </w:rPr>
        <w:t>Python high Perform. Sci. Comput.</w:t>
      </w:r>
      <w:r w:rsidRPr="002D780B">
        <w:rPr>
          <w:rFonts w:cs="Times New Roman"/>
          <w:noProof/>
          <w:szCs w:val="24"/>
        </w:rPr>
        <w:t xml:space="preserve"> </w:t>
      </w:r>
      <w:r w:rsidRPr="002D780B">
        <w:rPr>
          <w:rFonts w:cs="Times New Roman"/>
          <w:b/>
          <w:bCs/>
          <w:noProof/>
          <w:szCs w:val="24"/>
        </w:rPr>
        <w:t>14</w:t>
      </w:r>
      <w:r w:rsidRPr="002D780B">
        <w:rPr>
          <w:rFonts w:cs="Times New Roman"/>
          <w:noProof/>
          <w:szCs w:val="24"/>
        </w:rPr>
        <w:t>, 1–9 (2011).</w:t>
      </w:r>
    </w:p>
    <w:p w14:paraId="6A48908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lastRenderedPageBreak/>
        <w:t>125.</w:t>
      </w:r>
      <w:r w:rsidRPr="002D780B">
        <w:rPr>
          <w:rFonts w:cs="Times New Roman"/>
          <w:noProof/>
          <w:szCs w:val="24"/>
        </w:rPr>
        <w:tab/>
        <w:t>Nothman, J. UpSetPlot documentation. at https://upsetplot.readthedocs.io/en/stable/ (2018).</w:t>
      </w:r>
    </w:p>
    <w:p w14:paraId="7CDCC95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126.</w:t>
      </w:r>
      <w:r w:rsidRPr="002D780B">
        <w:rPr>
          <w:rFonts w:cs="Times New Roman"/>
          <w:noProof/>
          <w:szCs w:val="24"/>
        </w:rPr>
        <w:tab/>
        <w:t xml:space="preserve">Hunter, J. D. Matplotlib: A 2D Graphics Environment. </w:t>
      </w:r>
      <w:r w:rsidRPr="002D780B">
        <w:rPr>
          <w:rFonts w:cs="Times New Roman"/>
          <w:i/>
          <w:iCs/>
          <w:noProof/>
          <w:szCs w:val="24"/>
        </w:rPr>
        <w:t>Comput. Sci. Eng.</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90–95 (2007).</w:t>
      </w:r>
    </w:p>
    <w:p w14:paraId="3D24904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127.</w:t>
      </w:r>
      <w:r w:rsidRPr="002D780B">
        <w:rPr>
          <w:rFonts w:cs="Times New Roman"/>
          <w:noProof/>
          <w:szCs w:val="24"/>
        </w:rPr>
        <w:tab/>
        <w:t xml:space="preserve">Liaw, A. &amp; Wiener, M. Classification and Regression by RandomForest. </w:t>
      </w:r>
      <w:r w:rsidRPr="002D780B">
        <w:rPr>
          <w:rFonts w:cs="Times New Roman"/>
          <w:i/>
          <w:iCs/>
          <w:noProof/>
          <w:szCs w:val="24"/>
        </w:rPr>
        <w:t>R News</w:t>
      </w:r>
      <w:r w:rsidRPr="002D780B">
        <w:rPr>
          <w:rFonts w:cs="Times New Roman"/>
          <w:noProof/>
          <w:szCs w:val="24"/>
        </w:rPr>
        <w:t xml:space="preserve"> </w:t>
      </w:r>
      <w:r w:rsidRPr="002D780B">
        <w:rPr>
          <w:rFonts w:cs="Times New Roman"/>
          <w:b/>
          <w:bCs/>
          <w:noProof/>
          <w:szCs w:val="24"/>
        </w:rPr>
        <w:t>3</w:t>
      </w:r>
      <w:r w:rsidRPr="002D780B">
        <w:rPr>
          <w:rFonts w:cs="Times New Roman"/>
          <w:noProof/>
          <w:szCs w:val="24"/>
        </w:rPr>
        <w:t>, 18–22 (2002).</w:t>
      </w:r>
    </w:p>
    <w:p w14:paraId="3EBEE77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128.</w:t>
      </w:r>
      <w:r w:rsidRPr="002D780B">
        <w:rPr>
          <w:rFonts w:cs="Times New Roman"/>
          <w:noProof/>
          <w:szCs w:val="24"/>
        </w:rPr>
        <w:tab/>
        <w:t xml:space="preserve">Dührkop, K., Fleischauer, M., Ludwig, M., Aksenov, A. A., Melnik, A. V., Meusel, M., Dorrestein, P. C., Rousu, J. &amp; Böcker, S. SIRIUS 4: a rapid tool for turning tandem mass spectra into metabolite structure information. </w:t>
      </w:r>
      <w:r w:rsidRPr="002D780B">
        <w:rPr>
          <w:rFonts w:cs="Times New Roman"/>
          <w:i/>
          <w:iCs/>
          <w:noProof/>
          <w:szCs w:val="24"/>
        </w:rPr>
        <w:t>Nat. Methods</w:t>
      </w:r>
      <w:r w:rsidRPr="002D780B">
        <w:rPr>
          <w:rFonts w:cs="Times New Roman"/>
          <w:noProof/>
          <w:szCs w:val="24"/>
        </w:rPr>
        <w:t xml:space="preserve"> </w:t>
      </w:r>
      <w:r w:rsidRPr="002D780B">
        <w:rPr>
          <w:rFonts w:cs="Times New Roman"/>
          <w:b/>
          <w:bCs/>
          <w:noProof/>
          <w:szCs w:val="24"/>
        </w:rPr>
        <w:t>16</w:t>
      </w:r>
      <w:r w:rsidRPr="002D780B">
        <w:rPr>
          <w:rFonts w:cs="Times New Roman"/>
          <w:noProof/>
          <w:szCs w:val="24"/>
        </w:rPr>
        <w:t>, 299–302 (2019).</w:t>
      </w:r>
    </w:p>
    <w:p w14:paraId="3CC21ED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129.</w:t>
      </w:r>
      <w:r w:rsidRPr="002D780B">
        <w:rPr>
          <w:rFonts w:cs="Times New Roman"/>
          <w:noProof/>
          <w:szCs w:val="24"/>
        </w:rPr>
        <w:tab/>
        <w:t xml:space="preserve">Dührkop, K., Nothias, L.-F., Fleischauer, M., Ludwig, M., Hoffmann, M. A., Rousu, J., Dorrestein, P. C. &amp; Böcker, S. Classes for the masses: Systematic classification of unknowns using fragmentation spectra. </w:t>
      </w:r>
      <w:r w:rsidRPr="002D780B">
        <w:rPr>
          <w:rFonts w:cs="Times New Roman"/>
          <w:i/>
          <w:iCs/>
          <w:noProof/>
          <w:szCs w:val="24"/>
        </w:rPr>
        <w:t>bioRxiv</w:t>
      </w:r>
      <w:r w:rsidRPr="002D780B">
        <w:rPr>
          <w:rFonts w:cs="Times New Roman"/>
          <w:noProof/>
          <w:szCs w:val="24"/>
        </w:rPr>
        <w:t xml:space="preserve"> 2020.04.17.046672 (2020) doi:10.1101/2020.04.17.046672.</w:t>
      </w:r>
    </w:p>
    <w:p w14:paraId="7E24EAF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130.</w:t>
      </w:r>
      <w:r w:rsidRPr="002D780B">
        <w:rPr>
          <w:rFonts w:cs="Times New Roman"/>
          <w:noProof/>
          <w:szCs w:val="24"/>
        </w:rPr>
        <w:tab/>
        <w:t xml:space="preserve">Schnorr, S. L., Mandela, M., Rampelli, S., Centanni, M., Consolandi, C., Basaglia, G., Turroni, S., Biagi, E., Peano, C., Severgnini, M., Fiori, J., Gotti, R., De Bellis, G., Luiselli, D., Brigidi, P., Mabulla, A., Marlowe, F., Henry, A. G. &amp; Crittenden, A. N. Gut microbiome of the Hadza hunter-gatherers. </w:t>
      </w:r>
      <w:r w:rsidRPr="002D780B">
        <w:rPr>
          <w:rFonts w:cs="Times New Roman"/>
          <w:i/>
          <w:iCs/>
          <w:noProof/>
          <w:szCs w:val="24"/>
        </w:rPr>
        <w:t>Nat. Commun.</w:t>
      </w:r>
      <w:r w:rsidRPr="002D780B">
        <w:rPr>
          <w:rFonts w:cs="Times New Roman"/>
          <w:noProof/>
          <w:szCs w:val="24"/>
        </w:rPr>
        <w:t xml:space="preserve"> </w:t>
      </w:r>
      <w:r w:rsidRPr="002D780B">
        <w:rPr>
          <w:rFonts w:cs="Times New Roman"/>
          <w:b/>
          <w:bCs/>
          <w:noProof/>
          <w:szCs w:val="24"/>
        </w:rPr>
        <w:t>5</w:t>
      </w:r>
      <w:r w:rsidRPr="002D780B">
        <w:rPr>
          <w:rFonts w:cs="Times New Roman"/>
          <w:noProof/>
          <w:szCs w:val="24"/>
        </w:rPr>
        <w:t>, 1–12 (2014).</w:t>
      </w:r>
    </w:p>
    <w:p w14:paraId="695660D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131.</w:t>
      </w:r>
      <w:r w:rsidRPr="002D780B">
        <w:rPr>
          <w:rFonts w:cs="Times New Roman"/>
          <w:noProof/>
          <w:szCs w:val="24"/>
        </w:rPr>
        <w:tab/>
        <w:t xml:space="preserve">Gomez, A., Petrzelkova, K. J., Burns, M. B., Yeoman, C. J., Amato, K. R., Vlckova, K., Modry, D., Todd, A., Jost Robinson, C. A., Remis, M. J., Torralba, M. G., Morton, E., Umaña, J. D., Carbonero, F., Gaskins, H. R., Nelson, K. E., Wilson, B. A., Stumpf, R. M., White, B. A., Leigh, S. R. &amp; Blekhman, R. Gut Microbiome of Coexisting BaAka Pygmies and Bantu Reflects Gradients of Traditional Subsistence Patterns. </w:t>
      </w:r>
      <w:r w:rsidRPr="002D780B">
        <w:rPr>
          <w:rFonts w:cs="Times New Roman"/>
          <w:i/>
          <w:iCs/>
          <w:noProof/>
          <w:szCs w:val="24"/>
        </w:rPr>
        <w:t>Cell Rep.</w:t>
      </w:r>
      <w:r w:rsidRPr="002D780B">
        <w:rPr>
          <w:rFonts w:cs="Times New Roman"/>
          <w:noProof/>
          <w:szCs w:val="24"/>
        </w:rPr>
        <w:t xml:space="preserve"> </w:t>
      </w:r>
      <w:r w:rsidRPr="002D780B">
        <w:rPr>
          <w:rFonts w:cs="Times New Roman"/>
          <w:b/>
          <w:bCs/>
          <w:noProof/>
          <w:szCs w:val="24"/>
        </w:rPr>
        <w:t>14</w:t>
      </w:r>
      <w:r w:rsidRPr="002D780B">
        <w:rPr>
          <w:rFonts w:cs="Times New Roman"/>
          <w:noProof/>
          <w:szCs w:val="24"/>
        </w:rPr>
        <w:t>, 2142–2153 (2016).</w:t>
      </w:r>
    </w:p>
    <w:p w14:paraId="31CEF06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132.</w:t>
      </w:r>
      <w:r w:rsidRPr="002D780B">
        <w:rPr>
          <w:rFonts w:cs="Times New Roman"/>
          <w:noProof/>
          <w:szCs w:val="24"/>
        </w:rPr>
        <w:tab/>
        <w:t xml:space="preserve">Mancabelli, L., Milani, C., Lugli, G. A., Turroni, F., Ferrario, C., van Sinderen, D. &amp; Ventura, M. Meta-analysis of the human gut microbiome from urbanized and pre-agricultural populations. </w:t>
      </w:r>
      <w:r w:rsidRPr="002D780B">
        <w:rPr>
          <w:rFonts w:cs="Times New Roman"/>
          <w:i/>
          <w:iCs/>
          <w:noProof/>
          <w:szCs w:val="24"/>
        </w:rPr>
        <w:t>Environ. Microbiol.</w:t>
      </w:r>
      <w:r w:rsidRPr="002D780B">
        <w:rPr>
          <w:rFonts w:cs="Times New Roman"/>
          <w:noProof/>
          <w:szCs w:val="24"/>
        </w:rPr>
        <w:t xml:space="preserve"> </w:t>
      </w:r>
      <w:r w:rsidRPr="002D780B">
        <w:rPr>
          <w:rFonts w:cs="Times New Roman"/>
          <w:b/>
          <w:bCs/>
          <w:noProof/>
          <w:szCs w:val="24"/>
        </w:rPr>
        <w:t>19</w:t>
      </w:r>
      <w:r w:rsidRPr="002D780B">
        <w:rPr>
          <w:rFonts w:cs="Times New Roman"/>
          <w:noProof/>
          <w:szCs w:val="24"/>
        </w:rPr>
        <w:t>, 1379–1390 (2017).</w:t>
      </w:r>
    </w:p>
    <w:p w14:paraId="6AE96B6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133.</w:t>
      </w:r>
      <w:r w:rsidRPr="002D780B">
        <w:rPr>
          <w:rFonts w:cs="Times New Roman"/>
          <w:noProof/>
          <w:szCs w:val="24"/>
        </w:rPr>
        <w:tab/>
        <w:t xml:space="preserve">Wu, G. D., Compher, C., Chen, E. Z., Smith, S. A., Shah, R. D., Bittinger, K., Chehoud, C., Albenberg, L. G., Nessel, L., Gilroy, E., Star, J., Weljie, A. M., Flint, H. J., Metz, D. C., Bennett, M. J., Li, H., Bushman, F. D. &amp; Lewis, J. D. Comparative metabolomics in vegans and omnivores reveal constraints on diet-dependent gut microbiota metabolite production. </w:t>
      </w:r>
      <w:r w:rsidRPr="002D780B">
        <w:rPr>
          <w:rFonts w:cs="Times New Roman"/>
          <w:i/>
          <w:iCs/>
          <w:noProof/>
          <w:szCs w:val="24"/>
        </w:rPr>
        <w:t>Gut</w:t>
      </w:r>
      <w:r w:rsidRPr="002D780B">
        <w:rPr>
          <w:rFonts w:cs="Times New Roman"/>
          <w:noProof/>
          <w:szCs w:val="24"/>
        </w:rPr>
        <w:t xml:space="preserve"> </w:t>
      </w:r>
      <w:r w:rsidRPr="002D780B">
        <w:rPr>
          <w:rFonts w:cs="Times New Roman"/>
          <w:b/>
          <w:bCs/>
          <w:noProof/>
          <w:szCs w:val="24"/>
        </w:rPr>
        <w:t>65</w:t>
      </w:r>
      <w:r w:rsidRPr="002D780B">
        <w:rPr>
          <w:rFonts w:cs="Times New Roman"/>
          <w:noProof/>
          <w:szCs w:val="24"/>
        </w:rPr>
        <w:t>, 63–72 (2016).</w:t>
      </w:r>
    </w:p>
    <w:p w14:paraId="17C9E29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134.</w:t>
      </w:r>
      <w:r w:rsidRPr="002D780B">
        <w:rPr>
          <w:rFonts w:cs="Times New Roman"/>
          <w:noProof/>
          <w:szCs w:val="24"/>
        </w:rPr>
        <w:tab/>
        <w:t xml:space="preserve">Meghwal, M. &amp; Goswami, T. K. Piper nigrum and piperine: An update. </w:t>
      </w:r>
      <w:r w:rsidRPr="002D780B">
        <w:rPr>
          <w:rFonts w:cs="Times New Roman"/>
          <w:i/>
          <w:iCs/>
          <w:noProof/>
          <w:szCs w:val="24"/>
        </w:rPr>
        <w:t>Phyther. Res.</w:t>
      </w:r>
      <w:r w:rsidRPr="002D780B">
        <w:rPr>
          <w:rFonts w:cs="Times New Roman"/>
          <w:noProof/>
          <w:szCs w:val="24"/>
        </w:rPr>
        <w:t xml:space="preserve"> </w:t>
      </w:r>
      <w:r w:rsidRPr="002D780B">
        <w:rPr>
          <w:rFonts w:cs="Times New Roman"/>
          <w:b/>
          <w:bCs/>
          <w:noProof/>
          <w:szCs w:val="24"/>
        </w:rPr>
        <w:t>27</w:t>
      </w:r>
      <w:r w:rsidRPr="002D780B">
        <w:rPr>
          <w:rFonts w:cs="Times New Roman"/>
          <w:noProof/>
          <w:szCs w:val="24"/>
        </w:rPr>
        <w:t>, 1121–1130 (2013).</w:t>
      </w:r>
    </w:p>
    <w:p w14:paraId="3705F5F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135.</w:t>
      </w:r>
      <w:r w:rsidRPr="002D780B">
        <w:rPr>
          <w:rFonts w:cs="Times New Roman"/>
          <w:noProof/>
          <w:szCs w:val="24"/>
        </w:rPr>
        <w:tab/>
        <w:t xml:space="preserve">Jandke, J. &amp; Spiteller, G. Dipeptide analysis in human urine. </w:t>
      </w:r>
      <w:r w:rsidRPr="002D780B">
        <w:rPr>
          <w:rFonts w:cs="Times New Roman"/>
          <w:i/>
          <w:iCs/>
          <w:noProof/>
          <w:szCs w:val="24"/>
        </w:rPr>
        <w:t>J. Chromatogr. B Biomed. Sci. Appl.</w:t>
      </w:r>
      <w:r w:rsidRPr="002D780B">
        <w:rPr>
          <w:rFonts w:cs="Times New Roman"/>
          <w:noProof/>
          <w:szCs w:val="24"/>
        </w:rPr>
        <w:t xml:space="preserve"> </w:t>
      </w:r>
      <w:r w:rsidRPr="002D780B">
        <w:rPr>
          <w:rFonts w:cs="Times New Roman"/>
          <w:b/>
          <w:bCs/>
          <w:noProof/>
          <w:szCs w:val="24"/>
        </w:rPr>
        <w:t>382</w:t>
      </w:r>
      <w:r w:rsidRPr="002D780B">
        <w:rPr>
          <w:rFonts w:cs="Times New Roman"/>
          <w:noProof/>
          <w:szCs w:val="24"/>
        </w:rPr>
        <w:t>, 39–45 (1986).</w:t>
      </w:r>
    </w:p>
    <w:p w14:paraId="7ABB143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136.</w:t>
      </w:r>
      <w:r w:rsidRPr="002D780B">
        <w:rPr>
          <w:rFonts w:cs="Times New Roman"/>
          <w:noProof/>
          <w:szCs w:val="24"/>
        </w:rPr>
        <w:tab/>
        <w:t xml:space="preserve">Mattarucchi, E., Baraldi, E. &amp; Guillou, C. Metabolomics applied to urine samples in childhood asthma; differentiation between asthma phenotypes and identification of relevant metabolites. </w:t>
      </w:r>
      <w:r w:rsidRPr="002D780B">
        <w:rPr>
          <w:rFonts w:cs="Times New Roman"/>
          <w:i/>
          <w:iCs/>
          <w:noProof/>
          <w:szCs w:val="24"/>
        </w:rPr>
        <w:t>Biomed. Chromatogr.</w:t>
      </w:r>
      <w:r w:rsidRPr="002D780B">
        <w:rPr>
          <w:rFonts w:cs="Times New Roman"/>
          <w:noProof/>
          <w:szCs w:val="24"/>
        </w:rPr>
        <w:t xml:space="preserve"> </w:t>
      </w:r>
      <w:r w:rsidRPr="002D780B">
        <w:rPr>
          <w:rFonts w:cs="Times New Roman"/>
          <w:b/>
          <w:bCs/>
          <w:noProof/>
          <w:szCs w:val="24"/>
        </w:rPr>
        <w:t>26</w:t>
      </w:r>
      <w:r w:rsidRPr="002D780B">
        <w:rPr>
          <w:rFonts w:cs="Times New Roman"/>
          <w:noProof/>
          <w:szCs w:val="24"/>
        </w:rPr>
        <w:t>, 89–94 (2011).</w:t>
      </w:r>
    </w:p>
    <w:p w14:paraId="7604A23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137.</w:t>
      </w:r>
      <w:r w:rsidRPr="002D780B">
        <w:rPr>
          <w:rFonts w:cs="Times New Roman"/>
          <w:noProof/>
          <w:szCs w:val="24"/>
        </w:rPr>
        <w:tab/>
        <w:t xml:space="preserve">Jones-Lepp, T. L. Chemical markers of human waste contamination: Analysis of urobilin and pharmaceuticals in source waters. </w:t>
      </w:r>
      <w:r w:rsidRPr="002D780B">
        <w:rPr>
          <w:rFonts w:cs="Times New Roman"/>
          <w:i/>
          <w:iCs/>
          <w:noProof/>
          <w:szCs w:val="24"/>
        </w:rPr>
        <w:t>J. Environ. Monit.</w:t>
      </w:r>
      <w:r w:rsidRPr="002D780B">
        <w:rPr>
          <w:rFonts w:cs="Times New Roman"/>
          <w:noProof/>
          <w:szCs w:val="24"/>
        </w:rPr>
        <w:t xml:space="preserve"> </w:t>
      </w:r>
      <w:r w:rsidRPr="002D780B">
        <w:rPr>
          <w:rFonts w:cs="Times New Roman"/>
          <w:b/>
          <w:bCs/>
          <w:noProof/>
          <w:szCs w:val="24"/>
        </w:rPr>
        <w:t>8</w:t>
      </w:r>
      <w:r w:rsidRPr="002D780B">
        <w:rPr>
          <w:rFonts w:cs="Times New Roman"/>
          <w:noProof/>
          <w:szCs w:val="24"/>
        </w:rPr>
        <w:t>, 472–478 (2006).</w:t>
      </w:r>
    </w:p>
    <w:p w14:paraId="2ACFA5B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138.</w:t>
      </w:r>
      <w:r w:rsidRPr="002D780B">
        <w:rPr>
          <w:rFonts w:cs="Times New Roman"/>
          <w:noProof/>
          <w:szCs w:val="24"/>
        </w:rPr>
        <w:tab/>
        <w:t xml:space="preserve">Cao, H., Huang, H., Xu, W., Chen, D., Yu, J., Li, J. &amp; Li, L. Fecal metabolome profiling of liver cirrhosis and hepatocellular carcinoma patients by ultra performance liquid chromatography-mass spectrometry. </w:t>
      </w:r>
      <w:r w:rsidRPr="002D780B">
        <w:rPr>
          <w:rFonts w:cs="Times New Roman"/>
          <w:i/>
          <w:iCs/>
          <w:noProof/>
          <w:szCs w:val="24"/>
        </w:rPr>
        <w:t>Anal. Chim. Acta</w:t>
      </w:r>
      <w:r w:rsidRPr="002D780B">
        <w:rPr>
          <w:rFonts w:cs="Times New Roman"/>
          <w:noProof/>
          <w:szCs w:val="24"/>
        </w:rPr>
        <w:t xml:space="preserve"> </w:t>
      </w:r>
      <w:r w:rsidRPr="002D780B">
        <w:rPr>
          <w:rFonts w:cs="Times New Roman"/>
          <w:b/>
          <w:bCs/>
          <w:noProof/>
          <w:szCs w:val="24"/>
        </w:rPr>
        <w:t>691</w:t>
      </w:r>
      <w:r w:rsidRPr="002D780B">
        <w:rPr>
          <w:rFonts w:cs="Times New Roman"/>
          <w:noProof/>
          <w:szCs w:val="24"/>
        </w:rPr>
        <w:t>, 68–75 (2011).</w:t>
      </w:r>
    </w:p>
    <w:p w14:paraId="7B145A6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139.</w:t>
      </w:r>
      <w:r w:rsidRPr="002D780B">
        <w:rPr>
          <w:rFonts w:cs="Times New Roman"/>
          <w:noProof/>
          <w:szCs w:val="24"/>
        </w:rPr>
        <w:tab/>
        <w:t xml:space="preserve">Jarmusch, A. K., Wang, M., Aceves, C. M., Advani, R. S., Aguire, S., Aksenov, A. A., Aleti, G., Aron, A. T., Bauermeister, A., Bolleddu, S., Bouslimani, A., Rodriguez, A. M. C., Chaar, R., Coras, R., Elijah, E. O., Ernst, M., Gauglitz, J. M., Gentry, E. C., Husband, M., Jarmusch, S. A., Jones, K. L., Kamenik, Z., Gouellec, A. Le, Lu, A., McCall, L.-I., </w:t>
      </w:r>
      <w:r w:rsidRPr="002D780B">
        <w:rPr>
          <w:rFonts w:cs="Times New Roman"/>
          <w:noProof/>
          <w:szCs w:val="24"/>
        </w:rPr>
        <w:lastRenderedPageBreak/>
        <w:t xml:space="preserve">McPhail, K. L., Meehan, M. J., Melnik, A. V., Menezes, R. C., Giraldo, Y. A. M., Nguyen, N. H., Nothias, L. F., Nothias-Esposito, M., Panitchpakdi, M., Petras, D., Quinn, R., Sikora, N., Hooft, J. J. J. van der, Vargas, F., Vrbanac, A., Weldon, K., Knight, R., Bandeira, N. &amp; Dorrestein, P. C. Repository-scale Co- and Re-analysis of Tandem Mass Spectrometry Data. </w:t>
      </w:r>
      <w:r w:rsidRPr="002D780B">
        <w:rPr>
          <w:rFonts w:cs="Times New Roman"/>
          <w:i/>
          <w:iCs/>
          <w:noProof/>
          <w:szCs w:val="24"/>
        </w:rPr>
        <w:t>bioRxiv</w:t>
      </w:r>
      <w:r w:rsidRPr="002D780B">
        <w:rPr>
          <w:rFonts w:cs="Times New Roman"/>
          <w:noProof/>
          <w:szCs w:val="24"/>
        </w:rPr>
        <w:t xml:space="preserve"> 750471 (2019) doi:10.1101/750471.</w:t>
      </w:r>
    </w:p>
    <w:p w14:paraId="56DE13B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140.</w:t>
      </w:r>
      <w:r w:rsidRPr="002D780B">
        <w:rPr>
          <w:rFonts w:cs="Times New Roman"/>
          <w:noProof/>
          <w:szCs w:val="24"/>
        </w:rPr>
        <w:tab/>
        <w:t xml:space="preserve">Hill, M. J. The effect of some factors on the faecal concentration of acid steroids, neutral steroids and urobilins. </w:t>
      </w:r>
      <w:r w:rsidRPr="002D780B">
        <w:rPr>
          <w:rFonts w:cs="Times New Roman"/>
          <w:i/>
          <w:iCs/>
          <w:noProof/>
          <w:szCs w:val="24"/>
        </w:rPr>
        <w:t>J. Pathol.</w:t>
      </w:r>
      <w:r w:rsidRPr="002D780B">
        <w:rPr>
          <w:rFonts w:cs="Times New Roman"/>
          <w:noProof/>
          <w:szCs w:val="24"/>
        </w:rPr>
        <w:t xml:space="preserve"> </w:t>
      </w:r>
      <w:r w:rsidRPr="002D780B">
        <w:rPr>
          <w:rFonts w:cs="Times New Roman"/>
          <w:b/>
          <w:bCs/>
          <w:noProof/>
          <w:szCs w:val="24"/>
        </w:rPr>
        <w:t>104</w:t>
      </w:r>
      <w:r w:rsidRPr="002D780B">
        <w:rPr>
          <w:rFonts w:cs="Times New Roman"/>
          <w:noProof/>
          <w:szCs w:val="24"/>
        </w:rPr>
        <w:t>, 239–245 (1971).</w:t>
      </w:r>
    </w:p>
    <w:p w14:paraId="20A720B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141.</w:t>
      </w:r>
      <w:r w:rsidRPr="002D780B">
        <w:rPr>
          <w:rFonts w:cs="Times New Roman"/>
          <w:noProof/>
          <w:szCs w:val="24"/>
        </w:rPr>
        <w:tab/>
        <w:t xml:space="preserve">Jain, A., Li, X. H. &amp; Chen, W. N. An untargeted fecal and urine metabolomics analysis of the interplay between the gut microbiome, diet and human metabolism in Indian and Chinese adults. </w:t>
      </w:r>
      <w:r w:rsidRPr="002D780B">
        <w:rPr>
          <w:rFonts w:cs="Times New Roman"/>
          <w:i/>
          <w:iCs/>
          <w:noProof/>
          <w:szCs w:val="24"/>
        </w:rPr>
        <w:t>Sci. Rep.</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1–13 (2019).</w:t>
      </w:r>
    </w:p>
    <w:p w14:paraId="469F8A3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142.</w:t>
      </w:r>
      <w:r w:rsidRPr="002D780B">
        <w:rPr>
          <w:rFonts w:cs="Times New Roman"/>
          <w:noProof/>
          <w:szCs w:val="24"/>
        </w:rPr>
        <w:tab/>
        <w:t xml:space="preserve">Requena, T., Martínez-Cuesta, M. C. &amp; Peláez, C. Diet and microbiota linked in health and disease. </w:t>
      </w:r>
      <w:r w:rsidRPr="002D780B">
        <w:rPr>
          <w:rFonts w:cs="Times New Roman"/>
          <w:i/>
          <w:iCs/>
          <w:noProof/>
          <w:szCs w:val="24"/>
        </w:rPr>
        <w:t>Food Funct.</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688–704 (2018).</w:t>
      </w:r>
    </w:p>
    <w:p w14:paraId="71852E9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143.</w:t>
      </w:r>
      <w:r w:rsidRPr="002D780B">
        <w:rPr>
          <w:rFonts w:cs="Times New Roman"/>
          <w:noProof/>
          <w:szCs w:val="24"/>
        </w:rPr>
        <w:tab/>
        <w:t xml:space="preserve">Tang, Z. Z., Chen, G., Hong, Q., Huang, S., Smith, H. M., Shah, R. D., Scholz, M. &amp; Ferguson, J. F. Multi-omic analysis of the microbiome and metabolome in healthy subjects reveals microbiome-dependent relationships between diet and metabolites. </w:t>
      </w:r>
      <w:r w:rsidRPr="002D780B">
        <w:rPr>
          <w:rFonts w:cs="Times New Roman"/>
          <w:i/>
          <w:iCs/>
          <w:noProof/>
          <w:szCs w:val="24"/>
        </w:rPr>
        <w:t>Front. Genet.</w:t>
      </w:r>
      <w:r w:rsidRPr="002D780B">
        <w:rPr>
          <w:rFonts w:cs="Times New Roman"/>
          <w:noProof/>
          <w:szCs w:val="24"/>
        </w:rPr>
        <w:t xml:space="preserve"> </w:t>
      </w:r>
      <w:r w:rsidRPr="002D780B">
        <w:rPr>
          <w:rFonts w:cs="Times New Roman"/>
          <w:b/>
          <w:bCs/>
          <w:noProof/>
          <w:szCs w:val="24"/>
        </w:rPr>
        <w:t>10</w:t>
      </w:r>
      <w:r w:rsidRPr="002D780B">
        <w:rPr>
          <w:rFonts w:cs="Times New Roman"/>
          <w:noProof/>
          <w:szCs w:val="24"/>
        </w:rPr>
        <w:t>, (2019).</w:t>
      </w:r>
    </w:p>
    <w:p w14:paraId="1D5A8C2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144.</w:t>
      </w:r>
      <w:r w:rsidRPr="002D780B">
        <w:rPr>
          <w:rFonts w:cs="Times New Roman"/>
          <w:noProof/>
          <w:szCs w:val="24"/>
        </w:rPr>
        <w:tab/>
        <w:t xml:space="preserve">Hoffmann, M. A., Nothias, L.-F., Ludwig, M., Fleischauer, M., Gentry, E. C., Witting, M., Dorrestein, P. C., Dührkop, K. &amp; Böcker, S. Assigning confidence to structural annotations from mass spectra with COSMIC. </w:t>
      </w:r>
      <w:r w:rsidRPr="002D780B">
        <w:rPr>
          <w:rFonts w:cs="Times New Roman"/>
          <w:i/>
          <w:iCs/>
          <w:noProof/>
          <w:szCs w:val="24"/>
        </w:rPr>
        <w:t>bioRxiv</w:t>
      </w:r>
      <w:r w:rsidRPr="002D780B">
        <w:rPr>
          <w:rFonts w:cs="Times New Roman"/>
          <w:noProof/>
          <w:szCs w:val="24"/>
        </w:rPr>
        <w:t xml:space="preserve"> 2021.03.18.435634 (2021).</w:t>
      </w:r>
    </w:p>
    <w:p w14:paraId="35BEF6A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145.</w:t>
      </w:r>
      <w:r w:rsidRPr="002D780B">
        <w:rPr>
          <w:rFonts w:cs="Times New Roman"/>
          <w:noProof/>
          <w:szCs w:val="24"/>
        </w:rPr>
        <w:tab/>
        <w:t xml:space="preserve">Segata, N. Gut Microbiome: Westernization and the Disappearance of Intestinal Diversity. </w:t>
      </w:r>
      <w:r w:rsidRPr="002D780B">
        <w:rPr>
          <w:rFonts w:cs="Times New Roman"/>
          <w:i/>
          <w:iCs/>
          <w:noProof/>
          <w:szCs w:val="24"/>
        </w:rPr>
        <w:t>Curr. Biol.</w:t>
      </w:r>
      <w:r w:rsidRPr="002D780B">
        <w:rPr>
          <w:rFonts w:cs="Times New Roman"/>
          <w:noProof/>
          <w:szCs w:val="24"/>
        </w:rPr>
        <w:t xml:space="preserve"> </w:t>
      </w:r>
      <w:r w:rsidRPr="002D780B">
        <w:rPr>
          <w:rFonts w:cs="Times New Roman"/>
          <w:b/>
          <w:bCs/>
          <w:noProof/>
          <w:szCs w:val="24"/>
        </w:rPr>
        <w:t>25</w:t>
      </w:r>
      <w:r w:rsidRPr="002D780B">
        <w:rPr>
          <w:rFonts w:cs="Times New Roman"/>
          <w:noProof/>
          <w:szCs w:val="24"/>
        </w:rPr>
        <w:t>, R611–R613 (2015).</w:t>
      </w:r>
    </w:p>
    <w:p w14:paraId="7A0939A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146.</w:t>
      </w:r>
      <w:r w:rsidRPr="002D780B">
        <w:rPr>
          <w:rFonts w:cs="Times New Roman"/>
          <w:noProof/>
          <w:szCs w:val="24"/>
        </w:rPr>
        <w:tab/>
        <w:t xml:space="preserve">Katajamaa, M. &amp; Orešič, M. Processing methods for differential analysis of LC/MS profile data. </w:t>
      </w:r>
      <w:r w:rsidRPr="002D780B">
        <w:rPr>
          <w:rFonts w:cs="Times New Roman"/>
          <w:i/>
          <w:iCs/>
          <w:noProof/>
          <w:szCs w:val="24"/>
        </w:rPr>
        <w:t>BMC Bioinformatics</w:t>
      </w:r>
      <w:r w:rsidRPr="002D780B">
        <w:rPr>
          <w:rFonts w:cs="Times New Roman"/>
          <w:noProof/>
          <w:szCs w:val="24"/>
        </w:rPr>
        <w:t xml:space="preserve"> </w:t>
      </w:r>
      <w:r w:rsidRPr="002D780B">
        <w:rPr>
          <w:rFonts w:cs="Times New Roman"/>
          <w:b/>
          <w:bCs/>
          <w:noProof/>
          <w:szCs w:val="24"/>
        </w:rPr>
        <w:t>6</w:t>
      </w:r>
      <w:r w:rsidRPr="002D780B">
        <w:rPr>
          <w:rFonts w:cs="Times New Roman"/>
          <w:noProof/>
          <w:szCs w:val="24"/>
        </w:rPr>
        <w:t>, (2005).</w:t>
      </w:r>
    </w:p>
    <w:p w14:paraId="4EF4FB4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147.</w:t>
      </w:r>
      <w:r w:rsidRPr="002D780B">
        <w:rPr>
          <w:rFonts w:cs="Times New Roman"/>
          <w:noProof/>
          <w:szCs w:val="24"/>
        </w:rPr>
        <w:tab/>
        <w:t xml:space="preserve">Pluskal, T., Korf, A., Smirnov, A., Schmid, R., Fallon, T. R., Du, X. &amp; Weng, J. K. Chapter 7: Metabolomics Data Analysis Using MZmine. in </w:t>
      </w:r>
      <w:r w:rsidRPr="002D780B">
        <w:rPr>
          <w:rFonts w:cs="Times New Roman"/>
          <w:i/>
          <w:iCs/>
          <w:noProof/>
          <w:szCs w:val="24"/>
        </w:rPr>
        <w:t>Processing Metabolomics and Proteomics Data with Open Software</w:t>
      </w:r>
      <w:r w:rsidRPr="002D780B">
        <w:rPr>
          <w:rFonts w:cs="Times New Roman"/>
          <w:noProof/>
          <w:szCs w:val="24"/>
        </w:rPr>
        <w:t xml:space="preserve"> 232–254 (The Royal Society of Chemistry, 2020). doi:10.1039/9781788019880-00232.</w:t>
      </w:r>
    </w:p>
    <w:p w14:paraId="2759B82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148.</w:t>
      </w:r>
      <w:r w:rsidRPr="002D780B">
        <w:rPr>
          <w:rFonts w:cs="Times New Roman"/>
          <w:noProof/>
          <w:szCs w:val="24"/>
        </w:rPr>
        <w:tab/>
        <w:t xml:space="preserve">Chiang, J. Y. L. Bile acid metabolism and signaling in liver disease and therapy. </w:t>
      </w:r>
      <w:r w:rsidRPr="002D780B">
        <w:rPr>
          <w:rFonts w:cs="Times New Roman"/>
          <w:i/>
          <w:iCs/>
          <w:noProof/>
          <w:szCs w:val="24"/>
        </w:rPr>
        <w:t>Liver Res.</w:t>
      </w:r>
      <w:r w:rsidRPr="002D780B">
        <w:rPr>
          <w:rFonts w:cs="Times New Roman"/>
          <w:noProof/>
          <w:szCs w:val="24"/>
        </w:rPr>
        <w:t xml:space="preserve"> </w:t>
      </w:r>
      <w:r w:rsidRPr="002D780B">
        <w:rPr>
          <w:rFonts w:cs="Times New Roman"/>
          <w:b/>
          <w:bCs/>
          <w:noProof/>
          <w:szCs w:val="24"/>
        </w:rPr>
        <w:t>1</w:t>
      </w:r>
      <w:r w:rsidRPr="002D780B">
        <w:rPr>
          <w:rFonts w:cs="Times New Roman"/>
          <w:noProof/>
          <w:szCs w:val="24"/>
        </w:rPr>
        <w:t>, 3–9 (2017).</w:t>
      </w:r>
    </w:p>
    <w:p w14:paraId="37F986D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149.</w:t>
      </w:r>
      <w:r w:rsidRPr="002D780B">
        <w:rPr>
          <w:rFonts w:cs="Times New Roman"/>
          <w:noProof/>
          <w:szCs w:val="24"/>
        </w:rPr>
        <w:tab/>
        <w:t xml:space="preserve">Ridlon, J. M., Kang, D. J. &amp; Hylemon, P. B. Bile salt biotransformations by human intestinal bacteria. </w:t>
      </w:r>
      <w:r w:rsidRPr="002D780B">
        <w:rPr>
          <w:rFonts w:cs="Times New Roman"/>
          <w:i/>
          <w:iCs/>
          <w:noProof/>
          <w:szCs w:val="24"/>
        </w:rPr>
        <w:t>J. Lipid Res.</w:t>
      </w:r>
      <w:r w:rsidRPr="002D780B">
        <w:rPr>
          <w:rFonts w:cs="Times New Roman"/>
          <w:noProof/>
          <w:szCs w:val="24"/>
        </w:rPr>
        <w:t xml:space="preserve"> </w:t>
      </w:r>
      <w:r w:rsidRPr="002D780B">
        <w:rPr>
          <w:rFonts w:cs="Times New Roman"/>
          <w:b/>
          <w:bCs/>
          <w:noProof/>
          <w:szCs w:val="24"/>
        </w:rPr>
        <w:t>47</w:t>
      </w:r>
      <w:r w:rsidRPr="002D780B">
        <w:rPr>
          <w:rFonts w:cs="Times New Roman"/>
          <w:noProof/>
          <w:szCs w:val="24"/>
        </w:rPr>
        <w:t>, 241–259 (2006).</w:t>
      </w:r>
    </w:p>
    <w:p w14:paraId="7AB65FB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150.</w:t>
      </w:r>
      <w:r w:rsidRPr="002D780B">
        <w:rPr>
          <w:rFonts w:cs="Times New Roman"/>
          <w:noProof/>
          <w:szCs w:val="24"/>
        </w:rPr>
        <w:tab/>
        <w:t xml:space="preserve">Chickos, J. S., Way, B. A., Wilson, J., Shaharuzzaman, M., Laird, J. &amp; Landt, M. Analysis of 3-hydroxydodecanedioic acid for studies of fatty acid metabolic disorders: Preparation of stable isotope standards. </w:t>
      </w:r>
      <w:r w:rsidRPr="002D780B">
        <w:rPr>
          <w:rFonts w:cs="Times New Roman"/>
          <w:i/>
          <w:iCs/>
          <w:noProof/>
          <w:szCs w:val="24"/>
        </w:rPr>
        <w:t>J. Clin. Lab. Anal.</w:t>
      </w:r>
      <w:r w:rsidRPr="002D780B">
        <w:rPr>
          <w:rFonts w:cs="Times New Roman"/>
          <w:noProof/>
          <w:szCs w:val="24"/>
        </w:rPr>
        <w:t xml:space="preserve"> </w:t>
      </w:r>
      <w:r w:rsidRPr="002D780B">
        <w:rPr>
          <w:rFonts w:cs="Times New Roman"/>
          <w:b/>
          <w:bCs/>
          <w:noProof/>
          <w:szCs w:val="24"/>
        </w:rPr>
        <w:t>16</w:t>
      </w:r>
      <w:r w:rsidRPr="002D780B">
        <w:rPr>
          <w:rFonts w:cs="Times New Roman"/>
          <w:noProof/>
          <w:szCs w:val="24"/>
        </w:rPr>
        <w:t>, 115–120 (2002).</w:t>
      </w:r>
    </w:p>
    <w:p w14:paraId="41839EA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151.</w:t>
      </w:r>
      <w:r w:rsidRPr="002D780B">
        <w:rPr>
          <w:rFonts w:cs="Times New Roman"/>
          <w:noProof/>
          <w:szCs w:val="24"/>
        </w:rPr>
        <w:tab/>
        <w:t xml:space="preserve">Ktsoyan, Z. A., Beloborodova, N. V., Sedrakyan, A. M., Osipov, G. A., Khachatryan, Z. A., Kelly, D., Manukyan, G. P., Arakelova, K. A., Hovhannisyan, A. I., Olenin, A. Y., Arakelyan, A. A., Ghazaryan, K. A. &amp; Aminov, R. I. Profiles of microbial fatty acids in the human metabolome are disease-specific. </w:t>
      </w:r>
      <w:r w:rsidRPr="002D780B">
        <w:rPr>
          <w:rFonts w:cs="Times New Roman"/>
          <w:i/>
          <w:iCs/>
          <w:noProof/>
          <w:szCs w:val="24"/>
        </w:rPr>
        <w:t>Front. Microbiol.</w:t>
      </w:r>
      <w:r w:rsidRPr="002D780B">
        <w:rPr>
          <w:rFonts w:cs="Times New Roman"/>
          <w:noProof/>
          <w:szCs w:val="24"/>
        </w:rPr>
        <w:t xml:space="preserve"> </w:t>
      </w:r>
      <w:r w:rsidRPr="002D780B">
        <w:rPr>
          <w:rFonts w:cs="Times New Roman"/>
          <w:b/>
          <w:bCs/>
          <w:noProof/>
          <w:szCs w:val="24"/>
        </w:rPr>
        <w:t>1</w:t>
      </w:r>
      <w:r w:rsidRPr="002D780B">
        <w:rPr>
          <w:rFonts w:cs="Times New Roman"/>
          <w:noProof/>
          <w:szCs w:val="24"/>
        </w:rPr>
        <w:t>, 1–9 (2011).</w:t>
      </w:r>
    </w:p>
    <w:p w14:paraId="7169D06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152.</w:t>
      </w:r>
      <w:r w:rsidRPr="002D780B">
        <w:rPr>
          <w:rFonts w:cs="Times New Roman"/>
          <w:noProof/>
          <w:szCs w:val="24"/>
        </w:rPr>
        <w:tab/>
        <w:t xml:space="preserve">Ogunleye, A., Fakoya, A. T., Niizeki, S., Tojo, H., Sasajima, I., Kobayashi, M., Tateishi, S. &amp; Yamaguchi, K. Fatty Acid Composition of Breast Milk from Nigerian and Japanese Women. </w:t>
      </w:r>
      <w:r w:rsidRPr="002D780B">
        <w:rPr>
          <w:rFonts w:cs="Times New Roman"/>
          <w:i/>
          <w:iCs/>
          <w:noProof/>
          <w:szCs w:val="24"/>
        </w:rPr>
        <w:t>J. Nutr. Sci. Vitaminol. (Tokyo).</w:t>
      </w:r>
      <w:r w:rsidRPr="002D780B">
        <w:rPr>
          <w:rFonts w:cs="Times New Roman"/>
          <w:noProof/>
          <w:szCs w:val="24"/>
        </w:rPr>
        <w:t xml:space="preserve"> </w:t>
      </w:r>
      <w:r w:rsidRPr="002D780B">
        <w:rPr>
          <w:rFonts w:cs="Times New Roman"/>
          <w:b/>
          <w:bCs/>
          <w:noProof/>
          <w:szCs w:val="24"/>
        </w:rPr>
        <w:t>37</w:t>
      </w:r>
      <w:r w:rsidRPr="002D780B">
        <w:rPr>
          <w:rFonts w:cs="Times New Roman"/>
          <w:noProof/>
          <w:szCs w:val="24"/>
        </w:rPr>
        <w:t>, 435–442 (1991).</w:t>
      </w:r>
    </w:p>
    <w:p w14:paraId="036D86B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153.</w:t>
      </w:r>
      <w:r w:rsidRPr="002D780B">
        <w:rPr>
          <w:rFonts w:cs="Times New Roman"/>
          <w:noProof/>
          <w:szCs w:val="24"/>
        </w:rPr>
        <w:tab/>
        <w:t xml:space="preserve">Ozalp, A., Barroso, B., Meijer, J. &amp; van den Beld, C. Determination of methionine-enkephalin and leucine-enkephalin by LC-MS in human plasma: Study of pre-analytical stability. </w:t>
      </w:r>
      <w:r w:rsidRPr="002D780B">
        <w:rPr>
          <w:rFonts w:cs="Times New Roman"/>
          <w:i/>
          <w:iCs/>
          <w:noProof/>
          <w:szCs w:val="24"/>
        </w:rPr>
        <w:t>Anal. Biochem.</w:t>
      </w:r>
      <w:r w:rsidRPr="002D780B">
        <w:rPr>
          <w:rFonts w:cs="Times New Roman"/>
          <w:noProof/>
          <w:szCs w:val="24"/>
        </w:rPr>
        <w:t xml:space="preserve"> </w:t>
      </w:r>
      <w:r w:rsidRPr="002D780B">
        <w:rPr>
          <w:rFonts w:cs="Times New Roman"/>
          <w:b/>
          <w:bCs/>
          <w:noProof/>
          <w:szCs w:val="24"/>
        </w:rPr>
        <w:t>559</w:t>
      </w:r>
      <w:r w:rsidRPr="002D780B">
        <w:rPr>
          <w:rFonts w:cs="Times New Roman"/>
          <w:noProof/>
          <w:szCs w:val="24"/>
        </w:rPr>
        <w:t>, 24–29 (2018).</w:t>
      </w:r>
    </w:p>
    <w:p w14:paraId="1BD5FF6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154.</w:t>
      </w:r>
      <w:r w:rsidRPr="002D780B">
        <w:rPr>
          <w:rFonts w:cs="Times New Roman"/>
          <w:noProof/>
          <w:szCs w:val="24"/>
        </w:rPr>
        <w:tab/>
        <w:t xml:space="preserve">Gloor, G. B., Macklaim, J. M., Pawlowsky-Glahn, V. &amp; Egozcue, J. J. Microbiome datasets are compositional: And this is not optional. </w:t>
      </w:r>
      <w:r w:rsidRPr="002D780B">
        <w:rPr>
          <w:rFonts w:cs="Times New Roman"/>
          <w:i/>
          <w:iCs/>
          <w:noProof/>
          <w:szCs w:val="24"/>
        </w:rPr>
        <w:t>Front. Microbiol.</w:t>
      </w:r>
      <w:r w:rsidRPr="002D780B">
        <w:rPr>
          <w:rFonts w:cs="Times New Roman"/>
          <w:noProof/>
          <w:szCs w:val="24"/>
        </w:rPr>
        <w:t xml:space="preserve"> </w:t>
      </w:r>
      <w:r w:rsidRPr="002D780B">
        <w:rPr>
          <w:rFonts w:cs="Times New Roman"/>
          <w:b/>
          <w:bCs/>
          <w:noProof/>
          <w:szCs w:val="24"/>
        </w:rPr>
        <w:t>8</w:t>
      </w:r>
      <w:r w:rsidRPr="002D780B">
        <w:rPr>
          <w:rFonts w:cs="Times New Roman"/>
          <w:noProof/>
          <w:szCs w:val="24"/>
        </w:rPr>
        <w:t>, 1–6 (2017).</w:t>
      </w:r>
    </w:p>
    <w:p w14:paraId="7BB42C5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lastRenderedPageBreak/>
        <w:t>155.</w:t>
      </w:r>
      <w:r w:rsidRPr="002D780B">
        <w:rPr>
          <w:rFonts w:cs="Times New Roman"/>
          <w:noProof/>
          <w:szCs w:val="24"/>
        </w:rPr>
        <w:tab/>
        <w:t xml:space="preserve">Kalivodová, A., Hron, K., Filzmoser, P., Najdekr, L., Janečková, H. &amp; Adam, T. PLS-DA for compositional data with application to metabolomics. </w:t>
      </w:r>
      <w:r w:rsidRPr="002D780B">
        <w:rPr>
          <w:rFonts w:cs="Times New Roman"/>
          <w:i/>
          <w:iCs/>
          <w:noProof/>
          <w:szCs w:val="24"/>
        </w:rPr>
        <w:t>J. Chemom.</w:t>
      </w:r>
      <w:r w:rsidRPr="002D780B">
        <w:rPr>
          <w:rFonts w:cs="Times New Roman"/>
          <w:noProof/>
          <w:szCs w:val="24"/>
        </w:rPr>
        <w:t xml:space="preserve"> </w:t>
      </w:r>
      <w:r w:rsidRPr="002D780B">
        <w:rPr>
          <w:rFonts w:cs="Times New Roman"/>
          <w:b/>
          <w:bCs/>
          <w:noProof/>
          <w:szCs w:val="24"/>
        </w:rPr>
        <w:t>29</w:t>
      </w:r>
      <w:r w:rsidRPr="002D780B">
        <w:rPr>
          <w:rFonts w:cs="Times New Roman"/>
          <w:noProof/>
          <w:szCs w:val="24"/>
        </w:rPr>
        <w:t>, 21–28 (2015).</w:t>
      </w:r>
    </w:p>
    <w:p w14:paraId="4A15231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156.</w:t>
      </w:r>
      <w:r w:rsidRPr="002D780B">
        <w:rPr>
          <w:rFonts w:cs="Times New Roman"/>
          <w:noProof/>
          <w:szCs w:val="24"/>
        </w:rPr>
        <w:tab/>
        <w:t xml:space="preserve">Lewis, C. M., Obregón-Tito, A., Tito, R. Y., Foster, M. W. &amp; Spicer, P. G. The Human Microbiome Project: Lessons from human genomics. </w:t>
      </w:r>
      <w:r w:rsidRPr="002D780B">
        <w:rPr>
          <w:rFonts w:cs="Times New Roman"/>
          <w:i/>
          <w:iCs/>
          <w:noProof/>
          <w:szCs w:val="24"/>
        </w:rPr>
        <w:t>Trends Microbiol.</w:t>
      </w:r>
      <w:r w:rsidRPr="002D780B">
        <w:rPr>
          <w:rFonts w:cs="Times New Roman"/>
          <w:noProof/>
          <w:szCs w:val="24"/>
        </w:rPr>
        <w:t xml:space="preserve"> </w:t>
      </w:r>
      <w:r w:rsidRPr="002D780B">
        <w:rPr>
          <w:rFonts w:cs="Times New Roman"/>
          <w:b/>
          <w:bCs/>
          <w:noProof/>
          <w:szCs w:val="24"/>
        </w:rPr>
        <w:t>20</w:t>
      </w:r>
      <w:r w:rsidRPr="002D780B">
        <w:rPr>
          <w:rFonts w:cs="Times New Roman"/>
          <w:noProof/>
          <w:szCs w:val="24"/>
        </w:rPr>
        <w:t>, 1–4 (2012).</w:t>
      </w:r>
    </w:p>
    <w:p w14:paraId="27EF6F4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157.</w:t>
      </w:r>
      <w:r w:rsidRPr="002D780B">
        <w:rPr>
          <w:rFonts w:cs="Times New Roman"/>
          <w:noProof/>
          <w:szCs w:val="24"/>
        </w:rPr>
        <w:tab/>
        <w:t xml:space="preserve">Makki, K., Deehan, E. C., Walter, J. &amp; Bäckhed, F. The Impact of Dietary Fiber on Gut Microbiota in Host Health and Disease. </w:t>
      </w:r>
      <w:r w:rsidRPr="002D780B">
        <w:rPr>
          <w:rFonts w:cs="Times New Roman"/>
          <w:i/>
          <w:iCs/>
          <w:noProof/>
          <w:szCs w:val="24"/>
        </w:rPr>
        <w:t>Cell Host Microbe</w:t>
      </w:r>
      <w:r w:rsidRPr="002D780B">
        <w:rPr>
          <w:rFonts w:cs="Times New Roman"/>
          <w:noProof/>
          <w:szCs w:val="24"/>
        </w:rPr>
        <w:t xml:space="preserve"> </w:t>
      </w:r>
      <w:r w:rsidRPr="002D780B">
        <w:rPr>
          <w:rFonts w:cs="Times New Roman"/>
          <w:b/>
          <w:bCs/>
          <w:noProof/>
          <w:szCs w:val="24"/>
        </w:rPr>
        <w:t>23</w:t>
      </w:r>
      <w:r w:rsidRPr="002D780B">
        <w:rPr>
          <w:rFonts w:cs="Times New Roman"/>
          <w:noProof/>
          <w:szCs w:val="24"/>
        </w:rPr>
        <w:t>, 705–715 (2018).</w:t>
      </w:r>
    </w:p>
    <w:p w14:paraId="278D262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158.</w:t>
      </w:r>
      <w:r w:rsidRPr="002D780B">
        <w:rPr>
          <w:rFonts w:cs="Times New Roman"/>
          <w:noProof/>
          <w:szCs w:val="24"/>
        </w:rPr>
        <w:tab/>
        <w:t xml:space="preserve">Mishra, S. P., Karunakar, P., Taraphder, S. &amp; Yadav, H. Free Fatty Acid Receptors 2 and 3 as Microbial Metabolite Sensors to Shape Host Health: Pharmacophysiological View. </w:t>
      </w:r>
      <w:r w:rsidRPr="002D780B">
        <w:rPr>
          <w:rFonts w:cs="Times New Roman"/>
          <w:i/>
          <w:iCs/>
          <w:noProof/>
          <w:szCs w:val="24"/>
        </w:rPr>
        <w:t>Biomedicines</w:t>
      </w:r>
      <w:r w:rsidRPr="002D780B">
        <w:rPr>
          <w:rFonts w:cs="Times New Roman"/>
          <w:noProof/>
          <w:szCs w:val="24"/>
        </w:rPr>
        <w:t xml:space="preserve"> </w:t>
      </w:r>
      <w:r w:rsidRPr="002D780B">
        <w:rPr>
          <w:rFonts w:cs="Times New Roman"/>
          <w:b/>
          <w:bCs/>
          <w:noProof/>
          <w:szCs w:val="24"/>
        </w:rPr>
        <w:t>8</w:t>
      </w:r>
      <w:r w:rsidRPr="002D780B">
        <w:rPr>
          <w:rFonts w:cs="Times New Roman"/>
          <w:noProof/>
          <w:szCs w:val="24"/>
        </w:rPr>
        <w:t>, 1–45 (2020).</w:t>
      </w:r>
    </w:p>
    <w:p w14:paraId="6CFC74F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159.</w:t>
      </w:r>
      <w:r w:rsidRPr="002D780B">
        <w:rPr>
          <w:rFonts w:cs="Times New Roman"/>
          <w:noProof/>
          <w:szCs w:val="24"/>
        </w:rPr>
        <w:tab/>
        <w:t xml:space="preserve">Ridaura, V. K., Faith, J. J., Rey, F. E., Cheng, J., Duncan, A. E., Kau, L., Griffi, N. W., Lombard, V., Henrissat, B., Bain, J. R., Michael, J., Ilkayeva, O., Semenkovich, C. F., Funai, K., Hayashi, D. K., Lyle, J., Martini, M. C., Ursell, L. K., Clemente, J. C., Treuren, W. Van, William, A., Knight, R., Newgard, C. B., Heath, A. C., Gordon, J. I., Ridaura, V. K., Faith, J. J., Rey, F. E., Cheng, J., Duncan, A. E., Kau, A. L., Griffin, N. W., Lombard, V., Henrissat, B., Bain, J. R., Muehlbauer, M. J., Ilkayeva, O., Semenkovich, C. F., Funai, K., Hayashi, D. K., Lyle, B. J., Martini, M. C., Ursell, L. K., Clemente, J. C., Van Treuren, W., Walters, W. A., Knight, R., Newgard, C. B., Heath, A. C. &amp; Gordon, J. I. Gut Microbiota from Twins Discordant for Obesity Modulate Metabolism in Mice Gut Microbiota from Twins Metabolism in Mice. </w:t>
      </w:r>
      <w:r w:rsidRPr="002D780B">
        <w:rPr>
          <w:rFonts w:cs="Times New Roman"/>
          <w:i/>
          <w:iCs/>
          <w:noProof/>
          <w:szCs w:val="24"/>
        </w:rPr>
        <w:t>Science (80-. ).</w:t>
      </w:r>
      <w:r w:rsidRPr="002D780B">
        <w:rPr>
          <w:rFonts w:cs="Times New Roman"/>
          <w:noProof/>
          <w:szCs w:val="24"/>
        </w:rPr>
        <w:t xml:space="preserve"> </w:t>
      </w:r>
      <w:r w:rsidRPr="002D780B">
        <w:rPr>
          <w:rFonts w:cs="Times New Roman"/>
          <w:b/>
          <w:bCs/>
          <w:noProof/>
          <w:szCs w:val="24"/>
        </w:rPr>
        <w:t>341</w:t>
      </w:r>
      <w:r w:rsidRPr="002D780B">
        <w:rPr>
          <w:rFonts w:cs="Times New Roman"/>
          <w:noProof/>
          <w:szCs w:val="24"/>
        </w:rPr>
        <w:t>, 1241214-1–9 (2013).</w:t>
      </w:r>
    </w:p>
    <w:p w14:paraId="2C1FEB5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160.</w:t>
      </w:r>
      <w:r w:rsidRPr="002D780B">
        <w:rPr>
          <w:rFonts w:cs="Times New Roman"/>
          <w:noProof/>
          <w:szCs w:val="24"/>
        </w:rPr>
        <w:tab/>
        <w:t xml:space="preserve">Cao, Y., Aquino-martinez, R., Hutchison, E., Allayee, H., Lusis, A. J. &amp; Rey, F. E. Role of gut microbe-derived metabolites in cardiometabolic diseases: Systems based approach. </w:t>
      </w:r>
      <w:r w:rsidRPr="002D780B">
        <w:rPr>
          <w:rFonts w:cs="Times New Roman"/>
          <w:i/>
          <w:iCs/>
          <w:noProof/>
          <w:szCs w:val="24"/>
        </w:rPr>
        <w:t>Mol. Metab.</w:t>
      </w:r>
      <w:r w:rsidRPr="002D780B">
        <w:rPr>
          <w:rFonts w:cs="Times New Roman"/>
          <w:noProof/>
          <w:szCs w:val="24"/>
        </w:rPr>
        <w:t xml:space="preserve"> 101557 (2022) doi:10.1016/j.molmet.2022.101557.</w:t>
      </w:r>
    </w:p>
    <w:p w14:paraId="5F93564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161.</w:t>
      </w:r>
      <w:r w:rsidRPr="002D780B">
        <w:rPr>
          <w:rFonts w:cs="Times New Roman"/>
          <w:noProof/>
          <w:szCs w:val="24"/>
        </w:rPr>
        <w:tab/>
        <w:t xml:space="preserve">Anderson, J. W., Smith, B. M. &amp; Gustafson, N. J. Health benefits and practical of high-fiber diets. </w:t>
      </w:r>
      <w:r w:rsidRPr="002D780B">
        <w:rPr>
          <w:rFonts w:cs="Times New Roman"/>
          <w:i/>
          <w:iCs/>
          <w:noProof/>
          <w:szCs w:val="24"/>
        </w:rPr>
        <w:t>Am. J. Clin. Nutr.</w:t>
      </w:r>
      <w:r w:rsidRPr="002D780B">
        <w:rPr>
          <w:rFonts w:cs="Times New Roman"/>
          <w:noProof/>
          <w:szCs w:val="24"/>
        </w:rPr>
        <w:t xml:space="preserve"> </w:t>
      </w:r>
      <w:r w:rsidRPr="002D780B">
        <w:rPr>
          <w:rFonts w:cs="Times New Roman"/>
          <w:b/>
          <w:bCs/>
          <w:noProof/>
          <w:szCs w:val="24"/>
        </w:rPr>
        <w:t>59</w:t>
      </w:r>
      <w:r w:rsidRPr="002D780B">
        <w:rPr>
          <w:rFonts w:cs="Times New Roman"/>
          <w:noProof/>
          <w:szCs w:val="24"/>
        </w:rPr>
        <w:t>, 1242S-1247S (1994).</w:t>
      </w:r>
    </w:p>
    <w:p w14:paraId="326178B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162.</w:t>
      </w:r>
      <w:r w:rsidRPr="002D780B">
        <w:rPr>
          <w:rFonts w:cs="Times New Roman"/>
          <w:noProof/>
          <w:szCs w:val="24"/>
        </w:rPr>
        <w:tab/>
        <w:t xml:space="preserve">Câmara, C. R., Urrea, C. A. &amp; Schlegel, V. Pinto Beans (Phaseolus vulgaris L.) as a Functional Food: Implications on Human Health. </w:t>
      </w:r>
      <w:r w:rsidRPr="002D780B">
        <w:rPr>
          <w:rFonts w:cs="Times New Roman"/>
          <w:i/>
          <w:iCs/>
          <w:noProof/>
          <w:szCs w:val="24"/>
        </w:rPr>
        <w:t>Agriculture</w:t>
      </w:r>
      <w:r w:rsidRPr="002D780B">
        <w:rPr>
          <w:rFonts w:cs="Times New Roman"/>
          <w:noProof/>
          <w:szCs w:val="24"/>
        </w:rPr>
        <w:t xml:space="preserve"> </w:t>
      </w:r>
      <w:r w:rsidRPr="002D780B">
        <w:rPr>
          <w:rFonts w:cs="Times New Roman"/>
          <w:b/>
          <w:bCs/>
          <w:noProof/>
          <w:szCs w:val="24"/>
        </w:rPr>
        <w:t>3</w:t>
      </w:r>
      <w:r w:rsidRPr="002D780B">
        <w:rPr>
          <w:rFonts w:cs="Times New Roman"/>
          <w:noProof/>
          <w:szCs w:val="24"/>
        </w:rPr>
        <w:t>, 90–111 (2013).</w:t>
      </w:r>
    </w:p>
    <w:p w14:paraId="60611B0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163.</w:t>
      </w:r>
      <w:r w:rsidRPr="002D780B">
        <w:rPr>
          <w:rFonts w:cs="Times New Roman"/>
          <w:noProof/>
          <w:szCs w:val="24"/>
        </w:rPr>
        <w:tab/>
        <w:t xml:space="preserve">Gong, L., Wang, T., Sun, C., Wang, J. &amp; Sun, B. Whole barley prevents obesity and dyslipidemia without the involvement of the gut microbiota in germ free C57BL/6J obese mice. </w:t>
      </w:r>
      <w:r w:rsidRPr="002D780B">
        <w:rPr>
          <w:rFonts w:cs="Times New Roman"/>
          <w:i/>
          <w:iCs/>
          <w:noProof/>
          <w:szCs w:val="24"/>
        </w:rPr>
        <w:t>Food Funct.</w:t>
      </w:r>
      <w:r w:rsidRPr="002D780B">
        <w:rPr>
          <w:rFonts w:cs="Times New Roman"/>
          <w:noProof/>
          <w:szCs w:val="24"/>
        </w:rPr>
        <w:t xml:space="preserve"> </w:t>
      </w:r>
      <w:r w:rsidRPr="002D780B">
        <w:rPr>
          <w:rFonts w:cs="Times New Roman"/>
          <w:b/>
          <w:bCs/>
          <w:noProof/>
          <w:szCs w:val="24"/>
        </w:rPr>
        <w:t>10</w:t>
      </w:r>
      <w:r w:rsidRPr="002D780B">
        <w:rPr>
          <w:rFonts w:cs="Times New Roman"/>
          <w:noProof/>
          <w:szCs w:val="24"/>
        </w:rPr>
        <w:t>, 7498–7508 (2019).</w:t>
      </w:r>
    </w:p>
    <w:p w14:paraId="085618B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164.</w:t>
      </w:r>
      <w:r w:rsidRPr="002D780B">
        <w:rPr>
          <w:rFonts w:cs="Times New Roman"/>
          <w:noProof/>
          <w:szCs w:val="24"/>
        </w:rPr>
        <w:tab/>
        <w:t xml:space="preserve">Afshin, A., Micha, R., Khatibzadeh, S. &amp; Mozaffarian, D. Consumption of nuts and legumes and risk of incident ischemic heart disease, stroke, and diabetes: a systematic review and meta-analysis. </w:t>
      </w:r>
      <w:r w:rsidRPr="002D780B">
        <w:rPr>
          <w:rFonts w:cs="Times New Roman"/>
          <w:i/>
          <w:iCs/>
          <w:noProof/>
          <w:szCs w:val="24"/>
        </w:rPr>
        <w:t>Am. J. Clin. Nutr.</w:t>
      </w:r>
      <w:r w:rsidRPr="002D780B">
        <w:rPr>
          <w:rFonts w:cs="Times New Roman"/>
          <w:noProof/>
          <w:szCs w:val="24"/>
        </w:rPr>
        <w:t xml:space="preserve"> </w:t>
      </w:r>
      <w:r w:rsidRPr="002D780B">
        <w:rPr>
          <w:rFonts w:cs="Times New Roman"/>
          <w:b/>
          <w:bCs/>
          <w:noProof/>
          <w:szCs w:val="24"/>
        </w:rPr>
        <w:t>100</w:t>
      </w:r>
      <w:r w:rsidRPr="002D780B">
        <w:rPr>
          <w:rFonts w:cs="Times New Roman"/>
          <w:noProof/>
          <w:szCs w:val="24"/>
        </w:rPr>
        <w:t>, 278–288 (2014).</w:t>
      </w:r>
    </w:p>
    <w:p w14:paraId="69FEB0B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165.</w:t>
      </w:r>
      <w:r w:rsidRPr="002D780B">
        <w:rPr>
          <w:rFonts w:cs="Times New Roman"/>
          <w:noProof/>
          <w:szCs w:val="24"/>
        </w:rPr>
        <w:tab/>
        <w:t xml:space="preserve">Andersson, A., Tengblad, S., Karlstro, B., Kamal-eldin, A., Landberg, R., Basu, S., Per, Å. &amp; Vessby, B. Whole-Grain Foods Do Not Affect Insulin Sensitivity or Markers of Lipid Peroxidation and Inflammation in Healthy, Moderately Overweight Subjects. </w:t>
      </w:r>
      <w:r w:rsidRPr="002D780B">
        <w:rPr>
          <w:rFonts w:cs="Times New Roman"/>
          <w:i/>
          <w:iCs/>
          <w:noProof/>
          <w:szCs w:val="24"/>
        </w:rPr>
        <w:t>J. Nutr.</w:t>
      </w:r>
      <w:r w:rsidRPr="002D780B">
        <w:rPr>
          <w:rFonts w:cs="Times New Roman"/>
          <w:noProof/>
          <w:szCs w:val="24"/>
        </w:rPr>
        <w:t xml:space="preserve"> </w:t>
      </w:r>
      <w:r w:rsidRPr="002D780B">
        <w:rPr>
          <w:rFonts w:cs="Times New Roman"/>
          <w:b/>
          <w:bCs/>
          <w:noProof/>
          <w:szCs w:val="24"/>
        </w:rPr>
        <w:t>137</w:t>
      </w:r>
      <w:r w:rsidRPr="002D780B">
        <w:rPr>
          <w:rFonts w:cs="Times New Roman"/>
          <w:noProof/>
          <w:szCs w:val="24"/>
        </w:rPr>
        <w:t>, 1401–1407 (2007).</w:t>
      </w:r>
    </w:p>
    <w:p w14:paraId="6ACD677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166.</w:t>
      </w:r>
      <w:r w:rsidRPr="002D780B">
        <w:rPr>
          <w:rFonts w:cs="Times New Roman"/>
          <w:noProof/>
          <w:szCs w:val="24"/>
        </w:rPr>
        <w:tab/>
        <w:t xml:space="preserve">Brownlee, I. A., Moore, C., Chatfield, M., Richardson, D. P., Ashby, P., Kuznesof, S. A., Jebb, S. A. &amp; Seal, C. J. Markers of cardiovascular risk are not changed by increased whole-grain intake: the WHOLEheart study, a randomised, controlled dietary intervention. </w:t>
      </w:r>
      <w:r w:rsidRPr="002D780B">
        <w:rPr>
          <w:rFonts w:cs="Times New Roman"/>
          <w:i/>
          <w:iCs/>
          <w:noProof/>
          <w:szCs w:val="24"/>
        </w:rPr>
        <w:t>Br. J. Nutr.</w:t>
      </w:r>
      <w:r w:rsidRPr="002D780B">
        <w:rPr>
          <w:rFonts w:cs="Times New Roman"/>
          <w:noProof/>
          <w:szCs w:val="24"/>
        </w:rPr>
        <w:t xml:space="preserve"> </w:t>
      </w:r>
      <w:r w:rsidRPr="002D780B">
        <w:rPr>
          <w:rFonts w:cs="Times New Roman"/>
          <w:b/>
          <w:bCs/>
          <w:noProof/>
          <w:szCs w:val="24"/>
        </w:rPr>
        <w:t>104</w:t>
      </w:r>
      <w:r w:rsidRPr="002D780B">
        <w:rPr>
          <w:rFonts w:cs="Times New Roman"/>
          <w:noProof/>
          <w:szCs w:val="24"/>
        </w:rPr>
        <w:t>, 125–134 (2010).</w:t>
      </w:r>
    </w:p>
    <w:p w14:paraId="65063E8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167.</w:t>
      </w:r>
      <w:r w:rsidRPr="002D780B">
        <w:rPr>
          <w:rFonts w:cs="Times New Roman"/>
          <w:noProof/>
          <w:szCs w:val="24"/>
        </w:rPr>
        <w:tab/>
        <w:t xml:space="preserve">Martıínez, I., Lattimer, J. M., Hubach, K. L., Case, J. A., Yang, J., Weber, C. G., Louk, J. A., Rose, D. J., Kyureghian, G., Peterson, D. A., Haub, M. D. &amp; Walter, J. Gut microbiome composition is linked to whole grain-induced immunological improvements. </w:t>
      </w:r>
      <w:r w:rsidRPr="002D780B">
        <w:rPr>
          <w:rFonts w:cs="Times New Roman"/>
          <w:i/>
          <w:iCs/>
          <w:noProof/>
          <w:szCs w:val="24"/>
        </w:rPr>
        <w:t>ISME J.</w:t>
      </w:r>
      <w:r w:rsidRPr="002D780B">
        <w:rPr>
          <w:rFonts w:cs="Times New Roman"/>
          <w:noProof/>
          <w:szCs w:val="24"/>
        </w:rPr>
        <w:t xml:space="preserve"> </w:t>
      </w:r>
      <w:r w:rsidRPr="002D780B">
        <w:rPr>
          <w:rFonts w:cs="Times New Roman"/>
          <w:b/>
          <w:bCs/>
          <w:noProof/>
          <w:szCs w:val="24"/>
        </w:rPr>
        <w:t>7</w:t>
      </w:r>
      <w:r w:rsidRPr="002D780B">
        <w:rPr>
          <w:rFonts w:cs="Times New Roman"/>
          <w:noProof/>
          <w:szCs w:val="24"/>
        </w:rPr>
        <w:t>, 269–280 (2013).</w:t>
      </w:r>
    </w:p>
    <w:p w14:paraId="3B99B13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168.</w:t>
      </w:r>
      <w:r w:rsidRPr="002D780B">
        <w:rPr>
          <w:rFonts w:cs="Times New Roman"/>
          <w:noProof/>
          <w:szCs w:val="24"/>
        </w:rPr>
        <w:tab/>
        <w:t xml:space="preserve">Fujihara, K., Nogawa, S., Saito, K., Horikawa, C., Takeda, Y., Cho, K., Ishiguro, H., Kodama, S., Nakagawa, Y., Matsuzaka, T., Shimano, H. &amp; Sone, H. Carrot Consumption </w:t>
      </w:r>
      <w:r w:rsidRPr="002D780B">
        <w:rPr>
          <w:rFonts w:cs="Times New Roman"/>
          <w:noProof/>
          <w:szCs w:val="24"/>
        </w:rPr>
        <w:lastRenderedPageBreak/>
        <w:t xml:space="preserve">Frequency Associated with Reduced BMI and Obesity through the SNP Intermediary rs4445711. </w:t>
      </w:r>
      <w:r w:rsidRPr="002D780B">
        <w:rPr>
          <w:rFonts w:cs="Times New Roman"/>
          <w:i/>
          <w:iCs/>
          <w:noProof/>
          <w:szCs w:val="24"/>
        </w:rPr>
        <w:t>Nutrients</w:t>
      </w:r>
      <w:r w:rsidRPr="002D780B">
        <w:rPr>
          <w:rFonts w:cs="Times New Roman"/>
          <w:noProof/>
          <w:szCs w:val="24"/>
        </w:rPr>
        <w:t xml:space="preserve"> </w:t>
      </w:r>
      <w:r w:rsidRPr="002D780B">
        <w:rPr>
          <w:rFonts w:cs="Times New Roman"/>
          <w:b/>
          <w:bCs/>
          <w:noProof/>
          <w:szCs w:val="24"/>
        </w:rPr>
        <w:t>13</w:t>
      </w:r>
      <w:r w:rsidRPr="002D780B">
        <w:rPr>
          <w:rFonts w:cs="Times New Roman"/>
          <w:noProof/>
          <w:szCs w:val="24"/>
        </w:rPr>
        <w:t>, 1–11 (2021).</w:t>
      </w:r>
    </w:p>
    <w:p w14:paraId="12303B3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169.</w:t>
      </w:r>
      <w:r w:rsidRPr="002D780B">
        <w:rPr>
          <w:rFonts w:cs="Times New Roman"/>
          <w:noProof/>
          <w:szCs w:val="24"/>
        </w:rPr>
        <w:tab/>
        <w:t xml:space="preserve">Bendiks, Z. A., Knudsen, K. E. B., Keenan, M. J. &amp; Marco, M. L. Conserved and variable responses of the gut microbiome to resistant starch type 2. </w:t>
      </w:r>
      <w:r w:rsidRPr="002D780B">
        <w:rPr>
          <w:rFonts w:cs="Times New Roman"/>
          <w:i/>
          <w:iCs/>
          <w:noProof/>
          <w:szCs w:val="24"/>
        </w:rPr>
        <w:t>Nutr. Res.</w:t>
      </w:r>
      <w:r w:rsidRPr="002D780B">
        <w:rPr>
          <w:rFonts w:cs="Times New Roman"/>
          <w:noProof/>
          <w:szCs w:val="24"/>
        </w:rPr>
        <w:t xml:space="preserve"> </w:t>
      </w:r>
      <w:r w:rsidRPr="002D780B">
        <w:rPr>
          <w:rFonts w:cs="Times New Roman"/>
          <w:b/>
          <w:bCs/>
          <w:noProof/>
          <w:szCs w:val="24"/>
        </w:rPr>
        <w:t>77</w:t>
      </w:r>
      <w:r w:rsidRPr="002D780B">
        <w:rPr>
          <w:rFonts w:cs="Times New Roman"/>
          <w:noProof/>
          <w:szCs w:val="24"/>
        </w:rPr>
        <w:t>, 12–28 (2020).</w:t>
      </w:r>
    </w:p>
    <w:p w14:paraId="5F5D45B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170.</w:t>
      </w:r>
      <w:r w:rsidRPr="002D780B">
        <w:rPr>
          <w:rFonts w:cs="Times New Roman"/>
          <w:noProof/>
          <w:szCs w:val="24"/>
        </w:rPr>
        <w:tab/>
        <w:t xml:space="preserve">Korem, T., Zeevi, D., Zmora, N., Weissbrod, O., Bar, N., Lotan-Pompan, M., Avnit-Sagi, T., Kosower, N., Malka, G., Rein, M., Suez, J., Goldberg, B. Z., Weinberger, A., Levy, A. A., Elinav, E. &amp; Segal, E. Bread affects clinical parameters and induces gut microbiome-associated personal glycemic responses. </w:t>
      </w:r>
      <w:r w:rsidRPr="002D780B">
        <w:rPr>
          <w:rFonts w:cs="Times New Roman"/>
          <w:i/>
          <w:iCs/>
          <w:noProof/>
          <w:szCs w:val="24"/>
        </w:rPr>
        <w:t>Cell Metab.</w:t>
      </w:r>
      <w:r w:rsidRPr="002D780B">
        <w:rPr>
          <w:rFonts w:cs="Times New Roman"/>
          <w:noProof/>
          <w:szCs w:val="24"/>
        </w:rPr>
        <w:t xml:space="preserve"> </w:t>
      </w:r>
      <w:r w:rsidRPr="002D780B">
        <w:rPr>
          <w:rFonts w:cs="Times New Roman"/>
          <w:b/>
          <w:bCs/>
          <w:noProof/>
          <w:szCs w:val="24"/>
        </w:rPr>
        <w:t>25</w:t>
      </w:r>
      <w:r w:rsidRPr="002D780B">
        <w:rPr>
          <w:rFonts w:cs="Times New Roman"/>
          <w:noProof/>
          <w:szCs w:val="24"/>
        </w:rPr>
        <w:t>, 1243-1253.e5 (2017).</w:t>
      </w:r>
    </w:p>
    <w:p w14:paraId="18492E7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171.</w:t>
      </w:r>
      <w:r w:rsidRPr="002D780B">
        <w:rPr>
          <w:rFonts w:cs="Times New Roman"/>
          <w:noProof/>
          <w:szCs w:val="24"/>
        </w:rPr>
        <w:tab/>
        <w:t xml:space="preserve">Gowd, V., Xie, L., Zheng, X. &amp; Chen, W. Dietary fibers as emerging nutritional factors against diabetes: focus on the involvement of gut microbiota. </w:t>
      </w:r>
      <w:r w:rsidRPr="002D780B">
        <w:rPr>
          <w:rFonts w:cs="Times New Roman"/>
          <w:i/>
          <w:iCs/>
          <w:noProof/>
          <w:szCs w:val="24"/>
        </w:rPr>
        <w:t>Crit. Rev. Biotechnol.</w:t>
      </w:r>
      <w:r w:rsidRPr="002D780B">
        <w:rPr>
          <w:rFonts w:cs="Times New Roman"/>
          <w:noProof/>
          <w:szCs w:val="24"/>
        </w:rPr>
        <w:t xml:space="preserve"> </w:t>
      </w:r>
      <w:r w:rsidRPr="002D780B">
        <w:rPr>
          <w:rFonts w:cs="Times New Roman"/>
          <w:b/>
          <w:bCs/>
          <w:noProof/>
          <w:szCs w:val="24"/>
        </w:rPr>
        <w:t>39</w:t>
      </w:r>
      <w:r w:rsidRPr="002D780B">
        <w:rPr>
          <w:rFonts w:cs="Times New Roman"/>
          <w:noProof/>
          <w:szCs w:val="24"/>
        </w:rPr>
        <w:t>, 524–540 (2019).</w:t>
      </w:r>
    </w:p>
    <w:p w14:paraId="4A87632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172.</w:t>
      </w:r>
      <w:r w:rsidRPr="002D780B">
        <w:rPr>
          <w:rFonts w:cs="Times New Roman"/>
          <w:noProof/>
          <w:szCs w:val="24"/>
        </w:rPr>
        <w:tab/>
        <w:t xml:space="preserve">Lovegrove, A., Edwards, C. H., Noni, I. De, Patel, H., El, S. N., Grassby, T., Zielke, C., Ulmius, M., Nilsson, L., Butterworth, P. J., Ellis, P. R. &amp; Shewry, P. R. Role of polysaccharides in food, digestion, and health. </w:t>
      </w:r>
      <w:r w:rsidRPr="002D780B">
        <w:rPr>
          <w:rFonts w:cs="Times New Roman"/>
          <w:i/>
          <w:iCs/>
          <w:noProof/>
          <w:szCs w:val="24"/>
        </w:rPr>
        <w:t>Crit. Rev. Food Sci. Nutr.</w:t>
      </w:r>
      <w:r w:rsidRPr="002D780B">
        <w:rPr>
          <w:rFonts w:cs="Times New Roman"/>
          <w:noProof/>
          <w:szCs w:val="24"/>
        </w:rPr>
        <w:t xml:space="preserve"> </w:t>
      </w:r>
      <w:r w:rsidRPr="002D780B">
        <w:rPr>
          <w:rFonts w:cs="Times New Roman"/>
          <w:b/>
          <w:bCs/>
          <w:noProof/>
          <w:szCs w:val="24"/>
        </w:rPr>
        <w:t>57</w:t>
      </w:r>
      <w:r w:rsidRPr="002D780B">
        <w:rPr>
          <w:rFonts w:cs="Times New Roman"/>
          <w:noProof/>
          <w:szCs w:val="24"/>
        </w:rPr>
        <w:t>, 237–253 (2017).</w:t>
      </w:r>
    </w:p>
    <w:p w14:paraId="46F4325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173.</w:t>
      </w:r>
      <w:r w:rsidRPr="002D780B">
        <w:rPr>
          <w:rFonts w:cs="Times New Roman"/>
          <w:noProof/>
          <w:szCs w:val="24"/>
        </w:rPr>
        <w:tab/>
        <w:t xml:space="preserve">Gill, S. K., Rossi, M., Bajka, B. &amp; Whelan, K. Dietary fibre in gastrointestinal health and disease. </w:t>
      </w:r>
      <w:r w:rsidRPr="002D780B">
        <w:rPr>
          <w:rFonts w:cs="Times New Roman"/>
          <w:i/>
          <w:iCs/>
          <w:noProof/>
          <w:szCs w:val="24"/>
        </w:rPr>
        <w:t>Nat. Rev. Gastroenterol. Hepatol.</w:t>
      </w:r>
      <w:r w:rsidRPr="002D780B">
        <w:rPr>
          <w:rFonts w:cs="Times New Roman"/>
          <w:noProof/>
          <w:szCs w:val="24"/>
        </w:rPr>
        <w:t xml:space="preserve"> </w:t>
      </w:r>
      <w:r w:rsidRPr="002D780B">
        <w:rPr>
          <w:rFonts w:cs="Times New Roman"/>
          <w:b/>
          <w:bCs/>
          <w:noProof/>
          <w:szCs w:val="24"/>
        </w:rPr>
        <w:t>18</w:t>
      </w:r>
      <w:r w:rsidRPr="002D780B">
        <w:rPr>
          <w:rFonts w:cs="Times New Roman"/>
          <w:noProof/>
          <w:szCs w:val="24"/>
        </w:rPr>
        <w:t>, 101–116 (2021).</w:t>
      </w:r>
    </w:p>
    <w:p w14:paraId="213C765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174.</w:t>
      </w:r>
      <w:r w:rsidRPr="002D780B">
        <w:rPr>
          <w:rFonts w:cs="Times New Roman"/>
          <w:noProof/>
          <w:szCs w:val="24"/>
        </w:rPr>
        <w:tab/>
        <w:t xml:space="preserve">Esmaillzadeh, A., Mirmiran, P. &amp; Azizi, F. Whole-grain consumption and the metabolic syndrome: a favorable association in Tehranian adults. </w:t>
      </w:r>
      <w:r w:rsidRPr="002D780B">
        <w:rPr>
          <w:rFonts w:cs="Times New Roman"/>
          <w:i/>
          <w:iCs/>
          <w:noProof/>
          <w:szCs w:val="24"/>
        </w:rPr>
        <w:t>Eur. J. Clin. Nutr.</w:t>
      </w:r>
      <w:r w:rsidRPr="002D780B">
        <w:rPr>
          <w:rFonts w:cs="Times New Roman"/>
          <w:noProof/>
          <w:szCs w:val="24"/>
        </w:rPr>
        <w:t xml:space="preserve"> </w:t>
      </w:r>
      <w:r w:rsidRPr="002D780B">
        <w:rPr>
          <w:rFonts w:cs="Times New Roman"/>
          <w:b/>
          <w:bCs/>
          <w:noProof/>
          <w:szCs w:val="24"/>
        </w:rPr>
        <w:t>59</w:t>
      </w:r>
      <w:r w:rsidRPr="002D780B">
        <w:rPr>
          <w:rFonts w:cs="Times New Roman"/>
          <w:noProof/>
          <w:szCs w:val="24"/>
        </w:rPr>
        <w:t>, 353–362 (2005).</w:t>
      </w:r>
    </w:p>
    <w:p w14:paraId="2794EB0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175.</w:t>
      </w:r>
      <w:r w:rsidRPr="002D780B">
        <w:rPr>
          <w:rFonts w:cs="Times New Roman"/>
          <w:noProof/>
          <w:szCs w:val="24"/>
        </w:rPr>
        <w:tab/>
        <w:t xml:space="preserve">Chiva-blanch, G. &amp; Badimon, L. Effects of Polyphenol Intake on Metabolic Syndrome: Current Evidences from Human Trials. </w:t>
      </w:r>
      <w:r w:rsidRPr="002D780B">
        <w:rPr>
          <w:rFonts w:cs="Times New Roman"/>
          <w:i/>
          <w:iCs/>
          <w:noProof/>
          <w:szCs w:val="24"/>
        </w:rPr>
        <w:t>Oxid. Med. Cell. Longev.</w:t>
      </w:r>
      <w:r w:rsidRPr="002D780B">
        <w:rPr>
          <w:rFonts w:cs="Times New Roman"/>
          <w:noProof/>
          <w:szCs w:val="24"/>
        </w:rPr>
        <w:t xml:space="preserve"> </w:t>
      </w:r>
      <w:r w:rsidRPr="002D780B">
        <w:rPr>
          <w:rFonts w:cs="Times New Roman"/>
          <w:b/>
          <w:bCs/>
          <w:noProof/>
          <w:szCs w:val="24"/>
        </w:rPr>
        <w:t>2017</w:t>
      </w:r>
      <w:r w:rsidRPr="002D780B">
        <w:rPr>
          <w:rFonts w:cs="Times New Roman"/>
          <w:noProof/>
          <w:szCs w:val="24"/>
        </w:rPr>
        <w:t>, 1–17 (2017).</w:t>
      </w:r>
    </w:p>
    <w:p w14:paraId="17095C5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176.</w:t>
      </w:r>
      <w:r w:rsidRPr="002D780B">
        <w:rPr>
          <w:rFonts w:cs="Times New Roman"/>
          <w:noProof/>
          <w:szCs w:val="24"/>
        </w:rPr>
        <w:tab/>
        <w:t xml:space="preserve">Utrilla, M. P., Peinado, M. J., Ruiz, R., Rodriguez-Nogales, A., Algieri, F., Rodriguez-cabezas, M. E., Clemente, A., Galvez, J. &amp; Rubio, L. A. Pea (Pisum sativum L.) seed albumin extracts show anti-inflammatory effect in the DSS model of mouse. </w:t>
      </w:r>
      <w:r w:rsidRPr="002D780B">
        <w:rPr>
          <w:rFonts w:cs="Times New Roman"/>
          <w:i/>
          <w:iCs/>
          <w:noProof/>
          <w:szCs w:val="24"/>
        </w:rPr>
        <w:t>Mol. Nutr. Food Res.</w:t>
      </w:r>
      <w:r w:rsidRPr="002D780B">
        <w:rPr>
          <w:rFonts w:cs="Times New Roman"/>
          <w:noProof/>
          <w:szCs w:val="24"/>
        </w:rPr>
        <w:t xml:space="preserve"> </w:t>
      </w:r>
      <w:r w:rsidRPr="002D780B">
        <w:rPr>
          <w:rFonts w:cs="Times New Roman"/>
          <w:b/>
          <w:bCs/>
          <w:noProof/>
          <w:szCs w:val="24"/>
        </w:rPr>
        <w:t>59</w:t>
      </w:r>
      <w:r w:rsidRPr="002D780B">
        <w:rPr>
          <w:rFonts w:cs="Times New Roman"/>
          <w:noProof/>
          <w:szCs w:val="24"/>
        </w:rPr>
        <w:t>, 807–819 (2015).</w:t>
      </w:r>
    </w:p>
    <w:p w14:paraId="5D272AB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177.</w:t>
      </w:r>
      <w:r w:rsidRPr="002D780B">
        <w:rPr>
          <w:rFonts w:cs="Times New Roman"/>
          <w:noProof/>
          <w:szCs w:val="24"/>
        </w:rPr>
        <w:tab/>
        <w:t xml:space="preserve">Aranda-Olmedo, I., Ruiz, R., Peinado, M. J. &amp; Rubio, L. A. A pea (Pisum sativum L.) seed albumin extract prevents colonic DSS induced dysbiosis in mice. </w:t>
      </w:r>
      <w:r w:rsidRPr="002D780B">
        <w:rPr>
          <w:rFonts w:cs="Times New Roman"/>
          <w:i/>
          <w:iCs/>
          <w:noProof/>
          <w:szCs w:val="24"/>
        </w:rPr>
        <w:t>J. Funct. Foods</w:t>
      </w:r>
      <w:r w:rsidRPr="002D780B">
        <w:rPr>
          <w:rFonts w:cs="Times New Roman"/>
          <w:noProof/>
          <w:szCs w:val="24"/>
        </w:rPr>
        <w:t xml:space="preserve"> </w:t>
      </w:r>
      <w:r w:rsidRPr="002D780B">
        <w:rPr>
          <w:rFonts w:cs="Times New Roman"/>
          <w:b/>
          <w:bCs/>
          <w:noProof/>
          <w:szCs w:val="24"/>
        </w:rPr>
        <w:t>35</w:t>
      </w:r>
      <w:r w:rsidRPr="002D780B">
        <w:rPr>
          <w:rFonts w:cs="Times New Roman"/>
          <w:noProof/>
          <w:szCs w:val="24"/>
        </w:rPr>
        <w:t>, 279–294 (2017).</w:t>
      </w:r>
    </w:p>
    <w:p w14:paraId="429DF35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178.</w:t>
      </w:r>
      <w:r w:rsidRPr="002D780B">
        <w:rPr>
          <w:rFonts w:cs="Times New Roman"/>
          <w:noProof/>
          <w:szCs w:val="24"/>
        </w:rPr>
        <w:tab/>
        <w:t xml:space="preserve">Benezra, A., DeStefano, J. &amp; Gordon, J. I. Anthropology of microbes. </w:t>
      </w:r>
      <w:r w:rsidRPr="002D780B">
        <w:rPr>
          <w:rFonts w:cs="Times New Roman"/>
          <w:i/>
          <w:iCs/>
          <w:noProof/>
          <w:szCs w:val="24"/>
        </w:rPr>
        <w:t>Proc. Natl. Acad. Sci.</w:t>
      </w:r>
      <w:r w:rsidRPr="002D780B">
        <w:rPr>
          <w:rFonts w:cs="Times New Roman"/>
          <w:noProof/>
          <w:szCs w:val="24"/>
        </w:rPr>
        <w:t xml:space="preserve"> </w:t>
      </w:r>
      <w:r w:rsidRPr="002D780B">
        <w:rPr>
          <w:rFonts w:cs="Times New Roman"/>
          <w:b/>
          <w:bCs/>
          <w:noProof/>
          <w:szCs w:val="24"/>
        </w:rPr>
        <w:t>109</w:t>
      </w:r>
      <w:r w:rsidRPr="002D780B">
        <w:rPr>
          <w:rFonts w:cs="Times New Roman"/>
          <w:noProof/>
          <w:szCs w:val="24"/>
        </w:rPr>
        <w:t>, 6378–6381 (2012).</w:t>
      </w:r>
    </w:p>
    <w:p w14:paraId="408E049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179.</w:t>
      </w:r>
      <w:r w:rsidRPr="002D780B">
        <w:rPr>
          <w:rFonts w:cs="Times New Roman"/>
          <w:noProof/>
          <w:szCs w:val="24"/>
        </w:rPr>
        <w:tab/>
        <w:t xml:space="preserve">Herd, P., Carr, D. &amp; Roan, C. Cohort profile: Wisconsin longitudinal study (WLS). </w:t>
      </w:r>
      <w:r w:rsidRPr="002D780B">
        <w:rPr>
          <w:rFonts w:cs="Times New Roman"/>
          <w:i/>
          <w:iCs/>
          <w:noProof/>
          <w:szCs w:val="24"/>
        </w:rPr>
        <w:t>Int. J. Epidemiol.</w:t>
      </w:r>
      <w:r w:rsidRPr="002D780B">
        <w:rPr>
          <w:rFonts w:cs="Times New Roman"/>
          <w:noProof/>
          <w:szCs w:val="24"/>
        </w:rPr>
        <w:t xml:space="preserve"> </w:t>
      </w:r>
      <w:r w:rsidRPr="002D780B">
        <w:rPr>
          <w:rFonts w:cs="Times New Roman"/>
          <w:b/>
          <w:bCs/>
          <w:noProof/>
          <w:szCs w:val="24"/>
        </w:rPr>
        <w:t>43</w:t>
      </w:r>
      <w:r w:rsidRPr="002D780B">
        <w:rPr>
          <w:rFonts w:cs="Times New Roman"/>
          <w:noProof/>
          <w:szCs w:val="24"/>
        </w:rPr>
        <w:t>, 34–41 (2014).</w:t>
      </w:r>
    </w:p>
    <w:p w14:paraId="2351D09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180.</w:t>
      </w:r>
      <w:r w:rsidRPr="002D780B">
        <w:rPr>
          <w:rFonts w:cs="Times New Roman"/>
          <w:noProof/>
          <w:szCs w:val="24"/>
        </w:rPr>
        <w:tab/>
        <w:t xml:space="preserve">Murga-Garrido, S. M., Hong, Q., Cross, T. L., Hutchison, E. R., Han, J., Thomas, S. P., Vivas, E. I., Denu, J., Ceschin, D. G., Tang, Z. &amp; Rey, F. E. Gut microbiome variation modulates the effects of dietary fiber on host metabolism. </w:t>
      </w:r>
      <w:r w:rsidRPr="002D780B">
        <w:rPr>
          <w:rFonts w:cs="Times New Roman"/>
          <w:i/>
          <w:iCs/>
          <w:noProof/>
          <w:szCs w:val="24"/>
        </w:rPr>
        <w:t>Microbiome</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1–26 (2021).</w:t>
      </w:r>
    </w:p>
    <w:p w14:paraId="14BD221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181.</w:t>
      </w:r>
      <w:r w:rsidRPr="002D780B">
        <w:rPr>
          <w:rFonts w:cs="Times New Roman"/>
          <w:noProof/>
          <w:szCs w:val="24"/>
        </w:rPr>
        <w:tab/>
        <w:t xml:space="preserve">Li, B. W., Andrews, K. W. &amp; Pehrsson, P. R. Individual Sugars, Soluble, and Insoluble Dietary Fiber Contents of 70 High Consumption Foods. </w:t>
      </w:r>
      <w:r w:rsidRPr="002D780B">
        <w:rPr>
          <w:rFonts w:cs="Times New Roman"/>
          <w:i/>
          <w:iCs/>
          <w:noProof/>
          <w:szCs w:val="24"/>
        </w:rPr>
        <w:t>J. Food Compos. Anal.</w:t>
      </w:r>
      <w:r w:rsidRPr="002D780B">
        <w:rPr>
          <w:rFonts w:cs="Times New Roman"/>
          <w:noProof/>
          <w:szCs w:val="24"/>
        </w:rPr>
        <w:t xml:space="preserve"> </w:t>
      </w:r>
      <w:r w:rsidRPr="002D780B">
        <w:rPr>
          <w:rFonts w:cs="Times New Roman"/>
          <w:b/>
          <w:bCs/>
          <w:noProof/>
          <w:szCs w:val="24"/>
        </w:rPr>
        <w:t>15</w:t>
      </w:r>
      <w:r w:rsidRPr="002D780B">
        <w:rPr>
          <w:rFonts w:cs="Times New Roman"/>
          <w:noProof/>
          <w:szCs w:val="24"/>
        </w:rPr>
        <w:t>, 715–723 (2002).</w:t>
      </w:r>
    </w:p>
    <w:p w14:paraId="36D21E1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182.</w:t>
      </w:r>
      <w:r w:rsidRPr="002D780B">
        <w:rPr>
          <w:rFonts w:cs="Times New Roman"/>
          <w:noProof/>
          <w:szCs w:val="24"/>
        </w:rPr>
        <w:tab/>
        <w:t xml:space="preserve">Lucier, G., Lin, B. H., Allshouse, J. &amp; Kantor, L. S. Factors affecting dry bean consumption in the United States. </w:t>
      </w:r>
      <w:r w:rsidRPr="002D780B">
        <w:rPr>
          <w:rFonts w:cs="Times New Roman"/>
          <w:i/>
          <w:iCs/>
          <w:noProof/>
          <w:szCs w:val="24"/>
        </w:rPr>
        <w:t>Small</w:t>
      </w:r>
      <w:r w:rsidRPr="002D780B">
        <w:rPr>
          <w:rFonts w:cs="Times New Roman"/>
          <w:noProof/>
          <w:szCs w:val="24"/>
        </w:rPr>
        <w:t xml:space="preserve"> </w:t>
      </w:r>
      <w:r w:rsidRPr="002D780B">
        <w:rPr>
          <w:rFonts w:cs="Times New Roman"/>
          <w:b/>
          <w:bCs/>
          <w:noProof/>
          <w:szCs w:val="24"/>
        </w:rPr>
        <w:t>19</w:t>
      </w:r>
      <w:r w:rsidRPr="002D780B">
        <w:rPr>
          <w:rFonts w:cs="Times New Roman"/>
          <w:noProof/>
          <w:szCs w:val="24"/>
        </w:rPr>
        <w:t>, 2–5 (2000).</w:t>
      </w:r>
    </w:p>
    <w:p w14:paraId="35D8CEE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183.</w:t>
      </w:r>
      <w:r w:rsidRPr="002D780B">
        <w:rPr>
          <w:rFonts w:cs="Times New Roman"/>
          <w:noProof/>
          <w:szCs w:val="24"/>
        </w:rPr>
        <w:tab/>
        <w:t xml:space="preserve">Repo-Carrasco-Valencia, R. A.-M. &amp; Serna, L. A. Quinoa (Chenopodium quinoa, Willd.) as a source of dietary fiber and other functional components. </w:t>
      </w:r>
      <w:r w:rsidRPr="002D780B">
        <w:rPr>
          <w:rFonts w:cs="Times New Roman"/>
          <w:i/>
          <w:iCs/>
          <w:noProof/>
          <w:szCs w:val="24"/>
        </w:rPr>
        <w:t>Food Sci. Technol.</w:t>
      </w:r>
      <w:r w:rsidRPr="002D780B">
        <w:rPr>
          <w:rFonts w:cs="Times New Roman"/>
          <w:noProof/>
          <w:szCs w:val="24"/>
        </w:rPr>
        <w:t xml:space="preserve"> </w:t>
      </w:r>
      <w:r w:rsidRPr="002D780B">
        <w:rPr>
          <w:rFonts w:cs="Times New Roman"/>
          <w:b/>
          <w:bCs/>
          <w:noProof/>
          <w:szCs w:val="24"/>
        </w:rPr>
        <w:t>31</w:t>
      </w:r>
      <w:r w:rsidRPr="002D780B">
        <w:rPr>
          <w:rFonts w:cs="Times New Roman"/>
          <w:noProof/>
          <w:szCs w:val="24"/>
        </w:rPr>
        <w:t>, 225–230 (2011).</w:t>
      </w:r>
    </w:p>
    <w:p w14:paraId="5986C53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184.</w:t>
      </w:r>
      <w:r w:rsidRPr="002D780B">
        <w:rPr>
          <w:rFonts w:cs="Times New Roman"/>
          <w:noProof/>
          <w:szCs w:val="24"/>
        </w:rPr>
        <w:tab/>
        <w:t xml:space="preserve">Ichimura, M., Kawase, M., Masuzumi, M., Sakaki, M., Nagata, Y., Tanaka, K., Suruga, K., Tamaru, S., Kato, S., Tsuneyama, K. &amp; Omagari, K. High‐fat and high‐cholesterol diet </w:t>
      </w:r>
      <w:r w:rsidRPr="002D780B">
        <w:rPr>
          <w:rFonts w:cs="Times New Roman"/>
          <w:noProof/>
          <w:szCs w:val="24"/>
        </w:rPr>
        <w:lastRenderedPageBreak/>
        <w:t xml:space="preserve">rapidly induces non‐alcoholic steatohepatitis with advanced fibrosis in S prague–D awley rats. </w:t>
      </w:r>
      <w:r w:rsidRPr="002D780B">
        <w:rPr>
          <w:rFonts w:cs="Times New Roman"/>
          <w:i/>
          <w:iCs/>
          <w:noProof/>
          <w:szCs w:val="24"/>
        </w:rPr>
        <w:t>Hepatol. Res.</w:t>
      </w:r>
      <w:r w:rsidRPr="002D780B">
        <w:rPr>
          <w:rFonts w:cs="Times New Roman"/>
          <w:noProof/>
          <w:szCs w:val="24"/>
        </w:rPr>
        <w:t xml:space="preserve"> </w:t>
      </w:r>
      <w:r w:rsidRPr="002D780B">
        <w:rPr>
          <w:rFonts w:cs="Times New Roman"/>
          <w:b/>
          <w:bCs/>
          <w:noProof/>
          <w:szCs w:val="24"/>
        </w:rPr>
        <w:t>45</w:t>
      </w:r>
      <w:r w:rsidRPr="002D780B">
        <w:rPr>
          <w:rFonts w:cs="Times New Roman"/>
          <w:noProof/>
          <w:szCs w:val="24"/>
        </w:rPr>
        <w:t>, 458–469 (2015).</w:t>
      </w:r>
    </w:p>
    <w:p w14:paraId="2247CF01"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185.</w:t>
      </w:r>
      <w:r w:rsidRPr="002D780B">
        <w:rPr>
          <w:rFonts w:cs="Times New Roman"/>
          <w:noProof/>
          <w:szCs w:val="24"/>
        </w:rPr>
        <w:tab/>
        <w:t xml:space="preserve">Kratz, M., Baars, T. &amp; Guyenet, S. The relationship between high-fat dairy consumption and obesity, cardiovascular, and metabolic disease. </w:t>
      </w:r>
      <w:r w:rsidRPr="002D780B">
        <w:rPr>
          <w:rFonts w:cs="Times New Roman"/>
          <w:i/>
          <w:iCs/>
          <w:noProof/>
          <w:szCs w:val="24"/>
        </w:rPr>
        <w:t>Eur. J. Nutr.</w:t>
      </w:r>
      <w:r w:rsidRPr="002D780B">
        <w:rPr>
          <w:rFonts w:cs="Times New Roman"/>
          <w:noProof/>
          <w:szCs w:val="24"/>
        </w:rPr>
        <w:t xml:space="preserve"> </w:t>
      </w:r>
      <w:r w:rsidRPr="002D780B">
        <w:rPr>
          <w:rFonts w:cs="Times New Roman"/>
          <w:b/>
          <w:bCs/>
          <w:noProof/>
          <w:szCs w:val="24"/>
        </w:rPr>
        <w:t>52</w:t>
      </w:r>
      <w:r w:rsidRPr="002D780B">
        <w:rPr>
          <w:rFonts w:cs="Times New Roman"/>
          <w:noProof/>
          <w:szCs w:val="24"/>
        </w:rPr>
        <w:t>, 1–24 (2013).</w:t>
      </w:r>
    </w:p>
    <w:p w14:paraId="37DD29E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186.</w:t>
      </w:r>
      <w:r w:rsidRPr="002D780B">
        <w:rPr>
          <w:rFonts w:cs="Times New Roman"/>
          <w:noProof/>
          <w:szCs w:val="24"/>
        </w:rPr>
        <w:tab/>
        <w:t xml:space="preserve">McCall, L.-I., Morton, J. T., Bernatchez, J. A., Siqueira-neto, J. L. De, Knight, R., Dorrestein, P. C. &amp; McKerrow, J. H. Mass Spectrometry-Based Chemical Cartography of a Cardiac Parasitic Infection. </w:t>
      </w:r>
      <w:r w:rsidRPr="002D780B">
        <w:rPr>
          <w:rFonts w:cs="Times New Roman"/>
          <w:i/>
          <w:iCs/>
          <w:noProof/>
          <w:szCs w:val="24"/>
        </w:rPr>
        <w:t>Anal. Chem.</w:t>
      </w:r>
      <w:r w:rsidRPr="002D780B">
        <w:rPr>
          <w:rFonts w:cs="Times New Roman"/>
          <w:noProof/>
          <w:szCs w:val="24"/>
        </w:rPr>
        <w:t xml:space="preserve"> </w:t>
      </w:r>
      <w:r w:rsidRPr="002D780B">
        <w:rPr>
          <w:rFonts w:cs="Times New Roman"/>
          <w:b/>
          <w:bCs/>
          <w:noProof/>
          <w:szCs w:val="24"/>
        </w:rPr>
        <w:t>89</w:t>
      </w:r>
      <w:r w:rsidRPr="002D780B">
        <w:rPr>
          <w:rFonts w:cs="Times New Roman"/>
          <w:noProof/>
          <w:szCs w:val="24"/>
        </w:rPr>
        <w:t>, 10414–10421 (2017).</w:t>
      </w:r>
    </w:p>
    <w:p w14:paraId="3A9DB39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187.</w:t>
      </w:r>
      <w:r w:rsidRPr="002D780B">
        <w:rPr>
          <w:rFonts w:cs="Times New Roman"/>
          <w:noProof/>
          <w:szCs w:val="24"/>
        </w:rPr>
        <w:tab/>
        <w:t xml:space="preserve">Hossain, E., Khanam, S., Dean, D. A., Wu, C., Lostracco-Johnson, S., Thomas, D., Kane, S. S., Parab, A. R., Flores, K., Katemauswa, M., Gosmanov, C., Hayes, S. E., Zhang, Y., Li, D., Woelfel-Monsivais, C., Sankaranarayanan, K. &amp; McCall, L.-I. Mapping of host-parasite-microbiome interactions reveals metabolic determinants of tropism and tolerance in Chagas disease. </w:t>
      </w:r>
      <w:r w:rsidRPr="002D780B">
        <w:rPr>
          <w:rFonts w:cs="Times New Roman"/>
          <w:i/>
          <w:iCs/>
          <w:noProof/>
          <w:szCs w:val="24"/>
        </w:rPr>
        <w:t>Sci. Adv.</w:t>
      </w:r>
      <w:r w:rsidRPr="002D780B">
        <w:rPr>
          <w:rFonts w:cs="Times New Roman"/>
          <w:noProof/>
          <w:szCs w:val="24"/>
        </w:rPr>
        <w:t xml:space="preserve"> </w:t>
      </w:r>
      <w:r w:rsidRPr="002D780B">
        <w:rPr>
          <w:rFonts w:cs="Times New Roman"/>
          <w:b/>
          <w:bCs/>
          <w:noProof/>
          <w:szCs w:val="24"/>
        </w:rPr>
        <w:t>6</w:t>
      </w:r>
      <w:r w:rsidRPr="002D780B">
        <w:rPr>
          <w:rFonts w:cs="Times New Roman"/>
          <w:noProof/>
          <w:szCs w:val="24"/>
        </w:rPr>
        <w:t>, 1–15 (2020).</w:t>
      </w:r>
    </w:p>
    <w:p w14:paraId="4EFFDA4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188.</w:t>
      </w:r>
      <w:r w:rsidRPr="002D780B">
        <w:rPr>
          <w:rFonts w:cs="Times New Roman"/>
          <w:noProof/>
          <w:szCs w:val="24"/>
        </w:rPr>
        <w:tab/>
        <w:t xml:space="preserve">Hoffman, K., Liu, Z., Hossain, E., Bottazzi, M. E., Hotez, P. J., Jones, K. M. &amp; McCall, L. Alterations to the Cardiac Metabolome Induced by Chronic T. cruzi Infection Relate to the Degree of Cardiac Pathology. </w:t>
      </w:r>
      <w:r w:rsidRPr="002D780B">
        <w:rPr>
          <w:rFonts w:cs="Times New Roman"/>
          <w:i/>
          <w:iCs/>
          <w:noProof/>
          <w:szCs w:val="24"/>
        </w:rPr>
        <w:t>ACS Infect. Dis.</w:t>
      </w:r>
      <w:r w:rsidRPr="002D780B">
        <w:rPr>
          <w:rFonts w:cs="Times New Roman"/>
          <w:noProof/>
          <w:szCs w:val="24"/>
        </w:rPr>
        <w:t xml:space="preserve"> </w:t>
      </w:r>
      <w:r w:rsidRPr="002D780B">
        <w:rPr>
          <w:rFonts w:cs="Times New Roman"/>
          <w:b/>
          <w:bCs/>
          <w:noProof/>
          <w:szCs w:val="24"/>
        </w:rPr>
        <w:t>7</w:t>
      </w:r>
      <w:r w:rsidRPr="002D780B">
        <w:rPr>
          <w:rFonts w:cs="Times New Roman"/>
          <w:noProof/>
          <w:szCs w:val="24"/>
        </w:rPr>
        <w:t>, 1638–1649 (2021).</w:t>
      </w:r>
    </w:p>
    <w:p w14:paraId="4865027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189.</w:t>
      </w:r>
      <w:r w:rsidRPr="002D780B">
        <w:rPr>
          <w:rFonts w:cs="Times New Roman"/>
          <w:noProof/>
          <w:szCs w:val="24"/>
        </w:rPr>
        <w:tab/>
        <w:t xml:space="preserve">Dean, D. A., Klechka, L., Hossain, E., Parab, A. R., Eaton, K., Hinsdale, M. &amp; McCall, L.-I. Spatial Metabolomics Reveals Localized Impact of Influenza Virus Infection on the Lung Tissue Metabolome. </w:t>
      </w:r>
      <w:r w:rsidRPr="002D780B">
        <w:rPr>
          <w:rFonts w:cs="Times New Roman"/>
          <w:i/>
          <w:iCs/>
          <w:noProof/>
          <w:szCs w:val="24"/>
        </w:rPr>
        <w:t>mSystems</w:t>
      </w:r>
      <w:r w:rsidRPr="002D780B">
        <w:rPr>
          <w:rFonts w:cs="Times New Roman"/>
          <w:noProof/>
          <w:szCs w:val="24"/>
        </w:rPr>
        <w:t xml:space="preserve"> </w:t>
      </w:r>
      <w:r w:rsidRPr="002D780B">
        <w:rPr>
          <w:rFonts w:cs="Times New Roman"/>
          <w:b/>
          <w:bCs/>
          <w:noProof/>
          <w:szCs w:val="24"/>
        </w:rPr>
        <w:t>7</w:t>
      </w:r>
      <w:r w:rsidRPr="002D780B">
        <w:rPr>
          <w:rFonts w:cs="Times New Roman"/>
          <w:noProof/>
          <w:szCs w:val="24"/>
        </w:rPr>
        <w:t>, (2022).</w:t>
      </w:r>
    </w:p>
    <w:p w14:paraId="661CB66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190.</w:t>
      </w:r>
      <w:r w:rsidRPr="002D780B">
        <w:rPr>
          <w:rFonts w:cs="Times New Roman"/>
          <w:noProof/>
          <w:szCs w:val="24"/>
        </w:rPr>
        <w:tab/>
        <w:t xml:space="preserve">Nothias, L. F., Petras, D., Schmid, R., Dührkop, K., Rainer, J., Sarvepalli, A., Protsyuk, I., Ernst, M., Tsugawa, H., Fleischauer, M., Aicheler, F., Aksenov, A. A., Alka, O., Allard, P. M., Barsch, A., Cachet, X., Caraballo-Rodriguez, A. M., Da Silva, R. R., Dang, T., Garg, N., Gauglitz, J. M., Gurevich, A., Isaac, G., Jarmusch, A. K., Kameník, Z., Kang, K. Bin, Kessler, N., Koester, I., Korf, A., Le Gouellec, A., Ludwig, M., Martin H, C., McCall, L. I., McSayles, J., Meyer, S. W., Mohimani, H., Morsy, M., Moyne, O., Neumann, S., Neuweger, H., Nguyen, N. H., Nothias-Esposito, M., Paolini, J., Phelan, V. V., Pluskal, T., Quinn, R. A., Rogers, S., Shrestha, B., Tripathi, A., van der Hooft, J. J. J., Vargas, F., Weldon, K. C., Witting, M., Yang, H., Zhang, Z., Zubeil, F., Kohlbacher, O., Böcker, S., Alexandrov, T., Bandeira, N., Wang, M. &amp; Dorrestein, P. C. Feature-based molecular networking in the GNPS analysis environment. </w:t>
      </w:r>
      <w:r w:rsidRPr="002D780B">
        <w:rPr>
          <w:rFonts w:cs="Times New Roman"/>
          <w:i/>
          <w:iCs/>
          <w:noProof/>
          <w:szCs w:val="24"/>
        </w:rPr>
        <w:t>Nat. Methods</w:t>
      </w:r>
      <w:r w:rsidRPr="002D780B">
        <w:rPr>
          <w:rFonts w:cs="Times New Roman"/>
          <w:noProof/>
          <w:szCs w:val="24"/>
        </w:rPr>
        <w:t xml:space="preserve"> </w:t>
      </w:r>
      <w:r w:rsidRPr="002D780B">
        <w:rPr>
          <w:rFonts w:cs="Times New Roman"/>
          <w:b/>
          <w:bCs/>
          <w:noProof/>
          <w:szCs w:val="24"/>
        </w:rPr>
        <w:t>17</w:t>
      </w:r>
      <w:r w:rsidRPr="002D780B">
        <w:rPr>
          <w:rFonts w:cs="Times New Roman"/>
          <w:noProof/>
          <w:szCs w:val="24"/>
        </w:rPr>
        <w:t>, 905–908 (2020).</w:t>
      </w:r>
    </w:p>
    <w:p w14:paraId="768E23B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191.</w:t>
      </w:r>
      <w:r w:rsidRPr="002D780B">
        <w:rPr>
          <w:rFonts w:cs="Times New Roman"/>
          <w:noProof/>
          <w:szCs w:val="24"/>
        </w:rPr>
        <w:tab/>
        <w:t xml:space="preserve">Chen, L., Lu, W., Wang, L., Xing, X., Chen, Z., Teng, X., Zeng, X., Muscarella, A. D., Shen, Y., Cowan, A., Mcreynolds, M. R., Kennedy, B. J., Lato, A. M., Campagna, S. R., Singh, M. &amp; Rabinowitz, J. D. Metabolite discovery through global annotation of untargeted metabolomics data. </w:t>
      </w:r>
      <w:r w:rsidRPr="002D780B">
        <w:rPr>
          <w:rFonts w:cs="Times New Roman"/>
          <w:i/>
          <w:iCs/>
          <w:noProof/>
          <w:szCs w:val="24"/>
        </w:rPr>
        <w:t>Nat. Methods</w:t>
      </w:r>
      <w:r w:rsidRPr="002D780B">
        <w:rPr>
          <w:rFonts w:cs="Times New Roman"/>
          <w:noProof/>
          <w:szCs w:val="24"/>
        </w:rPr>
        <w:t xml:space="preserve"> </w:t>
      </w:r>
      <w:r w:rsidRPr="002D780B">
        <w:rPr>
          <w:rFonts w:cs="Times New Roman"/>
          <w:b/>
          <w:bCs/>
          <w:noProof/>
          <w:szCs w:val="24"/>
        </w:rPr>
        <w:t>18</w:t>
      </w:r>
      <w:r w:rsidRPr="002D780B">
        <w:rPr>
          <w:rFonts w:cs="Times New Roman"/>
          <w:noProof/>
          <w:szCs w:val="24"/>
        </w:rPr>
        <w:t>, 1377–1385 (2021).</w:t>
      </w:r>
    </w:p>
    <w:p w14:paraId="45FE352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192.</w:t>
      </w:r>
      <w:r w:rsidRPr="002D780B">
        <w:rPr>
          <w:rFonts w:cs="Times New Roman"/>
          <w:noProof/>
          <w:szCs w:val="24"/>
        </w:rPr>
        <w:tab/>
        <w:t xml:space="preserve">Waskom, M. L. seaborn: statistical data visualization. </w:t>
      </w:r>
      <w:r w:rsidRPr="002D780B">
        <w:rPr>
          <w:rFonts w:cs="Times New Roman"/>
          <w:i/>
          <w:iCs/>
          <w:noProof/>
          <w:szCs w:val="24"/>
        </w:rPr>
        <w:t>J. Open Source Softw.</w:t>
      </w:r>
      <w:r w:rsidRPr="002D780B">
        <w:rPr>
          <w:rFonts w:cs="Times New Roman"/>
          <w:noProof/>
          <w:szCs w:val="24"/>
        </w:rPr>
        <w:t xml:space="preserve"> </w:t>
      </w:r>
      <w:r w:rsidRPr="002D780B">
        <w:rPr>
          <w:rFonts w:cs="Times New Roman"/>
          <w:b/>
          <w:bCs/>
          <w:noProof/>
          <w:szCs w:val="24"/>
        </w:rPr>
        <w:t>6</w:t>
      </w:r>
      <w:r w:rsidRPr="002D780B">
        <w:rPr>
          <w:rFonts w:cs="Times New Roman"/>
          <w:noProof/>
          <w:szCs w:val="24"/>
        </w:rPr>
        <w:t>, 1–4 (2021).</w:t>
      </w:r>
    </w:p>
    <w:p w14:paraId="444AAA4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193.</w:t>
      </w:r>
      <w:r w:rsidRPr="002D780B">
        <w:rPr>
          <w:rFonts w:cs="Times New Roman"/>
          <w:noProof/>
          <w:szCs w:val="24"/>
        </w:rPr>
        <w:tab/>
        <w:t xml:space="preserve">Harris, C. R., Millman, K. J., Walt, S. J. Van Der, Gommers, R., Virtanen, P., Cournapeau, D., Wieser, E., Taylor, J., Berg, S., Smith, N. J., Kern, R., Picus, M., Hoyer, S., Kerkwijk, M. H. Van, Brett, M., Haldane, A., Fernández del Río, J., Wiebe, M., Peterson, P., Gérard-Marchant, P., Sheppard, K., Reddy, T., Weckesser, W., Abbasi, H., Gohlke, C. &amp; Oliphant, T. E. Array programming with NumPy. </w:t>
      </w:r>
      <w:r w:rsidRPr="002D780B">
        <w:rPr>
          <w:rFonts w:cs="Times New Roman"/>
          <w:i/>
          <w:iCs/>
          <w:noProof/>
          <w:szCs w:val="24"/>
        </w:rPr>
        <w:t>Nature</w:t>
      </w:r>
      <w:r w:rsidRPr="002D780B">
        <w:rPr>
          <w:rFonts w:cs="Times New Roman"/>
          <w:noProof/>
          <w:szCs w:val="24"/>
        </w:rPr>
        <w:t xml:space="preserve"> </w:t>
      </w:r>
      <w:r w:rsidRPr="002D780B">
        <w:rPr>
          <w:rFonts w:cs="Times New Roman"/>
          <w:b/>
          <w:bCs/>
          <w:noProof/>
          <w:szCs w:val="24"/>
        </w:rPr>
        <w:t>585</w:t>
      </w:r>
      <w:r w:rsidRPr="002D780B">
        <w:rPr>
          <w:rFonts w:cs="Times New Roman"/>
          <w:noProof/>
          <w:szCs w:val="24"/>
        </w:rPr>
        <w:t>, 357–362 (2020).</w:t>
      </w:r>
    </w:p>
    <w:p w14:paraId="7F73691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194.</w:t>
      </w:r>
      <w:r w:rsidRPr="002D780B">
        <w:rPr>
          <w:rFonts w:cs="Times New Roman"/>
          <w:noProof/>
          <w:szCs w:val="24"/>
        </w:rPr>
        <w:tab/>
        <w:t xml:space="preserve">Rechner, A. R., Smith, M. A., Kuhnle, G., Gibson, G. R., Debnam, E. S., Srai, S. K. S., Moore, K. P. &amp; Rice-Evans, C. A. Colonic metabolism of dietary polyphenols: influence of structure on microbial fermentation products. </w:t>
      </w:r>
      <w:r w:rsidRPr="002D780B">
        <w:rPr>
          <w:rFonts w:cs="Times New Roman"/>
          <w:i/>
          <w:iCs/>
          <w:noProof/>
          <w:szCs w:val="24"/>
        </w:rPr>
        <w:t>Free Radic. Biol. Med.</w:t>
      </w:r>
      <w:r w:rsidRPr="002D780B">
        <w:rPr>
          <w:rFonts w:cs="Times New Roman"/>
          <w:noProof/>
          <w:szCs w:val="24"/>
        </w:rPr>
        <w:t xml:space="preserve"> </w:t>
      </w:r>
      <w:r w:rsidRPr="002D780B">
        <w:rPr>
          <w:rFonts w:cs="Times New Roman"/>
          <w:b/>
          <w:bCs/>
          <w:noProof/>
          <w:szCs w:val="24"/>
        </w:rPr>
        <w:t>36</w:t>
      </w:r>
      <w:r w:rsidRPr="002D780B">
        <w:rPr>
          <w:rFonts w:cs="Times New Roman"/>
          <w:noProof/>
          <w:szCs w:val="24"/>
        </w:rPr>
        <w:t>, 212–225 (2004).</w:t>
      </w:r>
    </w:p>
    <w:p w14:paraId="0992940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lastRenderedPageBreak/>
        <w:t>195.</w:t>
      </w:r>
      <w:r w:rsidRPr="002D780B">
        <w:rPr>
          <w:rFonts w:cs="Times New Roman"/>
          <w:noProof/>
          <w:szCs w:val="24"/>
        </w:rPr>
        <w:tab/>
        <w:t xml:space="preserve">Cohen, L. J., Kang, H., Chu, J., Huang, Y., Gordon, E. A., Reddy, B. V. B., Ternei, M. A., Craig, J. W. &amp; Brady, S. F. Functional metagenomic discovery of bacterial effectors in the human microbiome and isolation of commendamide, a GPCR G2A/132 agonist. </w:t>
      </w:r>
      <w:r w:rsidRPr="002D780B">
        <w:rPr>
          <w:rFonts w:cs="Times New Roman"/>
          <w:i/>
          <w:iCs/>
          <w:noProof/>
          <w:szCs w:val="24"/>
        </w:rPr>
        <w:t>Proc. Natl. Acad. Sci.</w:t>
      </w:r>
      <w:r w:rsidRPr="002D780B">
        <w:rPr>
          <w:rFonts w:cs="Times New Roman"/>
          <w:noProof/>
          <w:szCs w:val="24"/>
        </w:rPr>
        <w:t xml:space="preserve"> </w:t>
      </w:r>
      <w:r w:rsidRPr="002D780B">
        <w:rPr>
          <w:rFonts w:cs="Times New Roman"/>
          <w:b/>
          <w:bCs/>
          <w:noProof/>
          <w:szCs w:val="24"/>
        </w:rPr>
        <w:t>112</w:t>
      </w:r>
      <w:r w:rsidRPr="002D780B">
        <w:rPr>
          <w:rFonts w:cs="Times New Roman"/>
          <w:noProof/>
          <w:szCs w:val="24"/>
        </w:rPr>
        <w:t>, E4825–E4834 (2015).</w:t>
      </w:r>
    </w:p>
    <w:p w14:paraId="5744DAA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196.</w:t>
      </w:r>
      <w:r w:rsidRPr="002D780B">
        <w:rPr>
          <w:rFonts w:cs="Times New Roman"/>
          <w:noProof/>
          <w:szCs w:val="24"/>
        </w:rPr>
        <w:tab/>
        <w:t xml:space="preserve">Agus, A., Planchais, J. &amp; Sokol, H. Gut microbiota regulation of tryptophan metabolism in health and disease. </w:t>
      </w:r>
      <w:r w:rsidRPr="002D780B">
        <w:rPr>
          <w:rFonts w:cs="Times New Roman"/>
          <w:i/>
          <w:iCs/>
          <w:noProof/>
          <w:szCs w:val="24"/>
        </w:rPr>
        <w:t>Cell Host Microbe</w:t>
      </w:r>
      <w:r w:rsidRPr="002D780B">
        <w:rPr>
          <w:rFonts w:cs="Times New Roman"/>
          <w:noProof/>
          <w:szCs w:val="24"/>
        </w:rPr>
        <w:t xml:space="preserve"> </w:t>
      </w:r>
      <w:r w:rsidRPr="002D780B">
        <w:rPr>
          <w:rFonts w:cs="Times New Roman"/>
          <w:b/>
          <w:bCs/>
          <w:noProof/>
          <w:szCs w:val="24"/>
        </w:rPr>
        <w:t>23</w:t>
      </w:r>
      <w:r w:rsidRPr="002D780B">
        <w:rPr>
          <w:rFonts w:cs="Times New Roman"/>
          <w:noProof/>
          <w:szCs w:val="24"/>
        </w:rPr>
        <w:t>, 716–724 (2018).</w:t>
      </w:r>
    </w:p>
    <w:p w14:paraId="078629C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197.</w:t>
      </w:r>
      <w:r w:rsidRPr="002D780B">
        <w:rPr>
          <w:rFonts w:cs="Times New Roman"/>
          <w:noProof/>
          <w:szCs w:val="24"/>
        </w:rPr>
        <w:tab/>
        <w:t xml:space="preserve">Wikoff, W. R., Anfora, A. T., Liu, J., Schultz, P. G., Lesley, S. A., Peters, E. C. &amp; Siuzdak, G. Metabolomics analysis reveals large effects of gut microflora on mammalian blood metabolites. </w:t>
      </w:r>
      <w:r w:rsidRPr="002D780B">
        <w:rPr>
          <w:rFonts w:cs="Times New Roman"/>
          <w:i/>
          <w:iCs/>
          <w:noProof/>
          <w:szCs w:val="24"/>
        </w:rPr>
        <w:t>Proc. Natl. Acad. Sci.</w:t>
      </w:r>
      <w:r w:rsidRPr="002D780B">
        <w:rPr>
          <w:rFonts w:cs="Times New Roman"/>
          <w:noProof/>
          <w:szCs w:val="24"/>
        </w:rPr>
        <w:t xml:space="preserve"> </w:t>
      </w:r>
      <w:r w:rsidRPr="002D780B">
        <w:rPr>
          <w:rFonts w:cs="Times New Roman"/>
          <w:b/>
          <w:bCs/>
          <w:noProof/>
          <w:szCs w:val="24"/>
        </w:rPr>
        <w:t>106</w:t>
      </w:r>
      <w:r w:rsidRPr="002D780B">
        <w:rPr>
          <w:rFonts w:cs="Times New Roman"/>
          <w:noProof/>
          <w:szCs w:val="24"/>
        </w:rPr>
        <w:t>, 3698–3703 (2009).</w:t>
      </w:r>
    </w:p>
    <w:p w14:paraId="40FD14E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198.</w:t>
      </w:r>
      <w:r w:rsidRPr="002D780B">
        <w:rPr>
          <w:rFonts w:cs="Times New Roman"/>
          <w:noProof/>
          <w:szCs w:val="24"/>
        </w:rPr>
        <w:tab/>
        <w:t xml:space="preserve">González-Sarrías, Espín, J. C. &amp; Tomás-Barberán, F. A. Non-extractable polyphenols produce gut microbiota metabolites that persist in circulation and show anti-inflammatory and free radical-scavenging effects. </w:t>
      </w:r>
      <w:r w:rsidRPr="002D780B">
        <w:rPr>
          <w:rFonts w:cs="Times New Roman"/>
          <w:i/>
          <w:iCs/>
          <w:noProof/>
          <w:szCs w:val="24"/>
        </w:rPr>
        <w:t>Trends Food Sci. Technol.</w:t>
      </w:r>
      <w:r w:rsidRPr="002D780B">
        <w:rPr>
          <w:rFonts w:cs="Times New Roman"/>
          <w:noProof/>
          <w:szCs w:val="24"/>
        </w:rPr>
        <w:t xml:space="preserve"> </w:t>
      </w:r>
      <w:r w:rsidRPr="002D780B">
        <w:rPr>
          <w:rFonts w:cs="Times New Roman"/>
          <w:b/>
          <w:bCs/>
          <w:noProof/>
          <w:szCs w:val="24"/>
        </w:rPr>
        <w:t>69</w:t>
      </w:r>
      <w:r w:rsidRPr="002D780B">
        <w:rPr>
          <w:rFonts w:cs="Times New Roman"/>
          <w:noProof/>
          <w:szCs w:val="24"/>
        </w:rPr>
        <w:t>, 281–288 (2017).</w:t>
      </w:r>
    </w:p>
    <w:p w14:paraId="4817AD7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199.</w:t>
      </w:r>
      <w:r w:rsidRPr="002D780B">
        <w:rPr>
          <w:rFonts w:cs="Times New Roman"/>
          <w:noProof/>
          <w:szCs w:val="24"/>
        </w:rPr>
        <w:tab/>
        <w:t xml:space="preserve">Barker, A., Dombrosky, J., Chaput, D., Venables, B., Wolverton, S. &amp; Stevens, S. M. Validation of a Non - Targeted LC - MS Approach for Identifying Ancient Proteins : Method Development on Bone to Improve Artifact Residue Analysis. </w:t>
      </w:r>
      <w:r w:rsidRPr="002D780B">
        <w:rPr>
          <w:rFonts w:cs="Times New Roman"/>
          <w:i/>
          <w:iCs/>
          <w:noProof/>
          <w:szCs w:val="24"/>
        </w:rPr>
        <w:t>Ethnobiol. Lett.</w:t>
      </w:r>
      <w:r w:rsidRPr="002D780B">
        <w:rPr>
          <w:rFonts w:cs="Times New Roman"/>
          <w:noProof/>
          <w:szCs w:val="24"/>
        </w:rPr>
        <w:t xml:space="preserve"> </w:t>
      </w:r>
      <w:r w:rsidRPr="002D780B">
        <w:rPr>
          <w:rFonts w:cs="Times New Roman"/>
          <w:b/>
          <w:bCs/>
          <w:noProof/>
          <w:szCs w:val="24"/>
        </w:rPr>
        <w:t>6</w:t>
      </w:r>
      <w:r w:rsidRPr="002D780B">
        <w:rPr>
          <w:rFonts w:cs="Times New Roman"/>
          <w:noProof/>
          <w:szCs w:val="24"/>
        </w:rPr>
        <w:t>, 162–174 (2015).</w:t>
      </w:r>
    </w:p>
    <w:p w14:paraId="4F65CBD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200.</w:t>
      </w:r>
      <w:r w:rsidRPr="002D780B">
        <w:rPr>
          <w:rFonts w:cs="Times New Roman"/>
          <w:noProof/>
          <w:szCs w:val="24"/>
        </w:rPr>
        <w:tab/>
        <w:t xml:space="preserve">Parnell, J. J. &amp; Terry, R. E. Soil Chemical Analysis of Ancient Activities in Cerén, El Salvador: A Case Study of a Rapidly Abandoned Site. </w:t>
      </w:r>
      <w:r w:rsidRPr="002D780B">
        <w:rPr>
          <w:rFonts w:cs="Times New Roman"/>
          <w:i/>
          <w:iCs/>
          <w:noProof/>
          <w:szCs w:val="24"/>
        </w:rPr>
        <w:t>Lat. Am. Antiq.</w:t>
      </w:r>
      <w:r w:rsidRPr="002D780B">
        <w:rPr>
          <w:rFonts w:cs="Times New Roman"/>
          <w:noProof/>
          <w:szCs w:val="24"/>
        </w:rPr>
        <w:t xml:space="preserve"> </w:t>
      </w:r>
      <w:r w:rsidRPr="002D780B">
        <w:rPr>
          <w:rFonts w:cs="Times New Roman"/>
          <w:b/>
          <w:bCs/>
          <w:noProof/>
          <w:szCs w:val="24"/>
        </w:rPr>
        <w:t>13</w:t>
      </w:r>
      <w:r w:rsidRPr="002D780B">
        <w:rPr>
          <w:rFonts w:cs="Times New Roman"/>
          <w:noProof/>
          <w:szCs w:val="24"/>
        </w:rPr>
        <w:t>, 331–342 (2002).</w:t>
      </w:r>
    </w:p>
    <w:p w14:paraId="0F4A311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201.</w:t>
      </w:r>
      <w:r w:rsidRPr="002D780B">
        <w:rPr>
          <w:rFonts w:cs="Times New Roman"/>
          <w:noProof/>
          <w:szCs w:val="24"/>
        </w:rPr>
        <w:tab/>
        <w:t xml:space="preserve">Porru, E., Giorgi, E., Turroni, S., Helg, R., Silani, M., Candela, M., Fiori, J. &amp; Roda, A. Bile acids and oxo-metabolites as markers of human faecal input in the ancient Pompeii ruins. </w:t>
      </w:r>
      <w:r w:rsidRPr="002D780B">
        <w:rPr>
          <w:rFonts w:cs="Times New Roman"/>
          <w:i/>
          <w:iCs/>
          <w:noProof/>
          <w:szCs w:val="24"/>
        </w:rPr>
        <w:t>Sci. Rep.</w:t>
      </w:r>
      <w:r w:rsidRPr="002D780B">
        <w:rPr>
          <w:rFonts w:cs="Times New Roman"/>
          <w:noProof/>
          <w:szCs w:val="24"/>
        </w:rPr>
        <w:t xml:space="preserve"> </w:t>
      </w:r>
      <w:r w:rsidRPr="002D780B">
        <w:rPr>
          <w:rFonts w:cs="Times New Roman"/>
          <w:b/>
          <w:bCs/>
          <w:noProof/>
          <w:szCs w:val="24"/>
        </w:rPr>
        <w:t>11</w:t>
      </w:r>
      <w:r w:rsidRPr="002D780B">
        <w:rPr>
          <w:rFonts w:cs="Times New Roman"/>
          <w:noProof/>
          <w:szCs w:val="24"/>
        </w:rPr>
        <w:t>, 1–7 (2021).</w:t>
      </w:r>
    </w:p>
    <w:p w14:paraId="2C499FA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202.</w:t>
      </w:r>
      <w:r w:rsidRPr="002D780B">
        <w:rPr>
          <w:rFonts w:cs="Times New Roman"/>
          <w:noProof/>
          <w:szCs w:val="24"/>
        </w:rPr>
        <w:tab/>
        <w:t xml:space="preserve">Eerkens, J. W., Tushingham, S., Brownstein, K. J., Garibay, R., Perez, K., Murga, E., Kaijankoski, P., Rosenthal, S. &amp; Gang, D. R. Dental calculus as a source of ancient alkaloids : Detection of nicotine by LC- MS in calculus samples from the Americas.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18</w:t>
      </w:r>
      <w:r w:rsidRPr="002D780B">
        <w:rPr>
          <w:rFonts w:cs="Times New Roman"/>
          <w:noProof/>
          <w:szCs w:val="24"/>
        </w:rPr>
        <w:t>, 509–515 (2018).</w:t>
      </w:r>
    </w:p>
    <w:p w14:paraId="1F7EF69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203.</w:t>
      </w:r>
      <w:r w:rsidRPr="002D780B">
        <w:rPr>
          <w:rFonts w:cs="Times New Roman"/>
          <w:noProof/>
          <w:szCs w:val="24"/>
        </w:rPr>
        <w:tab/>
        <w:t xml:space="preserve">Barker, A., Dombrosky, J., Venables, B. &amp; Wolverton, S. Taphonomy and negative results: An integrated approach to ceramic-bound protein residue analysis. </w:t>
      </w:r>
      <w:r w:rsidRPr="002D780B">
        <w:rPr>
          <w:rFonts w:cs="Times New Roman"/>
          <w:i/>
          <w:iCs/>
          <w:noProof/>
          <w:szCs w:val="24"/>
        </w:rPr>
        <w:t>J. Archaeol. Sci.</w:t>
      </w:r>
      <w:r w:rsidRPr="002D780B">
        <w:rPr>
          <w:rFonts w:cs="Times New Roman"/>
          <w:noProof/>
          <w:szCs w:val="24"/>
        </w:rPr>
        <w:t xml:space="preserve"> </w:t>
      </w:r>
      <w:r w:rsidRPr="002D780B">
        <w:rPr>
          <w:rFonts w:cs="Times New Roman"/>
          <w:b/>
          <w:bCs/>
          <w:noProof/>
          <w:szCs w:val="24"/>
        </w:rPr>
        <w:t>94</w:t>
      </w:r>
      <w:r w:rsidRPr="002D780B">
        <w:rPr>
          <w:rFonts w:cs="Times New Roman"/>
          <w:noProof/>
          <w:szCs w:val="24"/>
        </w:rPr>
        <w:t>, 32–43 (2018).</w:t>
      </w:r>
    </w:p>
    <w:p w14:paraId="64C7547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204.</w:t>
      </w:r>
      <w:r w:rsidRPr="002D780B">
        <w:rPr>
          <w:rFonts w:cs="Times New Roman"/>
          <w:noProof/>
          <w:szCs w:val="24"/>
        </w:rPr>
        <w:tab/>
        <w:t xml:space="preserve">Crown, P. L. &amp; Hurst, W. J. Evidence of cacao use in the Prehispanic American Southwest. </w:t>
      </w:r>
      <w:r w:rsidRPr="002D780B">
        <w:rPr>
          <w:rFonts w:cs="Times New Roman"/>
          <w:i/>
          <w:iCs/>
          <w:noProof/>
          <w:szCs w:val="24"/>
        </w:rPr>
        <w:t>Proc. Natl. Acad. Sci. U. S. A.</w:t>
      </w:r>
      <w:r w:rsidRPr="002D780B">
        <w:rPr>
          <w:rFonts w:cs="Times New Roman"/>
          <w:noProof/>
          <w:szCs w:val="24"/>
        </w:rPr>
        <w:t xml:space="preserve"> </w:t>
      </w:r>
      <w:r w:rsidRPr="002D780B">
        <w:rPr>
          <w:rFonts w:cs="Times New Roman"/>
          <w:b/>
          <w:bCs/>
          <w:noProof/>
          <w:szCs w:val="24"/>
        </w:rPr>
        <w:t>106</w:t>
      </w:r>
      <w:r w:rsidRPr="002D780B">
        <w:rPr>
          <w:rFonts w:cs="Times New Roman"/>
          <w:noProof/>
          <w:szCs w:val="24"/>
        </w:rPr>
        <w:t>, 2110–2113 (2009).</w:t>
      </w:r>
    </w:p>
    <w:p w14:paraId="4E00A0B0"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205.</w:t>
      </w:r>
      <w:r w:rsidRPr="002D780B">
        <w:rPr>
          <w:rFonts w:cs="Times New Roman"/>
          <w:noProof/>
          <w:szCs w:val="24"/>
        </w:rPr>
        <w:tab/>
        <w:t xml:space="preserve">Washburn, D. K., Washburn, W. N., Shipkova, P. A. &amp; Pelleymounter, M. A. Chemical analysis of cacao residues in archaeological ceramics from North America: Considerations of contamination, sample size and systematic controls. </w:t>
      </w:r>
      <w:r w:rsidRPr="002D780B">
        <w:rPr>
          <w:rFonts w:cs="Times New Roman"/>
          <w:i/>
          <w:iCs/>
          <w:noProof/>
          <w:szCs w:val="24"/>
        </w:rPr>
        <w:t>J. Archaeol. Sci.</w:t>
      </w:r>
      <w:r w:rsidRPr="002D780B">
        <w:rPr>
          <w:rFonts w:cs="Times New Roman"/>
          <w:noProof/>
          <w:szCs w:val="24"/>
        </w:rPr>
        <w:t xml:space="preserve"> </w:t>
      </w:r>
      <w:r w:rsidRPr="002D780B">
        <w:rPr>
          <w:rFonts w:cs="Times New Roman"/>
          <w:b/>
          <w:bCs/>
          <w:noProof/>
          <w:szCs w:val="24"/>
        </w:rPr>
        <w:t>50</w:t>
      </w:r>
      <w:r w:rsidRPr="002D780B">
        <w:rPr>
          <w:rFonts w:cs="Times New Roman"/>
          <w:noProof/>
          <w:szCs w:val="24"/>
        </w:rPr>
        <w:t>, 191–207 (2014).</w:t>
      </w:r>
    </w:p>
    <w:p w14:paraId="09216E03"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206.</w:t>
      </w:r>
      <w:r w:rsidRPr="002D780B">
        <w:rPr>
          <w:rFonts w:cs="Times New Roman"/>
          <w:noProof/>
          <w:szCs w:val="24"/>
        </w:rPr>
        <w:tab/>
        <w:t xml:space="preserve">Roffet-Salque, M., Dunne, J., Altoft, D. T., Casanova, E., Cramp, L. J. E., Smyth, J., Whelton, H. L. &amp; Evershed, R. P. From the inside out: Upscaling organic residue analyses of archaeological ceramics.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16</w:t>
      </w:r>
      <w:r w:rsidRPr="002D780B">
        <w:rPr>
          <w:rFonts w:cs="Times New Roman"/>
          <w:noProof/>
          <w:szCs w:val="24"/>
        </w:rPr>
        <w:t>, 627–640 (2017).</w:t>
      </w:r>
    </w:p>
    <w:p w14:paraId="6286160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207.</w:t>
      </w:r>
      <w:r w:rsidRPr="002D780B">
        <w:rPr>
          <w:rFonts w:cs="Times New Roman"/>
          <w:noProof/>
          <w:szCs w:val="24"/>
        </w:rPr>
        <w:tab/>
        <w:t xml:space="preserve">King, A., Powis, T. G., Cheong, K. F., Deere, B., Pickering, R. B., Singleton, E. &amp; Gaikwad, N. W. Absorbed Residue Evidence for Prehistoric Datura Use in the American Southeast and Western Mexico. </w:t>
      </w:r>
      <w:r w:rsidRPr="002D780B">
        <w:rPr>
          <w:rFonts w:cs="Times New Roman"/>
          <w:i/>
          <w:iCs/>
          <w:noProof/>
          <w:szCs w:val="24"/>
        </w:rPr>
        <w:t>Adv. Archaeol. Pract.</w:t>
      </w:r>
      <w:r w:rsidRPr="002D780B">
        <w:rPr>
          <w:rFonts w:cs="Times New Roman"/>
          <w:noProof/>
          <w:szCs w:val="24"/>
        </w:rPr>
        <w:t xml:space="preserve"> </w:t>
      </w:r>
      <w:r w:rsidRPr="002D780B">
        <w:rPr>
          <w:rFonts w:cs="Times New Roman"/>
          <w:b/>
          <w:bCs/>
          <w:noProof/>
          <w:szCs w:val="24"/>
        </w:rPr>
        <w:t>6</w:t>
      </w:r>
      <w:r w:rsidRPr="002D780B">
        <w:rPr>
          <w:rFonts w:cs="Times New Roman"/>
          <w:noProof/>
          <w:szCs w:val="24"/>
        </w:rPr>
        <w:t>, 312–327 (2018).</w:t>
      </w:r>
    </w:p>
    <w:p w14:paraId="4D08A39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208.</w:t>
      </w:r>
      <w:r w:rsidRPr="002D780B">
        <w:rPr>
          <w:rFonts w:cs="Times New Roman"/>
          <w:noProof/>
          <w:szCs w:val="24"/>
        </w:rPr>
        <w:tab/>
        <w:t xml:space="preserve">Tushingham, S., Snyder, C. M., Brownstein, K. J., Damitio, W. J. &amp; Gang, D. R. Biomolecular archaeology reveals ancient origins of indigenous tobacco smoking in North American Plateau. </w:t>
      </w:r>
      <w:r w:rsidRPr="002D780B">
        <w:rPr>
          <w:rFonts w:cs="Times New Roman"/>
          <w:i/>
          <w:iCs/>
          <w:noProof/>
          <w:szCs w:val="24"/>
        </w:rPr>
        <w:t>Proc. Natl. Acad. Sci. U. S. A.</w:t>
      </w:r>
      <w:r w:rsidRPr="002D780B">
        <w:rPr>
          <w:rFonts w:cs="Times New Roman"/>
          <w:noProof/>
          <w:szCs w:val="24"/>
        </w:rPr>
        <w:t xml:space="preserve"> </w:t>
      </w:r>
      <w:r w:rsidRPr="002D780B">
        <w:rPr>
          <w:rFonts w:cs="Times New Roman"/>
          <w:b/>
          <w:bCs/>
          <w:noProof/>
          <w:szCs w:val="24"/>
        </w:rPr>
        <w:t>115</w:t>
      </w:r>
      <w:r w:rsidRPr="002D780B">
        <w:rPr>
          <w:rFonts w:cs="Times New Roman"/>
          <w:noProof/>
          <w:szCs w:val="24"/>
        </w:rPr>
        <w:t>, 11742–11747 (2018).</w:t>
      </w:r>
    </w:p>
    <w:p w14:paraId="5F790B3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209.</w:t>
      </w:r>
      <w:r w:rsidRPr="002D780B">
        <w:rPr>
          <w:rFonts w:cs="Times New Roman"/>
          <w:noProof/>
          <w:szCs w:val="24"/>
        </w:rPr>
        <w:tab/>
        <w:t xml:space="preserve">Marley, M. B., Brownstein, K. J., Lepper, B. T., Tushingham, S., Leone, K. L., Rafferty, S. M., Gang, D. R., Pansing, L. L., Pickard, W. H. &amp; Six, J. Analyses of organic residue </w:t>
      </w:r>
      <w:r w:rsidRPr="002D780B">
        <w:rPr>
          <w:rFonts w:cs="Times New Roman"/>
          <w:noProof/>
          <w:szCs w:val="24"/>
        </w:rPr>
        <w:lastRenderedPageBreak/>
        <w:t xml:space="preserve">from a conical pipe from the Niles-Wolford Mound (33Pi3), Pickaway County, Ohio.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19</w:t>
      </w:r>
      <w:r w:rsidRPr="002D780B">
        <w:rPr>
          <w:rFonts w:cs="Times New Roman"/>
          <w:noProof/>
          <w:szCs w:val="24"/>
        </w:rPr>
        <w:t>, 658–668 (2018).</w:t>
      </w:r>
    </w:p>
    <w:p w14:paraId="41B0D0CB"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210.</w:t>
      </w:r>
      <w:r w:rsidRPr="002D780B">
        <w:rPr>
          <w:rFonts w:cs="Times New Roman"/>
          <w:noProof/>
          <w:szCs w:val="24"/>
        </w:rPr>
        <w:tab/>
        <w:t xml:space="preserve">Alder, L., Greulich, K., Kempe, G. &amp; Vieth, B. Residue Analysis of 500 High Priority Pesticides: Better by GC-MS or LC-MS/MS? </w:t>
      </w:r>
      <w:r w:rsidRPr="002D780B">
        <w:rPr>
          <w:rFonts w:cs="Times New Roman"/>
          <w:i/>
          <w:iCs/>
          <w:noProof/>
          <w:szCs w:val="24"/>
        </w:rPr>
        <w:t>Mass Spectrom. Rev.</w:t>
      </w:r>
      <w:r w:rsidRPr="002D780B">
        <w:rPr>
          <w:rFonts w:cs="Times New Roman"/>
          <w:noProof/>
          <w:szCs w:val="24"/>
        </w:rPr>
        <w:t xml:space="preserve"> </w:t>
      </w:r>
      <w:r w:rsidRPr="002D780B">
        <w:rPr>
          <w:rFonts w:cs="Times New Roman"/>
          <w:b/>
          <w:bCs/>
          <w:noProof/>
          <w:szCs w:val="24"/>
        </w:rPr>
        <w:t>25</w:t>
      </w:r>
      <w:r w:rsidRPr="002D780B">
        <w:rPr>
          <w:rFonts w:cs="Times New Roman"/>
          <w:noProof/>
          <w:szCs w:val="24"/>
        </w:rPr>
        <w:t>, 838–865 (2006).</w:t>
      </w:r>
    </w:p>
    <w:p w14:paraId="3746C6F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211.</w:t>
      </w:r>
      <w:r w:rsidRPr="002D780B">
        <w:rPr>
          <w:rFonts w:cs="Times New Roman"/>
          <w:noProof/>
          <w:szCs w:val="24"/>
        </w:rPr>
        <w:tab/>
        <w:t xml:space="preserve">Perez, E. R., Knapp, J. A., Horn, C. K., Stillman, S. L., Evans, J. E. &amp; Arfsten, D. P. Comparison of LC-MS-MS and GC-MS analysis of benzodiazepine compounds included in the drug demand reduction urinalysis program. </w:t>
      </w:r>
      <w:r w:rsidRPr="002D780B">
        <w:rPr>
          <w:rFonts w:cs="Times New Roman"/>
          <w:i/>
          <w:iCs/>
          <w:noProof/>
          <w:szCs w:val="24"/>
        </w:rPr>
        <w:t>J. Anal. Toxicol.</w:t>
      </w:r>
      <w:r w:rsidRPr="002D780B">
        <w:rPr>
          <w:rFonts w:cs="Times New Roman"/>
          <w:noProof/>
          <w:szCs w:val="24"/>
        </w:rPr>
        <w:t xml:space="preserve"> </w:t>
      </w:r>
      <w:r w:rsidRPr="002D780B">
        <w:rPr>
          <w:rFonts w:cs="Times New Roman"/>
          <w:b/>
          <w:bCs/>
          <w:noProof/>
          <w:szCs w:val="24"/>
        </w:rPr>
        <w:t>40</w:t>
      </w:r>
      <w:r w:rsidRPr="002D780B">
        <w:rPr>
          <w:rFonts w:cs="Times New Roman"/>
          <w:noProof/>
          <w:szCs w:val="24"/>
        </w:rPr>
        <w:t>, 201–207 (2016).</w:t>
      </w:r>
    </w:p>
    <w:p w14:paraId="314C266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212.</w:t>
      </w:r>
      <w:r w:rsidRPr="002D780B">
        <w:rPr>
          <w:rFonts w:cs="Times New Roman"/>
          <w:noProof/>
          <w:szCs w:val="24"/>
        </w:rPr>
        <w:tab/>
        <w:t xml:space="preserve">Drieu, L., Peche-Quilichini, K., Lachenal, T. &amp; Regert, M. Domestic activities and pottery use in the Iron Age Corsican settlement of Cuciurpula revealed by organic residue analysis.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19</w:t>
      </w:r>
      <w:r w:rsidRPr="002D780B">
        <w:rPr>
          <w:rFonts w:cs="Times New Roman"/>
          <w:noProof/>
          <w:szCs w:val="24"/>
        </w:rPr>
        <w:t>, 213–223 (2018).</w:t>
      </w:r>
    </w:p>
    <w:p w14:paraId="516954F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213.</w:t>
      </w:r>
      <w:r w:rsidRPr="002D780B">
        <w:rPr>
          <w:rFonts w:cs="Times New Roman"/>
          <w:noProof/>
          <w:szCs w:val="24"/>
        </w:rPr>
        <w:tab/>
        <w:t xml:space="preserve">García-Granero, J. J., Suryanarayan, A., Cubas, M., Craig, O. E., Cárdenas, M., Ajithprasad, P. &amp; Madella, M. Integrating Lipid and Starch Grain Analyses From Pottery Vessels to Explore Prehistoric Foodways in Northern Gujarat, India. </w:t>
      </w:r>
      <w:r w:rsidRPr="002D780B">
        <w:rPr>
          <w:rFonts w:cs="Times New Roman"/>
          <w:i/>
          <w:iCs/>
          <w:noProof/>
          <w:szCs w:val="24"/>
        </w:rPr>
        <w:t>Front. Ecol. Evol.</w:t>
      </w:r>
      <w:r w:rsidRPr="002D780B">
        <w:rPr>
          <w:rFonts w:cs="Times New Roman"/>
          <w:noProof/>
          <w:szCs w:val="24"/>
        </w:rPr>
        <w:t xml:space="preserve"> </w:t>
      </w:r>
      <w:r w:rsidRPr="002D780B">
        <w:rPr>
          <w:rFonts w:cs="Times New Roman"/>
          <w:b/>
          <w:bCs/>
          <w:noProof/>
          <w:szCs w:val="24"/>
        </w:rPr>
        <w:t>10</w:t>
      </w:r>
      <w:r w:rsidRPr="002D780B">
        <w:rPr>
          <w:rFonts w:cs="Times New Roman"/>
          <w:noProof/>
          <w:szCs w:val="24"/>
        </w:rPr>
        <w:t>, (2022).</w:t>
      </w:r>
    </w:p>
    <w:p w14:paraId="50ED7FF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214.</w:t>
      </w:r>
      <w:r w:rsidRPr="002D780B">
        <w:rPr>
          <w:rFonts w:cs="Times New Roman"/>
          <w:noProof/>
          <w:szCs w:val="24"/>
        </w:rPr>
        <w:tab/>
        <w:t xml:space="preserve">Koh, A. J., Betancourt, P. P., Pareja, M. N., Brogan, T. M. &amp; Apostolakou, V. Organic residue analysis of pottery from the dye workshop at Alatsomouri-Pefka, Crete.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7</w:t>
      </w:r>
      <w:r w:rsidRPr="002D780B">
        <w:rPr>
          <w:rFonts w:cs="Times New Roman"/>
          <w:noProof/>
          <w:szCs w:val="24"/>
        </w:rPr>
        <w:t>, 536–538 (2016).</w:t>
      </w:r>
    </w:p>
    <w:p w14:paraId="4253FB3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215.</w:t>
      </w:r>
      <w:r w:rsidRPr="002D780B">
        <w:rPr>
          <w:rFonts w:cs="Times New Roman"/>
          <w:noProof/>
          <w:szCs w:val="24"/>
        </w:rPr>
        <w:tab/>
        <w:t xml:space="preserve">Miller, M. J., Whelton, H. L., Swift, J. A., Maline, S., Hammann, S., Cramp, L. J. E., McCleary, A., Taylor, G., Vacca, K., Becks, F., Evershed, R. P. &amp; Hastorf, C. A. Interpreting ancient food practices: stable isotope and molecular analyses of visible and absorbed residues from a year-long cooking experiment. </w:t>
      </w:r>
      <w:r w:rsidRPr="002D780B">
        <w:rPr>
          <w:rFonts w:cs="Times New Roman"/>
          <w:i/>
          <w:iCs/>
          <w:noProof/>
          <w:szCs w:val="24"/>
        </w:rPr>
        <w:t>Sci. Rep.</w:t>
      </w:r>
      <w:r w:rsidRPr="002D780B">
        <w:rPr>
          <w:rFonts w:cs="Times New Roman"/>
          <w:noProof/>
          <w:szCs w:val="24"/>
        </w:rPr>
        <w:t xml:space="preserve"> </w:t>
      </w:r>
      <w:r w:rsidRPr="002D780B">
        <w:rPr>
          <w:rFonts w:cs="Times New Roman"/>
          <w:b/>
          <w:bCs/>
          <w:noProof/>
          <w:szCs w:val="24"/>
        </w:rPr>
        <w:t>10</w:t>
      </w:r>
      <w:r w:rsidRPr="002D780B">
        <w:rPr>
          <w:rFonts w:cs="Times New Roman"/>
          <w:noProof/>
          <w:szCs w:val="24"/>
        </w:rPr>
        <w:t>, 1–17 (2020).</w:t>
      </w:r>
    </w:p>
    <w:p w14:paraId="2AD8E21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216.</w:t>
      </w:r>
      <w:r w:rsidRPr="002D780B">
        <w:rPr>
          <w:rFonts w:cs="Times New Roman"/>
          <w:noProof/>
          <w:szCs w:val="24"/>
        </w:rPr>
        <w:tab/>
        <w:t xml:space="preserve">Qanbari-Taheri, N., Karimy, A. H., Holakooei, P. &amp; Kobarfard, F. Organic residue analysis of Iron Age ceramics from the archaeological site of Kani-zirin, western Iran. </w:t>
      </w:r>
      <w:r w:rsidRPr="002D780B">
        <w:rPr>
          <w:rFonts w:cs="Times New Roman"/>
          <w:i/>
          <w:iCs/>
          <w:noProof/>
          <w:szCs w:val="24"/>
        </w:rPr>
        <w:t>Archaeometry</w:t>
      </w:r>
      <w:r w:rsidRPr="002D780B">
        <w:rPr>
          <w:rFonts w:cs="Times New Roman"/>
          <w:noProof/>
          <w:szCs w:val="24"/>
        </w:rPr>
        <w:t xml:space="preserve"> </w:t>
      </w:r>
      <w:r w:rsidRPr="002D780B">
        <w:rPr>
          <w:rFonts w:cs="Times New Roman"/>
          <w:b/>
          <w:bCs/>
          <w:noProof/>
          <w:szCs w:val="24"/>
        </w:rPr>
        <w:t>62</w:t>
      </w:r>
      <w:r w:rsidRPr="002D780B">
        <w:rPr>
          <w:rFonts w:cs="Times New Roman"/>
          <w:noProof/>
          <w:szCs w:val="24"/>
        </w:rPr>
        <w:t>, 612–625 (2020).</w:t>
      </w:r>
    </w:p>
    <w:p w14:paraId="5D6765C6"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217.</w:t>
      </w:r>
      <w:r w:rsidRPr="002D780B">
        <w:rPr>
          <w:rFonts w:cs="Times New Roman"/>
          <w:noProof/>
          <w:szCs w:val="24"/>
        </w:rPr>
        <w:tab/>
        <w:t xml:space="preserve">Kaplan, J., Paredes Umaña, F., Hurst, W. J., Sun, D., Stanley, B., Barba Pingarrón, L. &amp; Obregon Cardona, M. Cacao residues in vessels from Chocolá, an early Maya polity in the southern Guatemalan piedmont, determined by semi-quantitative testing and high-performance liquid chromatography. </w:t>
      </w:r>
      <w:r w:rsidRPr="002D780B">
        <w:rPr>
          <w:rFonts w:cs="Times New Roman"/>
          <w:i/>
          <w:iCs/>
          <w:noProof/>
          <w:szCs w:val="24"/>
        </w:rPr>
        <w:t>J. Archaeol. Sci. Reports</w:t>
      </w:r>
      <w:r w:rsidRPr="002D780B">
        <w:rPr>
          <w:rFonts w:cs="Times New Roman"/>
          <w:noProof/>
          <w:szCs w:val="24"/>
        </w:rPr>
        <w:t xml:space="preserve"> </w:t>
      </w:r>
      <w:r w:rsidRPr="002D780B">
        <w:rPr>
          <w:rFonts w:cs="Times New Roman"/>
          <w:b/>
          <w:bCs/>
          <w:noProof/>
          <w:szCs w:val="24"/>
        </w:rPr>
        <w:t>13</w:t>
      </w:r>
      <w:r w:rsidRPr="002D780B">
        <w:rPr>
          <w:rFonts w:cs="Times New Roman"/>
          <w:noProof/>
          <w:szCs w:val="24"/>
        </w:rPr>
        <w:t>, 526–534 (2017).</w:t>
      </w:r>
    </w:p>
    <w:p w14:paraId="62B844B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218.</w:t>
      </w:r>
      <w:r w:rsidRPr="002D780B">
        <w:rPr>
          <w:rFonts w:cs="Times New Roman"/>
          <w:noProof/>
          <w:szCs w:val="24"/>
        </w:rPr>
        <w:tab/>
        <w:t xml:space="preserve">Technology, N. I. of S. and. NIST/EPA/NIH Mass Spectral Library. </w:t>
      </w:r>
      <w:r w:rsidRPr="002D780B">
        <w:rPr>
          <w:rFonts w:cs="Times New Roman"/>
          <w:i/>
          <w:iCs/>
          <w:noProof/>
          <w:szCs w:val="24"/>
        </w:rPr>
        <w:t>US Secr. Commer.</w:t>
      </w:r>
    </w:p>
    <w:p w14:paraId="52309D2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219.</w:t>
      </w:r>
      <w:r w:rsidRPr="002D780B">
        <w:rPr>
          <w:rFonts w:cs="Times New Roman"/>
          <w:noProof/>
          <w:szCs w:val="24"/>
        </w:rPr>
        <w:tab/>
        <w:t xml:space="preserve">Warinner, C., Robles, N. &amp; Tuross, N. Maize, beans and the floral isotopic diversity of highland Oaxaca, Mexico. </w:t>
      </w:r>
      <w:r w:rsidRPr="002D780B">
        <w:rPr>
          <w:rFonts w:cs="Times New Roman"/>
          <w:i/>
          <w:iCs/>
          <w:noProof/>
          <w:szCs w:val="24"/>
        </w:rPr>
        <w:t>J. Archaeol. Sci.</w:t>
      </w:r>
      <w:r w:rsidRPr="002D780B">
        <w:rPr>
          <w:rFonts w:cs="Times New Roman"/>
          <w:noProof/>
          <w:szCs w:val="24"/>
        </w:rPr>
        <w:t xml:space="preserve"> </w:t>
      </w:r>
      <w:r w:rsidRPr="002D780B">
        <w:rPr>
          <w:rFonts w:cs="Times New Roman"/>
          <w:b/>
          <w:bCs/>
          <w:noProof/>
          <w:szCs w:val="24"/>
        </w:rPr>
        <w:t>40</w:t>
      </w:r>
      <w:r w:rsidRPr="002D780B">
        <w:rPr>
          <w:rFonts w:cs="Times New Roman"/>
          <w:noProof/>
          <w:szCs w:val="24"/>
        </w:rPr>
        <w:t>, 868–873 (2013).</w:t>
      </w:r>
    </w:p>
    <w:p w14:paraId="2E0AEE37"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220.</w:t>
      </w:r>
      <w:r w:rsidRPr="002D780B">
        <w:rPr>
          <w:rFonts w:cs="Times New Roman"/>
          <w:noProof/>
          <w:szCs w:val="24"/>
        </w:rPr>
        <w:tab/>
        <w:t xml:space="preserve">Ashihara, H. &amp; Suzuki, T. Distribution and biosynthesis of caffeine in plants. </w:t>
      </w:r>
      <w:r w:rsidRPr="002D780B">
        <w:rPr>
          <w:rFonts w:cs="Times New Roman"/>
          <w:i/>
          <w:iCs/>
          <w:noProof/>
          <w:szCs w:val="24"/>
        </w:rPr>
        <w:t>Front. Biosci.</w:t>
      </w:r>
      <w:r w:rsidRPr="002D780B">
        <w:rPr>
          <w:rFonts w:cs="Times New Roman"/>
          <w:noProof/>
          <w:szCs w:val="24"/>
        </w:rPr>
        <w:t xml:space="preserve"> </w:t>
      </w:r>
      <w:r w:rsidRPr="002D780B">
        <w:rPr>
          <w:rFonts w:cs="Times New Roman"/>
          <w:b/>
          <w:bCs/>
          <w:noProof/>
          <w:szCs w:val="24"/>
        </w:rPr>
        <w:t>9</w:t>
      </w:r>
      <w:r w:rsidRPr="002D780B">
        <w:rPr>
          <w:rFonts w:cs="Times New Roman"/>
          <w:noProof/>
          <w:szCs w:val="24"/>
        </w:rPr>
        <w:t>, 1864–1876 (2004).</w:t>
      </w:r>
    </w:p>
    <w:p w14:paraId="74617B2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221.</w:t>
      </w:r>
      <w:r w:rsidRPr="002D780B">
        <w:rPr>
          <w:rFonts w:cs="Times New Roman"/>
          <w:noProof/>
          <w:szCs w:val="24"/>
        </w:rPr>
        <w:tab/>
        <w:t xml:space="preserve">Chapa-Oliver, A. M. &amp; Mejía-Teniente, L. Capsaicin: From Plants to a Cancer-Suppressing Agent. </w:t>
      </w:r>
      <w:r w:rsidRPr="002D780B">
        <w:rPr>
          <w:rFonts w:cs="Times New Roman"/>
          <w:i/>
          <w:iCs/>
          <w:noProof/>
          <w:szCs w:val="24"/>
        </w:rPr>
        <w:t>Molecules</w:t>
      </w:r>
      <w:r w:rsidRPr="002D780B">
        <w:rPr>
          <w:rFonts w:cs="Times New Roman"/>
          <w:noProof/>
          <w:szCs w:val="24"/>
        </w:rPr>
        <w:t xml:space="preserve"> </w:t>
      </w:r>
      <w:r w:rsidRPr="002D780B">
        <w:rPr>
          <w:rFonts w:cs="Times New Roman"/>
          <w:b/>
          <w:bCs/>
          <w:noProof/>
          <w:szCs w:val="24"/>
        </w:rPr>
        <w:t>21</w:t>
      </w:r>
      <w:r w:rsidRPr="002D780B">
        <w:rPr>
          <w:rFonts w:cs="Times New Roman"/>
          <w:noProof/>
          <w:szCs w:val="24"/>
        </w:rPr>
        <w:t>, 1–14 (2016).</w:t>
      </w:r>
    </w:p>
    <w:p w14:paraId="5ABEC329"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222.</w:t>
      </w:r>
      <w:r w:rsidRPr="002D780B">
        <w:rPr>
          <w:rFonts w:cs="Times New Roman"/>
          <w:noProof/>
          <w:szCs w:val="24"/>
        </w:rPr>
        <w:tab/>
        <w:t xml:space="preserve">Tewksbury, J. J. &amp; Nabhan, G. P. Directed deterrence by capsaicin in chillies. </w:t>
      </w:r>
      <w:r w:rsidRPr="002D780B">
        <w:rPr>
          <w:rFonts w:cs="Times New Roman"/>
          <w:i/>
          <w:iCs/>
          <w:noProof/>
          <w:szCs w:val="24"/>
        </w:rPr>
        <w:t>Nature</w:t>
      </w:r>
      <w:r w:rsidRPr="002D780B">
        <w:rPr>
          <w:rFonts w:cs="Times New Roman"/>
          <w:noProof/>
          <w:szCs w:val="24"/>
        </w:rPr>
        <w:t xml:space="preserve"> </w:t>
      </w:r>
      <w:r w:rsidRPr="002D780B">
        <w:rPr>
          <w:rFonts w:cs="Times New Roman"/>
          <w:b/>
          <w:bCs/>
          <w:noProof/>
          <w:szCs w:val="24"/>
        </w:rPr>
        <w:t>412</w:t>
      </w:r>
      <w:r w:rsidRPr="002D780B">
        <w:rPr>
          <w:rFonts w:cs="Times New Roman"/>
          <w:noProof/>
          <w:szCs w:val="24"/>
        </w:rPr>
        <w:t>, 403–404 (2001).</w:t>
      </w:r>
    </w:p>
    <w:p w14:paraId="6351F20E"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223.</w:t>
      </w:r>
      <w:r w:rsidRPr="002D780B">
        <w:rPr>
          <w:rFonts w:cs="Times New Roman"/>
          <w:noProof/>
          <w:szCs w:val="24"/>
        </w:rPr>
        <w:tab/>
        <w:t xml:space="preserve">Calderón-Montaño, J. M., Burgos-Morón, E., Pérez-Guerrero, C. &amp; López-Lázaro, M. A Review on the Dietary Flavonoid Kaempferol. </w:t>
      </w:r>
      <w:r w:rsidRPr="002D780B">
        <w:rPr>
          <w:rFonts w:cs="Times New Roman"/>
          <w:i/>
          <w:iCs/>
          <w:noProof/>
          <w:szCs w:val="24"/>
        </w:rPr>
        <w:t>Mini-Reviews Med. Chem.</w:t>
      </w:r>
      <w:r w:rsidRPr="002D780B">
        <w:rPr>
          <w:rFonts w:cs="Times New Roman"/>
          <w:noProof/>
          <w:szCs w:val="24"/>
        </w:rPr>
        <w:t xml:space="preserve"> </w:t>
      </w:r>
      <w:r w:rsidRPr="002D780B">
        <w:rPr>
          <w:rFonts w:cs="Times New Roman"/>
          <w:b/>
          <w:bCs/>
          <w:noProof/>
          <w:szCs w:val="24"/>
        </w:rPr>
        <w:t>11</w:t>
      </w:r>
      <w:r w:rsidRPr="002D780B">
        <w:rPr>
          <w:rFonts w:cs="Times New Roman"/>
          <w:noProof/>
          <w:szCs w:val="24"/>
        </w:rPr>
        <w:t>, 298–344 (2011).</w:t>
      </w:r>
    </w:p>
    <w:p w14:paraId="59BFEE15"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224.</w:t>
      </w:r>
      <w:r w:rsidRPr="002D780B">
        <w:rPr>
          <w:rFonts w:cs="Times New Roman"/>
          <w:noProof/>
          <w:szCs w:val="24"/>
        </w:rPr>
        <w:tab/>
        <w:t xml:space="preserve">Bolarinwa, I. F., Orfila, C. &amp; Morgan, M. R. A. Determination of amygdalin in apple seeds, fresh apples and processed apple juices. </w:t>
      </w:r>
      <w:r w:rsidRPr="002D780B">
        <w:rPr>
          <w:rFonts w:cs="Times New Roman"/>
          <w:i/>
          <w:iCs/>
          <w:noProof/>
          <w:szCs w:val="24"/>
        </w:rPr>
        <w:t>Food Chem.</w:t>
      </w:r>
      <w:r w:rsidRPr="002D780B">
        <w:rPr>
          <w:rFonts w:cs="Times New Roman"/>
          <w:noProof/>
          <w:szCs w:val="24"/>
        </w:rPr>
        <w:t xml:space="preserve"> </w:t>
      </w:r>
      <w:r w:rsidRPr="002D780B">
        <w:rPr>
          <w:rFonts w:cs="Times New Roman"/>
          <w:b/>
          <w:bCs/>
          <w:noProof/>
          <w:szCs w:val="24"/>
        </w:rPr>
        <w:t>170</w:t>
      </w:r>
      <w:r w:rsidRPr="002D780B">
        <w:rPr>
          <w:rFonts w:cs="Times New Roman"/>
          <w:noProof/>
          <w:szCs w:val="24"/>
        </w:rPr>
        <w:t>, 437–442 (2015).</w:t>
      </w:r>
    </w:p>
    <w:p w14:paraId="331D8428"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225.</w:t>
      </w:r>
      <w:r w:rsidRPr="002D780B">
        <w:rPr>
          <w:rFonts w:cs="Times New Roman"/>
          <w:noProof/>
          <w:szCs w:val="24"/>
        </w:rPr>
        <w:tab/>
        <w:t xml:space="preserve">Jaszczak-Wilke, E., Polkowska, Ż., Koprowski, M., Owsianik, K., Mitchell, A. E. &amp; Bałczewski, P. Amygdalin: Toxicity, Anticancer Activity and Analytical Procedures for Its Determination in Plant Seeds. </w:t>
      </w:r>
      <w:r w:rsidRPr="002D780B">
        <w:rPr>
          <w:rFonts w:cs="Times New Roman"/>
          <w:i/>
          <w:iCs/>
          <w:noProof/>
          <w:szCs w:val="24"/>
        </w:rPr>
        <w:t>Molecules</w:t>
      </w:r>
      <w:r w:rsidRPr="002D780B">
        <w:rPr>
          <w:rFonts w:cs="Times New Roman"/>
          <w:noProof/>
          <w:szCs w:val="24"/>
        </w:rPr>
        <w:t xml:space="preserve"> </w:t>
      </w:r>
      <w:r w:rsidRPr="002D780B">
        <w:rPr>
          <w:rFonts w:cs="Times New Roman"/>
          <w:b/>
          <w:bCs/>
          <w:noProof/>
          <w:szCs w:val="24"/>
        </w:rPr>
        <w:t>26</w:t>
      </w:r>
      <w:r w:rsidRPr="002D780B">
        <w:rPr>
          <w:rFonts w:cs="Times New Roman"/>
          <w:noProof/>
          <w:szCs w:val="24"/>
        </w:rPr>
        <w:t>, 1–16 (2021).</w:t>
      </w:r>
    </w:p>
    <w:p w14:paraId="0E63B4E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226.</w:t>
      </w:r>
      <w:r w:rsidRPr="002D780B">
        <w:rPr>
          <w:rFonts w:cs="Times New Roman"/>
          <w:noProof/>
          <w:szCs w:val="24"/>
        </w:rPr>
        <w:tab/>
        <w:t xml:space="preserve">Rasul, A., Millimouno, F. M., Eltayb, W. A., Ali, M., Li, J. &amp; Li, X. Pinocembrin: A </w:t>
      </w:r>
      <w:r w:rsidRPr="002D780B">
        <w:rPr>
          <w:rFonts w:cs="Times New Roman"/>
          <w:noProof/>
          <w:szCs w:val="24"/>
        </w:rPr>
        <w:lastRenderedPageBreak/>
        <w:t xml:space="preserve">Novel Natural Compound with Versatile Pharmacological and Biological Activities. </w:t>
      </w:r>
      <w:r w:rsidRPr="002D780B">
        <w:rPr>
          <w:rFonts w:cs="Times New Roman"/>
          <w:i/>
          <w:iCs/>
          <w:noProof/>
          <w:szCs w:val="24"/>
        </w:rPr>
        <w:t>Biomed Res. Int.</w:t>
      </w:r>
      <w:r w:rsidRPr="002D780B">
        <w:rPr>
          <w:rFonts w:cs="Times New Roman"/>
          <w:noProof/>
          <w:szCs w:val="24"/>
        </w:rPr>
        <w:t xml:space="preserve"> 1–10 (2013).</w:t>
      </w:r>
    </w:p>
    <w:p w14:paraId="222072AA"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227.</w:t>
      </w:r>
      <w:r w:rsidRPr="002D780B">
        <w:rPr>
          <w:rFonts w:cs="Times New Roman"/>
          <w:noProof/>
          <w:szCs w:val="24"/>
        </w:rPr>
        <w:tab/>
        <w:t xml:space="preserve">Jaganathan, S. K. &amp; Mandal, M. Antiproliferative Effects of Honey and of Its Polyphenols: A Review Chemistry of Honey. </w:t>
      </w:r>
      <w:r w:rsidRPr="002D780B">
        <w:rPr>
          <w:rFonts w:cs="Times New Roman"/>
          <w:i/>
          <w:iCs/>
          <w:noProof/>
          <w:szCs w:val="24"/>
        </w:rPr>
        <w:t>J. Biomed. Biotechnol.</w:t>
      </w:r>
      <w:r w:rsidRPr="002D780B">
        <w:rPr>
          <w:rFonts w:cs="Times New Roman"/>
          <w:noProof/>
          <w:szCs w:val="24"/>
        </w:rPr>
        <w:t xml:space="preserve"> 1–14 (2009) doi:10.1155/2009/830616.</w:t>
      </w:r>
    </w:p>
    <w:p w14:paraId="51DBAEAF"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228.</w:t>
      </w:r>
      <w:r w:rsidRPr="002D780B">
        <w:rPr>
          <w:rFonts w:cs="Times New Roman"/>
          <w:noProof/>
          <w:szCs w:val="24"/>
        </w:rPr>
        <w:tab/>
        <w:t xml:space="preserve">Kwik-Uribe, C. &amp; Bektash, R. M. Cocoa flavanols: measurement, bioavailability and bioactivity. </w:t>
      </w:r>
      <w:r w:rsidRPr="002D780B">
        <w:rPr>
          <w:rFonts w:cs="Times New Roman"/>
          <w:i/>
          <w:iCs/>
          <w:noProof/>
          <w:szCs w:val="24"/>
        </w:rPr>
        <w:t>Asia Pac. J. Clin. Nutr.</w:t>
      </w:r>
      <w:r w:rsidRPr="002D780B">
        <w:rPr>
          <w:rFonts w:cs="Times New Roman"/>
          <w:noProof/>
          <w:szCs w:val="24"/>
        </w:rPr>
        <w:t xml:space="preserve"> </w:t>
      </w:r>
      <w:r w:rsidRPr="002D780B">
        <w:rPr>
          <w:rFonts w:cs="Times New Roman"/>
          <w:b/>
          <w:bCs/>
          <w:noProof/>
          <w:szCs w:val="24"/>
        </w:rPr>
        <w:t>17</w:t>
      </w:r>
      <w:r w:rsidRPr="002D780B">
        <w:rPr>
          <w:rFonts w:cs="Times New Roman"/>
          <w:noProof/>
          <w:szCs w:val="24"/>
        </w:rPr>
        <w:t>, 280–283 (2008).</w:t>
      </w:r>
    </w:p>
    <w:p w14:paraId="73C961FD"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229.</w:t>
      </w:r>
      <w:r w:rsidRPr="002D780B">
        <w:rPr>
          <w:rFonts w:cs="Times New Roman"/>
          <w:noProof/>
          <w:szCs w:val="24"/>
        </w:rPr>
        <w:tab/>
        <w:t xml:space="preserve">Liu, Y., Gao, L., Liu, L., Yang, Q., Lu, Z., Nie, Z., Wang, Y. &amp; Xia, T. Purification and Characterization of a Novel Galloyltransferase Involved in Catechin Galloylation in the Tea Plant (Camellia sinensis)*. </w:t>
      </w:r>
      <w:r w:rsidRPr="002D780B">
        <w:rPr>
          <w:rFonts w:cs="Times New Roman"/>
          <w:i/>
          <w:iCs/>
          <w:noProof/>
          <w:szCs w:val="24"/>
        </w:rPr>
        <w:t>J. Biol. Chem.</w:t>
      </w:r>
      <w:r w:rsidRPr="002D780B">
        <w:rPr>
          <w:rFonts w:cs="Times New Roman"/>
          <w:noProof/>
          <w:szCs w:val="24"/>
        </w:rPr>
        <w:t xml:space="preserve"> </w:t>
      </w:r>
      <w:r w:rsidRPr="002D780B">
        <w:rPr>
          <w:rFonts w:cs="Times New Roman"/>
          <w:b/>
          <w:bCs/>
          <w:noProof/>
          <w:szCs w:val="24"/>
        </w:rPr>
        <w:t>287</w:t>
      </w:r>
      <w:r w:rsidRPr="002D780B">
        <w:rPr>
          <w:rFonts w:cs="Times New Roman"/>
          <w:noProof/>
          <w:szCs w:val="24"/>
        </w:rPr>
        <w:t>, 44406–44417 (2012).</w:t>
      </w:r>
    </w:p>
    <w:p w14:paraId="0FC10EC4"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230.</w:t>
      </w:r>
      <w:r w:rsidRPr="002D780B">
        <w:rPr>
          <w:rFonts w:cs="Times New Roman"/>
          <w:noProof/>
          <w:szCs w:val="24"/>
        </w:rPr>
        <w:tab/>
        <w:t xml:space="preserve">Athilli, L. &amp; Balasubramaniam, A. Hordenine: Pharmacological, phytochemical, pharmacokinetic and analytical review of the literature. </w:t>
      </w:r>
      <w:r w:rsidRPr="002D780B">
        <w:rPr>
          <w:rFonts w:cs="Times New Roman"/>
          <w:i/>
          <w:iCs/>
          <w:noProof/>
          <w:szCs w:val="24"/>
        </w:rPr>
        <w:t>Ann. Phytomedicine</w:t>
      </w:r>
      <w:r w:rsidRPr="002D780B">
        <w:rPr>
          <w:rFonts w:cs="Times New Roman"/>
          <w:noProof/>
          <w:szCs w:val="24"/>
        </w:rPr>
        <w:t xml:space="preserve"> </w:t>
      </w:r>
      <w:r w:rsidRPr="002D780B">
        <w:rPr>
          <w:rFonts w:cs="Times New Roman"/>
          <w:b/>
          <w:bCs/>
          <w:noProof/>
          <w:szCs w:val="24"/>
        </w:rPr>
        <w:t>11</w:t>
      </w:r>
      <w:r w:rsidRPr="002D780B">
        <w:rPr>
          <w:rFonts w:cs="Times New Roman"/>
          <w:noProof/>
          <w:szCs w:val="24"/>
        </w:rPr>
        <w:t>, 121–132 (2022).</w:t>
      </w:r>
    </w:p>
    <w:p w14:paraId="7C601F62"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szCs w:val="24"/>
        </w:rPr>
      </w:pPr>
      <w:r w:rsidRPr="002D780B">
        <w:rPr>
          <w:rFonts w:cs="Times New Roman"/>
          <w:noProof/>
          <w:szCs w:val="24"/>
        </w:rPr>
        <w:t>231.</w:t>
      </w:r>
      <w:r w:rsidRPr="002D780B">
        <w:rPr>
          <w:rFonts w:cs="Times New Roman"/>
          <w:noProof/>
          <w:szCs w:val="24"/>
        </w:rPr>
        <w:tab/>
        <w:t xml:space="preserve">Gregor, R., Probst, M., Eyal, S., Aksenov, A., Sasson, G., Horovitz, I., Dorrestein, P. C., Meijler, M. M. &amp; Mizrahi, I. Mammalian gut metabolomes mirror microbiome composition and host phylogeny. </w:t>
      </w:r>
      <w:r w:rsidRPr="002D780B">
        <w:rPr>
          <w:rFonts w:cs="Times New Roman"/>
          <w:i/>
          <w:iCs/>
          <w:noProof/>
          <w:szCs w:val="24"/>
        </w:rPr>
        <w:t>ISME J.</w:t>
      </w:r>
      <w:r w:rsidRPr="002D780B">
        <w:rPr>
          <w:rFonts w:cs="Times New Roman"/>
          <w:noProof/>
          <w:szCs w:val="24"/>
        </w:rPr>
        <w:t xml:space="preserve"> </w:t>
      </w:r>
      <w:r w:rsidRPr="002D780B">
        <w:rPr>
          <w:rFonts w:cs="Times New Roman"/>
          <w:b/>
          <w:bCs/>
          <w:noProof/>
          <w:szCs w:val="24"/>
        </w:rPr>
        <w:t>16</w:t>
      </w:r>
      <w:r w:rsidRPr="002D780B">
        <w:rPr>
          <w:rFonts w:cs="Times New Roman"/>
          <w:noProof/>
          <w:szCs w:val="24"/>
        </w:rPr>
        <w:t>, 1262–1274 (2022).</w:t>
      </w:r>
    </w:p>
    <w:p w14:paraId="0EA0FCEC" w14:textId="77777777" w:rsidR="002D780B" w:rsidRPr="002D780B" w:rsidRDefault="002D780B" w:rsidP="002D780B">
      <w:pPr>
        <w:widowControl w:val="0"/>
        <w:autoSpaceDE w:val="0"/>
        <w:autoSpaceDN w:val="0"/>
        <w:adjustRightInd w:val="0"/>
        <w:spacing w:after="0" w:line="240" w:lineRule="auto"/>
        <w:ind w:left="640" w:hanging="640"/>
        <w:rPr>
          <w:rFonts w:cs="Times New Roman"/>
          <w:noProof/>
        </w:rPr>
      </w:pPr>
      <w:r w:rsidRPr="002D780B">
        <w:rPr>
          <w:rFonts w:cs="Times New Roman"/>
          <w:noProof/>
          <w:szCs w:val="24"/>
        </w:rPr>
        <w:t>232.</w:t>
      </w:r>
      <w:r w:rsidRPr="002D780B">
        <w:rPr>
          <w:rFonts w:cs="Times New Roman"/>
          <w:noProof/>
          <w:szCs w:val="24"/>
        </w:rPr>
        <w:tab/>
        <w:t xml:space="preserve">Timm, C. M., Loomis, K., Stone, W., Mehoke, T., Brensinger, B., Pellicore, M., Staniczenko, P. P. A., Charles, C., Nayak, S. &amp; Karig, D. K. Isolation and characterization of diverse microbial representatives from the human skin microbiome. </w:t>
      </w:r>
      <w:r w:rsidRPr="002D780B">
        <w:rPr>
          <w:rFonts w:cs="Times New Roman"/>
          <w:i/>
          <w:iCs/>
          <w:noProof/>
          <w:szCs w:val="24"/>
        </w:rPr>
        <w:t>Microbiome</w:t>
      </w:r>
      <w:r w:rsidRPr="002D780B">
        <w:rPr>
          <w:rFonts w:cs="Times New Roman"/>
          <w:noProof/>
          <w:szCs w:val="24"/>
        </w:rPr>
        <w:t xml:space="preserve"> </w:t>
      </w:r>
      <w:r w:rsidRPr="002D780B">
        <w:rPr>
          <w:rFonts w:cs="Times New Roman"/>
          <w:b/>
          <w:bCs/>
          <w:noProof/>
          <w:szCs w:val="24"/>
        </w:rPr>
        <w:t>8</w:t>
      </w:r>
      <w:r w:rsidRPr="002D780B">
        <w:rPr>
          <w:rFonts w:cs="Times New Roman"/>
          <w:noProof/>
          <w:szCs w:val="24"/>
        </w:rPr>
        <w:t>, 1–12 (2020).</w:t>
      </w:r>
    </w:p>
    <w:p w14:paraId="7F7F80E2" w14:textId="7ED9F005" w:rsidR="00274ADB" w:rsidRPr="00901194" w:rsidRDefault="00D965EA" w:rsidP="0088209E">
      <w:pPr>
        <w:spacing w:after="0" w:line="240" w:lineRule="auto"/>
        <w:rPr>
          <w:rFonts w:cs="Times New Roman"/>
        </w:rPr>
      </w:pPr>
      <w:r w:rsidRPr="00901194">
        <w:rPr>
          <w:rFonts w:cs="Times New Roman"/>
        </w:rPr>
        <w:fldChar w:fldCharType="end"/>
      </w:r>
    </w:p>
    <w:p w14:paraId="09D9E77B" w14:textId="77777777" w:rsidR="00274ADB" w:rsidRPr="00901194" w:rsidRDefault="00274ADB">
      <w:pPr>
        <w:spacing w:line="259" w:lineRule="auto"/>
        <w:rPr>
          <w:rFonts w:cs="Times New Roman"/>
        </w:rPr>
      </w:pPr>
      <w:r w:rsidRPr="00901194">
        <w:rPr>
          <w:rFonts w:cs="Times New Roman"/>
        </w:rPr>
        <w:br w:type="page"/>
      </w:r>
    </w:p>
    <w:p w14:paraId="0792104F" w14:textId="3F7B1AB4" w:rsidR="00274ADB" w:rsidRPr="00901194" w:rsidRDefault="00274ADB" w:rsidP="00274ADB">
      <w:pPr>
        <w:pStyle w:val="ChapterHeading1"/>
      </w:pPr>
      <w:bookmarkStart w:id="103" w:name="_Toc134185993"/>
      <w:r w:rsidRPr="00901194">
        <w:lastRenderedPageBreak/>
        <w:t>Supplementary Material A</w:t>
      </w:r>
      <w:bookmarkEnd w:id="103"/>
    </w:p>
    <w:p w14:paraId="09886A23" w14:textId="76FCB75D" w:rsidR="00274ADB" w:rsidRPr="00901194" w:rsidRDefault="00274ADB" w:rsidP="0000445D">
      <w:pPr>
        <w:pStyle w:val="Sub-ChapterHading"/>
      </w:pPr>
      <w:bookmarkStart w:id="104" w:name="_Toc134185994"/>
      <w:r w:rsidRPr="00901194">
        <w:t>Author List and Affiliations</w:t>
      </w:r>
      <w:bookmarkEnd w:id="104"/>
    </w:p>
    <w:p w14:paraId="515C8679" w14:textId="77777777" w:rsidR="00274ADB" w:rsidRPr="00901194" w:rsidRDefault="00274ADB" w:rsidP="00274ADB">
      <w:pPr>
        <w:spacing w:line="240" w:lineRule="auto"/>
        <w:rPr>
          <w:rFonts w:cs="Times New Roman"/>
          <w:vertAlign w:val="superscript"/>
        </w:rPr>
      </w:pPr>
      <w:r w:rsidRPr="00901194">
        <w:rPr>
          <w:rFonts w:cs="Times New Roman"/>
        </w:rPr>
        <w:t>Jacob J. Haffner</w:t>
      </w:r>
      <w:r w:rsidRPr="00901194">
        <w:rPr>
          <w:rFonts w:cs="Times New Roman"/>
          <w:vertAlign w:val="superscript"/>
        </w:rPr>
        <w:t>1,2</w:t>
      </w:r>
      <w:r w:rsidRPr="00901194">
        <w:rPr>
          <w:rFonts w:cs="Times New Roman"/>
        </w:rPr>
        <w:t>, Mitchelle Katemauswa</w:t>
      </w:r>
      <w:r w:rsidRPr="00901194">
        <w:rPr>
          <w:rFonts w:cs="Times New Roman"/>
          <w:vertAlign w:val="superscript"/>
        </w:rPr>
        <w:t>2,3</w:t>
      </w:r>
      <w:r w:rsidRPr="00901194">
        <w:rPr>
          <w:rFonts w:cs="Times New Roman"/>
        </w:rPr>
        <w:t>, Thérèse S. Kagone</w:t>
      </w:r>
      <w:r w:rsidRPr="00901194">
        <w:rPr>
          <w:rFonts w:cs="Times New Roman"/>
          <w:vertAlign w:val="superscript"/>
        </w:rPr>
        <w:t>4,5</w:t>
      </w:r>
      <w:r w:rsidRPr="00901194">
        <w:rPr>
          <w:rFonts w:cs="Times New Roman"/>
        </w:rPr>
        <w:t>, Ekram Hossain</w:t>
      </w:r>
      <w:r w:rsidRPr="00901194">
        <w:rPr>
          <w:rFonts w:cs="Times New Roman"/>
          <w:vertAlign w:val="superscript"/>
        </w:rPr>
        <w:t>2,3</w:t>
      </w:r>
      <w:r w:rsidRPr="00901194">
        <w:rPr>
          <w:rFonts w:cs="Times New Roman"/>
        </w:rPr>
        <w:t>, David Jacobson</w:t>
      </w:r>
      <w:r w:rsidRPr="00901194">
        <w:rPr>
          <w:rFonts w:cs="Times New Roman"/>
          <w:vertAlign w:val="superscript"/>
        </w:rPr>
        <w:t>1,2</w:t>
      </w:r>
      <w:r w:rsidRPr="00901194">
        <w:rPr>
          <w:rFonts w:cs="Times New Roman"/>
        </w:rPr>
        <w:t>, Karina Flores</w:t>
      </w:r>
      <w:r w:rsidRPr="00901194">
        <w:rPr>
          <w:rFonts w:cs="Times New Roman"/>
          <w:vertAlign w:val="superscript"/>
        </w:rPr>
        <w:t>2,6</w:t>
      </w:r>
      <w:r w:rsidRPr="00901194">
        <w:rPr>
          <w:rFonts w:cs="Times New Roman"/>
        </w:rPr>
        <w:t>, Adwaita R. Parab</w:t>
      </w:r>
      <w:r w:rsidRPr="00901194">
        <w:rPr>
          <w:rFonts w:cs="Times New Roman"/>
          <w:vertAlign w:val="superscript"/>
        </w:rPr>
        <w:t>2,7</w:t>
      </w:r>
      <w:r w:rsidRPr="00901194">
        <w:rPr>
          <w:rFonts w:cs="Times New Roman"/>
        </w:rPr>
        <w:t>, Alexandra J. Obregon-Tito</w:t>
      </w:r>
      <w:r w:rsidRPr="00901194">
        <w:rPr>
          <w:rFonts w:cs="Times New Roman"/>
          <w:vertAlign w:val="superscript"/>
        </w:rPr>
        <w:t>1,2</w:t>
      </w:r>
      <w:r w:rsidRPr="00901194">
        <w:rPr>
          <w:rFonts w:cs="Times New Roman"/>
        </w:rPr>
        <w:t>, Raul Y. Tito</w:t>
      </w:r>
      <w:r w:rsidRPr="00901194">
        <w:rPr>
          <w:rFonts w:cs="Times New Roman"/>
          <w:vertAlign w:val="superscript"/>
        </w:rPr>
        <w:t>1,2</w:t>
      </w:r>
      <w:r w:rsidRPr="00901194">
        <w:rPr>
          <w:rFonts w:cs="Times New Roman"/>
        </w:rPr>
        <w:t>, Luis Marin Reyes</w:t>
      </w:r>
      <w:r w:rsidRPr="00901194">
        <w:rPr>
          <w:rFonts w:cs="Times New Roman"/>
          <w:vertAlign w:val="superscript"/>
        </w:rPr>
        <w:t>8</w:t>
      </w:r>
      <w:r w:rsidRPr="00901194">
        <w:rPr>
          <w:rFonts w:cs="Times New Roman"/>
        </w:rPr>
        <w:t>, Luzmila Troncoso-Corzo</w:t>
      </w:r>
      <w:r w:rsidRPr="00901194">
        <w:rPr>
          <w:rFonts w:cs="Times New Roman"/>
          <w:vertAlign w:val="superscript"/>
        </w:rPr>
        <w:t>9</w:t>
      </w:r>
      <w:r w:rsidRPr="00901194">
        <w:rPr>
          <w:rFonts w:cs="Times New Roman"/>
        </w:rPr>
        <w:t>, Emilio Guija-Poma</w:t>
      </w:r>
      <w:r w:rsidRPr="00901194">
        <w:rPr>
          <w:rFonts w:cs="Times New Roman"/>
          <w:vertAlign w:val="superscript"/>
        </w:rPr>
        <w:t>10</w:t>
      </w:r>
      <w:r w:rsidRPr="00901194">
        <w:rPr>
          <w:rFonts w:cs="Times New Roman"/>
        </w:rPr>
        <w:t>, Nicolas Meda</w:t>
      </w:r>
      <w:r w:rsidRPr="00901194">
        <w:rPr>
          <w:rFonts w:cs="Times New Roman"/>
          <w:vertAlign w:val="superscript"/>
        </w:rPr>
        <w:t>4</w:t>
      </w:r>
      <w:r w:rsidRPr="00901194">
        <w:rPr>
          <w:rFonts w:cs="Times New Roman"/>
        </w:rPr>
        <w:t>, Hélène Carabin</w:t>
      </w:r>
      <w:r w:rsidRPr="00901194">
        <w:rPr>
          <w:rFonts w:cs="Times New Roman"/>
          <w:vertAlign w:val="superscript"/>
        </w:rPr>
        <w:t>11,12,13,14</w:t>
      </w:r>
      <w:r w:rsidRPr="00901194">
        <w:rPr>
          <w:rFonts w:cs="Times New Roman"/>
        </w:rPr>
        <w:t>, Tanvi P. Honap</w:t>
      </w:r>
      <w:r w:rsidRPr="00901194">
        <w:rPr>
          <w:rFonts w:cs="Times New Roman"/>
          <w:vertAlign w:val="superscript"/>
        </w:rPr>
        <w:t>1,2</w:t>
      </w:r>
      <w:r w:rsidRPr="00901194">
        <w:rPr>
          <w:rFonts w:cs="Times New Roman"/>
        </w:rPr>
        <w:t>, Krithivasan Sankaranarayanan</w:t>
      </w:r>
      <w:r w:rsidRPr="00901194">
        <w:rPr>
          <w:rFonts w:cs="Times New Roman"/>
          <w:vertAlign w:val="superscript"/>
        </w:rPr>
        <w:t>2,7</w:t>
      </w:r>
      <w:r w:rsidRPr="00901194">
        <w:rPr>
          <w:rFonts w:cs="Times New Roman"/>
        </w:rPr>
        <w:t>, Cecil M. Lewis Jr</w:t>
      </w:r>
      <w:r w:rsidRPr="00901194">
        <w:rPr>
          <w:rFonts w:cs="Times New Roman"/>
          <w:vertAlign w:val="superscript"/>
        </w:rPr>
        <w:t>1,2*</w:t>
      </w:r>
      <w:r w:rsidRPr="00901194">
        <w:rPr>
          <w:rFonts w:cs="Times New Roman"/>
        </w:rPr>
        <w:t>, Laura-Isobel McCall</w:t>
      </w:r>
      <w:r w:rsidRPr="00901194">
        <w:rPr>
          <w:rFonts w:cs="Times New Roman"/>
          <w:vertAlign w:val="superscript"/>
        </w:rPr>
        <w:t>2,3,7*</w:t>
      </w:r>
    </w:p>
    <w:p w14:paraId="659FADEA" w14:textId="77777777" w:rsidR="00274ADB" w:rsidRPr="00901194" w:rsidRDefault="00274ADB" w:rsidP="00274ADB">
      <w:pPr>
        <w:spacing w:line="240" w:lineRule="auto"/>
        <w:rPr>
          <w:rFonts w:cs="Times New Roman"/>
          <w:szCs w:val="24"/>
        </w:rPr>
      </w:pPr>
      <w:r w:rsidRPr="00901194">
        <w:rPr>
          <w:rFonts w:cs="Times New Roman"/>
          <w:szCs w:val="24"/>
          <w:vertAlign w:val="superscript"/>
        </w:rPr>
        <w:t>1</w:t>
      </w:r>
      <w:r w:rsidRPr="00901194">
        <w:rPr>
          <w:rFonts w:cs="Times New Roman"/>
          <w:szCs w:val="24"/>
        </w:rPr>
        <w:t>Department of Anthropology, University of Oklahoma, Norman, OK, USA.</w:t>
      </w:r>
    </w:p>
    <w:p w14:paraId="39DFE1AB" w14:textId="77777777" w:rsidR="00274ADB" w:rsidRPr="00901194" w:rsidRDefault="00274ADB" w:rsidP="00274ADB">
      <w:pPr>
        <w:spacing w:line="240" w:lineRule="auto"/>
        <w:rPr>
          <w:rFonts w:cs="Times New Roman"/>
          <w:szCs w:val="24"/>
        </w:rPr>
      </w:pPr>
      <w:r w:rsidRPr="00901194">
        <w:rPr>
          <w:rFonts w:cs="Times New Roman"/>
          <w:szCs w:val="24"/>
          <w:vertAlign w:val="superscript"/>
        </w:rPr>
        <w:t>2</w:t>
      </w:r>
      <w:r w:rsidRPr="00901194">
        <w:rPr>
          <w:rFonts w:cs="Times New Roman"/>
          <w:szCs w:val="24"/>
        </w:rPr>
        <w:t>Laboratories of Molecular Anthropology and Microbiome Research (LMAMR), University of Oklahoma, Norman, OK.</w:t>
      </w:r>
    </w:p>
    <w:p w14:paraId="5CE13A08" w14:textId="77777777" w:rsidR="00274ADB" w:rsidRPr="00901194" w:rsidRDefault="00274ADB" w:rsidP="00274ADB">
      <w:pPr>
        <w:spacing w:line="240" w:lineRule="auto"/>
        <w:rPr>
          <w:rFonts w:cs="Times New Roman"/>
          <w:szCs w:val="24"/>
        </w:rPr>
      </w:pPr>
      <w:r w:rsidRPr="00901194">
        <w:rPr>
          <w:rFonts w:cs="Times New Roman"/>
          <w:szCs w:val="24"/>
          <w:vertAlign w:val="superscript"/>
        </w:rPr>
        <w:t>3</w:t>
      </w:r>
      <w:r w:rsidRPr="00901194">
        <w:rPr>
          <w:rFonts w:cs="Times New Roman"/>
          <w:szCs w:val="24"/>
        </w:rPr>
        <w:t xml:space="preserve">Department of Chemistry and Biochemistry, University of Oklahoma, Norman, OK, USA. </w:t>
      </w:r>
      <w:r w:rsidRPr="00901194">
        <w:rPr>
          <w:rFonts w:cs="Times New Roman"/>
          <w:szCs w:val="24"/>
          <w:vertAlign w:val="superscript"/>
        </w:rPr>
        <w:t>4</w:t>
      </w:r>
      <w:r w:rsidRPr="00901194">
        <w:rPr>
          <w:rFonts w:cs="Times New Roman"/>
          <w:szCs w:val="24"/>
        </w:rPr>
        <w:t>Burkina Faso Ministry of Health</w:t>
      </w:r>
    </w:p>
    <w:p w14:paraId="477C27BD" w14:textId="77777777" w:rsidR="00274ADB" w:rsidRPr="00901194" w:rsidRDefault="00274ADB" w:rsidP="00274ADB">
      <w:pPr>
        <w:spacing w:line="240" w:lineRule="auto"/>
        <w:rPr>
          <w:rFonts w:cs="Times New Roman"/>
          <w:szCs w:val="24"/>
        </w:rPr>
      </w:pPr>
      <w:r w:rsidRPr="00901194">
        <w:rPr>
          <w:rFonts w:cs="Times New Roman"/>
          <w:szCs w:val="24"/>
          <w:vertAlign w:val="superscript"/>
        </w:rPr>
        <w:t>5</w:t>
      </w:r>
      <w:r w:rsidRPr="00901194">
        <w:rPr>
          <w:rFonts w:cs="Times New Roman"/>
          <w:szCs w:val="24"/>
        </w:rPr>
        <w:t>Centre MURAZ Research Institute, Bobo-Dioulasso, Burkina Faso.</w:t>
      </w:r>
    </w:p>
    <w:p w14:paraId="010D478B" w14:textId="77777777" w:rsidR="00274ADB" w:rsidRPr="00901194" w:rsidRDefault="00274ADB" w:rsidP="00274ADB">
      <w:pPr>
        <w:spacing w:line="240" w:lineRule="auto"/>
        <w:rPr>
          <w:rFonts w:cs="Times New Roman"/>
          <w:szCs w:val="24"/>
          <w:vertAlign w:val="superscript"/>
        </w:rPr>
      </w:pPr>
      <w:r w:rsidRPr="00901194">
        <w:rPr>
          <w:rFonts w:cs="Times New Roman"/>
          <w:szCs w:val="24"/>
          <w:vertAlign w:val="superscript"/>
        </w:rPr>
        <w:t>6</w:t>
      </w:r>
      <w:r w:rsidRPr="00901194">
        <w:rPr>
          <w:rFonts w:cs="Times New Roman"/>
          <w:szCs w:val="24"/>
        </w:rPr>
        <w:t>Department of Biology, University of Oklahoma, Norman, OK, USA.</w:t>
      </w:r>
    </w:p>
    <w:p w14:paraId="757E56B7" w14:textId="77777777" w:rsidR="00274ADB" w:rsidRPr="00901194" w:rsidRDefault="00274ADB" w:rsidP="00274ADB">
      <w:pPr>
        <w:spacing w:line="240" w:lineRule="auto"/>
        <w:rPr>
          <w:rFonts w:cs="Times New Roman"/>
          <w:szCs w:val="24"/>
        </w:rPr>
      </w:pPr>
      <w:r w:rsidRPr="00901194">
        <w:rPr>
          <w:rFonts w:cs="Times New Roman"/>
          <w:szCs w:val="24"/>
          <w:vertAlign w:val="superscript"/>
        </w:rPr>
        <w:t>7</w:t>
      </w:r>
      <w:r w:rsidRPr="00901194">
        <w:rPr>
          <w:rFonts w:cs="Times New Roman"/>
          <w:szCs w:val="24"/>
        </w:rPr>
        <w:t>Department of Microbiology and Plant Biology, University of Oklahoma, Norman, OK, USA.</w:t>
      </w:r>
    </w:p>
    <w:p w14:paraId="0AD1A5AB" w14:textId="77777777" w:rsidR="00274ADB" w:rsidRPr="00901194" w:rsidRDefault="00274ADB" w:rsidP="00274ADB">
      <w:pPr>
        <w:spacing w:line="240" w:lineRule="auto"/>
        <w:rPr>
          <w:rFonts w:cs="Times New Roman"/>
          <w:szCs w:val="24"/>
        </w:rPr>
      </w:pPr>
      <w:r w:rsidRPr="00901194">
        <w:rPr>
          <w:rFonts w:cs="Times New Roman"/>
          <w:szCs w:val="24"/>
          <w:vertAlign w:val="superscript"/>
        </w:rPr>
        <w:t>8</w:t>
      </w:r>
      <w:r w:rsidRPr="00901194">
        <w:rPr>
          <w:rFonts w:cs="Times New Roman"/>
          <w:szCs w:val="24"/>
        </w:rPr>
        <w:t>Instituto Nacional de Salud, Lima, Peru.</w:t>
      </w:r>
    </w:p>
    <w:p w14:paraId="27CD4174" w14:textId="77777777" w:rsidR="00274ADB" w:rsidRPr="00901194" w:rsidRDefault="00274ADB" w:rsidP="00274ADB">
      <w:pPr>
        <w:spacing w:line="240" w:lineRule="auto"/>
        <w:rPr>
          <w:rFonts w:cs="Times New Roman"/>
          <w:szCs w:val="24"/>
        </w:rPr>
      </w:pPr>
      <w:r w:rsidRPr="00901194">
        <w:rPr>
          <w:rFonts w:cs="Times New Roman"/>
          <w:szCs w:val="24"/>
          <w:vertAlign w:val="superscript"/>
        </w:rPr>
        <w:t>9</w:t>
      </w:r>
      <w:r w:rsidRPr="00901194">
        <w:rPr>
          <w:rFonts w:cs="Times New Roman"/>
          <w:szCs w:val="24"/>
        </w:rPr>
        <w:t>Facultad de Medicina, Universidad Nacional Mayor de San Marcos, Lima, Peru.</w:t>
      </w:r>
    </w:p>
    <w:p w14:paraId="0854B8B0" w14:textId="77777777" w:rsidR="00274ADB" w:rsidRPr="00901194" w:rsidRDefault="00274ADB" w:rsidP="00274ADB">
      <w:pPr>
        <w:spacing w:line="240" w:lineRule="auto"/>
        <w:rPr>
          <w:rFonts w:cs="Times New Roman"/>
          <w:szCs w:val="24"/>
        </w:rPr>
      </w:pPr>
      <w:r w:rsidRPr="00901194">
        <w:rPr>
          <w:rFonts w:cs="Times New Roman"/>
          <w:szCs w:val="24"/>
          <w:vertAlign w:val="superscript"/>
        </w:rPr>
        <w:t>10</w:t>
      </w:r>
      <w:r w:rsidRPr="00901194">
        <w:rPr>
          <w:rFonts w:cs="Times New Roman"/>
          <w:color w:val="201F1E"/>
          <w:szCs w:val="24"/>
          <w:shd w:val="clear" w:color="auto" w:fill="FFFFFF"/>
        </w:rPr>
        <w:t>Centro de Investigación de Bioquímica y Nutrición, Facultad de Medicina Humana, Universidad de San Martín de Porres, Lima, Perú</w:t>
      </w:r>
      <w:r w:rsidRPr="00901194">
        <w:rPr>
          <w:rFonts w:cs="Times New Roman"/>
          <w:szCs w:val="24"/>
        </w:rPr>
        <w:t>.</w:t>
      </w:r>
    </w:p>
    <w:p w14:paraId="353DFE99" w14:textId="77777777" w:rsidR="00274ADB" w:rsidRPr="00901194" w:rsidRDefault="00274ADB" w:rsidP="00274ADB">
      <w:pPr>
        <w:spacing w:line="240" w:lineRule="auto"/>
        <w:rPr>
          <w:rFonts w:cs="Times New Roman"/>
          <w:szCs w:val="24"/>
        </w:rPr>
      </w:pPr>
      <w:r w:rsidRPr="00901194">
        <w:rPr>
          <w:rFonts w:cs="Times New Roman"/>
          <w:szCs w:val="24"/>
          <w:vertAlign w:val="superscript"/>
        </w:rPr>
        <w:t>11</w:t>
      </w:r>
      <w:r w:rsidRPr="00901194">
        <w:rPr>
          <w:rFonts w:cs="Times New Roman"/>
          <w:szCs w:val="24"/>
        </w:rPr>
        <w:t>Department of Biostatistics and Epidemiology, College of Public Health, University of Oklahoma Health Sciences Center, Oklahoma City, OK, USA.</w:t>
      </w:r>
    </w:p>
    <w:p w14:paraId="265CF213" w14:textId="77777777" w:rsidR="00274ADB" w:rsidRPr="00901194" w:rsidRDefault="00274ADB" w:rsidP="00274ADB">
      <w:pPr>
        <w:spacing w:line="240" w:lineRule="auto"/>
        <w:rPr>
          <w:rFonts w:cs="Times New Roman"/>
          <w:szCs w:val="24"/>
        </w:rPr>
      </w:pPr>
      <w:r w:rsidRPr="00901194">
        <w:rPr>
          <w:rFonts w:cs="Times New Roman"/>
          <w:szCs w:val="24"/>
          <w:vertAlign w:val="superscript"/>
        </w:rPr>
        <w:t>12</w:t>
      </w:r>
      <w:r w:rsidRPr="00901194">
        <w:rPr>
          <w:rFonts w:cs="Times New Roman"/>
          <w:szCs w:val="24"/>
        </w:rPr>
        <w:t>Département de Pathologie et Microbiologie, Faculté de médecine vétérinaire, Université de Montréal, Saint-Hyacinthe, QC J2S 2M2, Canada.</w:t>
      </w:r>
    </w:p>
    <w:p w14:paraId="56BF891C" w14:textId="77777777" w:rsidR="00274ADB" w:rsidRPr="00901194" w:rsidRDefault="00274ADB" w:rsidP="00274ADB">
      <w:pPr>
        <w:spacing w:line="240" w:lineRule="auto"/>
        <w:rPr>
          <w:rFonts w:cs="Times New Roman"/>
          <w:szCs w:val="24"/>
        </w:rPr>
      </w:pPr>
      <w:r w:rsidRPr="00901194">
        <w:rPr>
          <w:rFonts w:cs="Times New Roman"/>
          <w:szCs w:val="24"/>
          <w:vertAlign w:val="superscript"/>
        </w:rPr>
        <w:t>13</w:t>
      </w:r>
      <w:r w:rsidRPr="00901194">
        <w:rPr>
          <w:rFonts w:cs="Times New Roman"/>
          <w:szCs w:val="24"/>
        </w:rPr>
        <w:t>Département de médecine sociale et préventive, École de santé publique de l'université de Montréal, Montréal, QC H3N 1X9, Canada.</w:t>
      </w:r>
    </w:p>
    <w:p w14:paraId="0CFBD895" w14:textId="2734954F" w:rsidR="00274ADB" w:rsidRPr="00901194" w:rsidRDefault="00274ADB" w:rsidP="00274ADB">
      <w:pPr>
        <w:spacing w:line="240" w:lineRule="auto"/>
        <w:rPr>
          <w:rFonts w:cs="Times New Roman"/>
          <w:szCs w:val="24"/>
        </w:rPr>
      </w:pPr>
      <w:r w:rsidRPr="00901194">
        <w:rPr>
          <w:rFonts w:cs="Times New Roman"/>
          <w:szCs w:val="24"/>
          <w:vertAlign w:val="superscript"/>
        </w:rPr>
        <w:t>14</w:t>
      </w:r>
      <w:r w:rsidRPr="00901194">
        <w:rPr>
          <w:rFonts w:cs="Times New Roman"/>
          <w:szCs w:val="24"/>
        </w:rPr>
        <w:t>Centre de Recherche en Santé Publique (CReSP) de l’université de Montréal et du CIUSS du Centre Sud de Montréal, Montréal, QC H3N 1X9, Canada.</w:t>
      </w:r>
    </w:p>
    <w:p w14:paraId="34B084B3" w14:textId="2EC73CAC" w:rsidR="00274ADB" w:rsidRPr="00901194" w:rsidRDefault="00274ADB" w:rsidP="000A2983">
      <w:pPr>
        <w:spacing w:line="240" w:lineRule="auto"/>
        <w:rPr>
          <w:rFonts w:cs="Times New Roman"/>
          <w:szCs w:val="24"/>
        </w:rPr>
      </w:pPr>
      <w:r w:rsidRPr="00901194">
        <w:rPr>
          <w:rFonts w:cs="Times New Roman"/>
          <w:szCs w:val="24"/>
        </w:rPr>
        <w:t>*Corresponding author(s)</w:t>
      </w:r>
    </w:p>
    <w:p w14:paraId="72DFA62F" w14:textId="3CA138A1" w:rsidR="00274ADB" w:rsidRPr="00901194" w:rsidRDefault="00274ADB" w:rsidP="000A2983">
      <w:pPr>
        <w:pStyle w:val="Sub-ChapterHading"/>
      </w:pPr>
      <w:bookmarkStart w:id="105" w:name="_Toc134185995"/>
      <w:r w:rsidRPr="00901194">
        <w:t>Author Contributions</w:t>
      </w:r>
      <w:bookmarkEnd w:id="105"/>
    </w:p>
    <w:p w14:paraId="08F74D24" w14:textId="77777777" w:rsidR="00274ADB" w:rsidRPr="00901194" w:rsidRDefault="00274ADB" w:rsidP="00274ADB">
      <w:pPr>
        <w:spacing w:after="0"/>
        <w:ind w:firstLine="720"/>
        <w:rPr>
          <w:rFonts w:cs="Times New Roman"/>
          <w:szCs w:val="24"/>
        </w:rPr>
      </w:pPr>
      <w:r w:rsidRPr="00901194">
        <w:rPr>
          <w:rFonts w:cs="Times New Roman"/>
          <w:szCs w:val="24"/>
        </w:rPr>
        <w:t xml:space="preserve">C.M.L., L.-I.M., and K.S. conceived and designed the study. C.M.L., A.J.O.-T., R.Y.T., L.M.-R., E.G.-P., and L.T.-C. led Peruvian sample collection and developed ethical guidelines </w:t>
      </w:r>
      <w:r w:rsidRPr="00901194">
        <w:rPr>
          <w:rFonts w:cs="Times New Roman"/>
          <w:szCs w:val="24"/>
        </w:rPr>
        <w:lastRenderedPageBreak/>
        <w:t xml:space="preserve">for community engagement. T.S.K. led fieldwork, metadata curation, and sample processing in Burkina Faso and contributed to lab work in the U.S. D.J. assisted with fieldwork in Burkina Faso, metadata curation, and conducted data analysis. L.-I.M. directed all LC-MS/MS experimentation and data analyses. J.J.H., E.H., and L.-I.M. acquired LC-MS/MS data. J.J.H. and L-I.M. performed LC-MS/MS data analysis with contributions from M.K., A.R.P., and K.F. J.J.H. wrote the manuscript with contributions from L.-I.M. and C.M.L. All authors reviewed the final manuscript. </w:t>
      </w:r>
    </w:p>
    <w:p w14:paraId="12571F7E" w14:textId="38A4A9E9" w:rsidR="00274ADB" w:rsidRPr="00901194" w:rsidRDefault="00274ADB" w:rsidP="000A2983">
      <w:pPr>
        <w:pStyle w:val="Sub-ChapterHading"/>
      </w:pPr>
      <w:bookmarkStart w:id="106" w:name="_Toc134185996"/>
      <w:r w:rsidRPr="00901194">
        <w:t>Acknowledgements</w:t>
      </w:r>
      <w:bookmarkEnd w:id="106"/>
    </w:p>
    <w:p w14:paraId="335FEE34" w14:textId="77777777" w:rsidR="00274ADB" w:rsidRPr="00901194" w:rsidRDefault="00274ADB" w:rsidP="00274ADB">
      <w:pPr>
        <w:spacing w:after="0"/>
        <w:ind w:firstLine="720"/>
        <w:rPr>
          <w:rFonts w:cs="Times New Roman"/>
          <w:szCs w:val="24"/>
        </w:rPr>
      </w:pPr>
      <w:r w:rsidRPr="00901194">
        <w:rPr>
          <w:rFonts w:cs="Times New Roman"/>
          <w:szCs w:val="24"/>
        </w:rPr>
        <w:t>We thank our collaborators with the Communidad Native Matses Anexo San Mateo, Caserío de Tunapuco, Centre MURAZ Research Institute, and the Ministry of Health in Burkina Faso for their collaboration and for opening their communities to our research. We thank Dr. Marielle Hoefnagels and students of the OU BioWriting class for their assistance with editing and reviewing the manuscript.</w:t>
      </w:r>
    </w:p>
    <w:p w14:paraId="10F953F9" w14:textId="1930AF32" w:rsidR="00D06C5E" w:rsidRPr="00901194" w:rsidRDefault="00906A10" w:rsidP="00D06C5E">
      <w:pPr>
        <w:pStyle w:val="Sub-ChapterHading"/>
      </w:pPr>
      <w:bookmarkStart w:id="107" w:name="_Toc134185997"/>
      <w:r w:rsidRPr="00901194">
        <w:rPr>
          <w:noProof/>
        </w:rPr>
        <w:lastRenderedPageBreak/>
        <w:drawing>
          <wp:anchor distT="0" distB="0" distL="114300" distR="114300" simplePos="0" relativeHeight="251663360" behindDoc="0" locked="0" layoutInCell="1" allowOverlap="1" wp14:anchorId="2D083421" wp14:editId="114D440A">
            <wp:simplePos x="0" y="0"/>
            <wp:positionH relativeFrom="margin">
              <wp:align>left</wp:align>
            </wp:positionH>
            <wp:positionV relativeFrom="paragraph">
              <wp:posOffset>485330</wp:posOffset>
            </wp:positionV>
            <wp:extent cx="5278120" cy="7465060"/>
            <wp:effectExtent l="0" t="0" r="0" b="0"/>
            <wp:wrapTopAndBottom/>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5278120" cy="7465060"/>
                    </a:xfrm>
                    <a:prstGeom prst="rect">
                      <a:avLst/>
                    </a:prstGeom>
                  </pic:spPr>
                </pic:pic>
              </a:graphicData>
            </a:graphic>
            <wp14:sizeRelH relativeFrom="margin">
              <wp14:pctWidth>0</wp14:pctWidth>
            </wp14:sizeRelH>
            <wp14:sizeRelV relativeFrom="margin">
              <wp14:pctHeight>0</wp14:pctHeight>
            </wp14:sizeRelV>
          </wp:anchor>
        </w:drawing>
      </w:r>
      <w:r w:rsidR="00D06C5E" w:rsidRPr="00901194">
        <w:t>Supplementary Figures 2.1-2.4</w:t>
      </w:r>
      <w:bookmarkEnd w:id="107"/>
    </w:p>
    <w:p w14:paraId="6B9241D6" w14:textId="77777777" w:rsidR="00906A10" w:rsidRPr="00901194" w:rsidRDefault="00906A10" w:rsidP="00906A10">
      <w:pPr>
        <w:pStyle w:val="CaptionJH"/>
      </w:pPr>
    </w:p>
    <w:p w14:paraId="034FD66F" w14:textId="5C38012F" w:rsidR="00D06C5E" w:rsidRPr="00901194" w:rsidRDefault="00D06C5E" w:rsidP="00906A10">
      <w:pPr>
        <w:pStyle w:val="CaptionJH"/>
        <w:spacing w:line="240" w:lineRule="auto"/>
        <w:rPr>
          <w:b/>
          <w:bCs w:val="0"/>
        </w:rPr>
      </w:pPr>
      <w:bookmarkStart w:id="108" w:name="_Toc131186563"/>
      <w:r w:rsidRPr="00901194">
        <w:rPr>
          <w:b/>
          <w:bCs w:val="0"/>
        </w:rPr>
        <w:lastRenderedPageBreak/>
        <w:t>Figure S</w:t>
      </w:r>
      <w:r w:rsidR="00ED38D8" w:rsidRPr="00901194">
        <w:rPr>
          <w:b/>
          <w:bCs w:val="0"/>
        </w:rPr>
        <w:t>2.</w:t>
      </w:r>
      <w:r w:rsidRPr="00901194">
        <w:rPr>
          <w:b/>
          <w:bCs w:val="0"/>
        </w:rPr>
        <w:t>1</w:t>
      </w:r>
      <w:r w:rsidR="00ED38D8" w:rsidRPr="00901194">
        <w:rPr>
          <w:b/>
          <w:bCs w:val="0"/>
        </w:rPr>
        <w:t>:</w:t>
      </w:r>
      <w:r w:rsidRPr="00901194">
        <w:rPr>
          <w:b/>
          <w:bCs w:val="0"/>
        </w:rPr>
        <w:t xml:space="preserve"> Non-gap-filled analyses report an industrialization gradient.</w:t>
      </w:r>
      <w:bookmarkEnd w:id="108"/>
    </w:p>
    <w:p w14:paraId="28E21DFE" w14:textId="43B5BC78" w:rsidR="00D06C5E" w:rsidRPr="00901194" w:rsidRDefault="00D06C5E" w:rsidP="007C445A">
      <w:pPr>
        <w:spacing w:line="240" w:lineRule="auto"/>
        <w:rPr>
          <w:rFonts w:cs="Times New Roman"/>
          <w:i/>
          <w:iCs/>
        </w:rPr>
      </w:pPr>
      <w:r w:rsidRPr="00901194">
        <w:rPr>
          <w:rFonts w:cs="Times New Roman"/>
          <w:i/>
          <w:iCs/>
        </w:rPr>
        <w:t xml:space="preserve">Derived from where n=90 (Norman n=18, Guayabo n=12, Tambo de Mora n=14, Boulkiemdé n=11, Tunapuco n=24, and Matses n=11). </w:t>
      </w:r>
      <w:r w:rsidRPr="00901194">
        <w:rPr>
          <w:rFonts w:cs="Times New Roman"/>
          <w:b/>
          <w:i/>
          <w:iCs/>
        </w:rPr>
        <w:t>a</w:t>
      </w:r>
      <w:r w:rsidRPr="00901194">
        <w:rPr>
          <w:rFonts w:cs="Times New Roman"/>
          <w:i/>
          <w:iCs/>
        </w:rPr>
        <w:t xml:space="preserve">, Metabolic feature overlap across study populations in non-gap-filled data. </w:t>
      </w:r>
      <w:r w:rsidRPr="00901194">
        <w:rPr>
          <w:rFonts w:cs="Times New Roman"/>
          <w:b/>
          <w:i/>
          <w:iCs/>
        </w:rPr>
        <w:t>b</w:t>
      </w:r>
      <w:r w:rsidRPr="00901194">
        <w:rPr>
          <w:rFonts w:cs="Times New Roman"/>
          <w:i/>
          <w:iCs/>
        </w:rPr>
        <w:t xml:space="preserve">, UpSet plot of non-gap-filled data displays strong overlap between all samples. </w:t>
      </w:r>
      <w:r w:rsidRPr="00901194">
        <w:rPr>
          <w:rFonts w:cs="Times New Roman"/>
          <w:b/>
          <w:i/>
          <w:iCs/>
        </w:rPr>
        <w:t>c</w:t>
      </w:r>
      <w:r w:rsidRPr="00901194">
        <w:rPr>
          <w:rFonts w:cs="Times New Roman"/>
          <w:i/>
          <w:iCs/>
        </w:rPr>
        <w:t>, Principal coordinate analysis plot derived from Canberra distances of non-gap-filled data exhibits an industrialization gradient, indicating this pattern is not an artifact of data processing procedures. Samples are colored by industrialization category and shape-coded by population. Population samples stored in freezer within one day of collection (Norman and Boulkiemdé) are increased in size compared to samples stored within four days of collection.</w:t>
      </w:r>
    </w:p>
    <w:p w14:paraId="2E0C0DA7" w14:textId="77777777" w:rsidR="00D06C5E" w:rsidRPr="00901194" w:rsidRDefault="00D06C5E">
      <w:pPr>
        <w:spacing w:line="259" w:lineRule="auto"/>
        <w:rPr>
          <w:rFonts w:cs="Times New Roman"/>
          <w:bCs/>
          <w:i/>
          <w:color w:val="auto"/>
          <w:szCs w:val="24"/>
        </w:rPr>
      </w:pPr>
      <w:r w:rsidRPr="00901194">
        <w:rPr>
          <w:rFonts w:cs="Times New Roman"/>
        </w:rPr>
        <w:br w:type="page"/>
      </w:r>
    </w:p>
    <w:p w14:paraId="4D620063" w14:textId="06B5ACE4" w:rsidR="00D06C5E" w:rsidRPr="00901194" w:rsidRDefault="0029596C" w:rsidP="00D06C5E">
      <w:pPr>
        <w:pStyle w:val="CaptionJH"/>
      </w:pPr>
      <w:bookmarkStart w:id="109" w:name="_Toc131186564"/>
      <w:r w:rsidRPr="00901194">
        <w:rPr>
          <w:b/>
          <w:bCs w:val="0"/>
          <w:noProof/>
        </w:rPr>
        <w:lastRenderedPageBreak/>
        <w:drawing>
          <wp:anchor distT="0" distB="0" distL="114300" distR="114300" simplePos="0" relativeHeight="251668480" behindDoc="0" locked="0" layoutInCell="1" allowOverlap="1" wp14:anchorId="5EC1CA73" wp14:editId="02B652F7">
            <wp:simplePos x="0" y="0"/>
            <wp:positionH relativeFrom="margin">
              <wp:align>right</wp:align>
            </wp:positionH>
            <wp:positionV relativeFrom="paragraph">
              <wp:posOffset>4016555</wp:posOffset>
            </wp:positionV>
            <wp:extent cx="5943600" cy="4202430"/>
            <wp:effectExtent l="0" t="0" r="0" b="7620"/>
            <wp:wrapTopAndBottom/>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5943600" cy="4202430"/>
                    </a:xfrm>
                    <a:prstGeom prst="rect">
                      <a:avLst/>
                    </a:prstGeom>
                  </pic:spPr>
                </pic:pic>
              </a:graphicData>
            </a:graphic>
          </wp:anchor>
        </w:drawing>
      </w:r>
      <w:r w:rsidR="00D60413" w:rsidRPr="00901194">
        <w:rPr>
          <w:b/>
          <w:bCs w:val="0"/>
          <w:noProof/>
        </w:rPr>
        <w:drawing>
          <wp:anchor distT="0" distB="0" distL="114300" distR="114300" simplePos="0" relativeHeight="251666432" behindDoc="0" locked="0" layoutInCell="1" allowOverlap="1" wp14:anchorId="7C5F4FEC" wp14:editId="626AF0B7">
            <wp:simplePos x="0" y="0"/>
            <wp:positionH relativeFrom="margin">
              <wp:align>right</wp:align>
            </wp:positionH>
            <wp:positionV relativeFrom="paragraph">
              <wp:posOffset>123</wp:posOffset>
            </wp:positionV>
            <wp:extent cx="5943600" cy="4202430"/>
            <wp:effectExtent l="0" t="0" r="0" b="7620"/>
            <wp:wrapTopAndBottom/>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5943600" cy="4202430"/>
                    </a:xfrm>
                    <a:prstGeom prst="rect">
                      <a:avLst/>
                    </a:prstGeom>
                  </pic:spPr>
                </pic:pic>
              </a:graphicData>
            </a:graphic>
          </wp:anchor>
        </w:drawing>
      </w:r>
      <w:bookmarkEnd w:id="109"/>
    </w:p>
    <w:p w14:paraId="3793ADA7" w14:textId="7BF984C2" w:rsidR="0029596C" w:rsidRPr="00901194" w:rsidRDefault="0029596C">
      <w:pPr>
        <w:spacing w:line="259" w:lineRule="auto"/>
        <w:rPr>
          <w:rFonts w:eastAsiaTheme="majorEastAsia" w:cs="Times New Roman"/>
          <w:b/>
          <w:bCs/>
          <w:sz w:val="28"/>
          <w:szCs w:val="28"/>
        </w:rPr>
      </w:pPr>
      <w:r w:rsidRPr="00901194">
        <w:rPr>
          <w:rFonts w:cs="Times New Roman"/>
          <w:b/>
          <w:bCs/>
          <w:noProof/>
        </w:rPr>
        <w:lastRenderedPageBreak/>
        <w:drawing>
          <wp:anchor distT="0" distB="0" distL="114300" distR="114300" simplePos="0" relativeHeight="251669504" behindDoc="0" locked="0" layoutInCell="1" allowOverlap="1" wp14:anchorId="1B1AB2D5" wp14:editId="243B7BAA">
            <wp:simplePos x="0" y="0"/>
            <wp:positionH relativeFrom="margin">
              <wp:align>right</wp:align>
            </wp:positionH>
            <wp:positionV relativeFrom="paragraph">
              <wp:posOffset>4016527</wp:posOffset>
            </wp:positionV>
            <wp:extent cx="5943600" cy="4202430"/>
            <wp:effectExtent l="0" t="0" r="0" b="7620"/>
            <wp:wrapTopAndBottom/>
            <wp:docPr id="29"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5943600" cy="4202430"/>
                    </a:xfrm>
                    <a:prstGeom prst="rect">
                      <a:avLst/>
                    </a:prstGeom>
                  </pic:spPr>
                </pic:pic>
              </a:graphicData>
            </a:graphic>
          </wp:anchor>
        </w:drawing>
      </w:r>
      <w:r w:rsidRPr="00901194">
        <w:rPr>
          <w:rFonts w:cs="Times New Roman"/>
          <w:b/>
          <w:bCs/>
          <w:noProof/>
        </w:rPr>
        <w:drawing>
          <wp:anchor distT="0" distB="0" distL="114300" distR="114300" simplePos="0" relativeHeight="251665408" behindDoc="0" locked="0" layoutInCell="1" allowOverlap="1" wp14:anchorId="55258A48" wp14:editId="3A879DC5">
            <wp:simplePos x="0" y="0"/>
            <wp:positionH relativeFrom="margin">
              <wp:align>right</wp:align>
            </wp:positionH>
            <wp:positionV relativeFrom="paragraph">
              <wp:posOffset>503</wp:posOffset>
            </wp:positionV>
            <wp:extent cx="5943600" cy="4202430"/>
            <wp:effectExtent l="0" t="0" r="0" b="0"/>
            <wp:wrapTopAndBottom/>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5943600" cy="4202430"/>
                    </a:xfrm>
                    <a:prstGeom prst="rect">
                      <a:avLst/>
                    </a:prstGeom>
                  </pic:spPr>
                </pic:pic>
              </a:graphicData>
            </a:graphic>
          </wp:anchor>
        </w:drawing>
      </w:r>
      <w:r w:rsidR="006A0A57" w:rsidRPr="00901194">
        <w:rPr>
          <w:rFonts w:cs="Times New Roman"/>
        </w:rPr>
        <w:br w:type="page"/>
      </w:r>
      <w:r w:rsidR="006157F8" w:rsidRPr="00901194">
        <w:rPr>
          <w:rFonts w:cs="Times New Roman"/>
          <w:b/>
          <w:bCs/>
          <w:noProof/>
        </w:rPr>
        <w:lastRenderedPageBreak/>
        <w:drawing>
          <wp:anchor distT="0" distB="0" distL="114300" distR="114300" simplePos="0" relativeHeight="251672576" behindDoc="0" locked="0" layoutInCell="1" allowOverlap="1" wp14:anchorId="2E66FA2B" wp14:editId="3DE90092">
            <wp:simplePos x="0" y="0"/>
            <wp:positionH relativeFrom="margin">
              <wp:align>right</wp:align>
            </wp:positionH>
            <wp:positionV relativeFrom="paragraph">
              <wp:posOffset>4016375</wp:posOffset>
            </wp:positionV>
            <wp:extent cx="5943600" cy="4202430"/>
            <wp:effectExtent l="0" t="0" r="0" b="7620"/>
            <wp:wrapTopAndBottom/>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5943600" cy="4202430"/>
                    </a:xfrm>
                    <a:prstGeom prst="rect">
                      <a:avLst/>
                    </a:prstGeom>
                  </pic:spPr>
                </pic:pic>
              </a:graphicData>
            </a:graphic>
          </wp:anchor>
        </w:drawing>
      </w:r>
      <w:r w:rsidRPr="00901194">
        <w:rPr>
          <w:rFonts w:cs="Times New Roman"/>
          <w:b/>
          <w:bCs/>
          <w:noProof/>
        </w:rPr>
        <w:drawing>
          <wp:anchor distT="0" distB="0" distL="114300" distR="114300" simplePos="0" relativeHeight="251671552" behindDoc="0" locked="0" layoutInCell="1" allowOverlap="1" wp14:anchorId="40FE2BBB" wp14:editId="76C6460C">
            <wp:simplePos x="0" y="0"/>
            <wp:positionH relativeFrom="margin">
              <wp:align>right</wp:align>
            </wp:positionH>
            <wp:positionV relativeFrom="paragraph">
              <wp:posOffset>435</wp:posOffset>
            </wp:positionV>
            <wp:extent cx="5943600" cy="4202430"/>
            <wp:effectExtent l="0" t="0" r="0" b="7620"/>
            <wp:wrapTopAndBottom/>
            <wp:docPr id="30"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5943600" cy="4202430"/>
                    </a:xfrm>
                    <a:prstGeom prst="rect">
                      <a:avLst/>
                    </a:prstGeom>
                  </pic:spPr>
                </pic:pic>
              </a:graphicData>
            </a:graphic>
          </wp:anchor>
        </w:drawing>
      </w:r>
      <w:r w:rsidRPr="00901194">
        <w:rPr>
          <w:rFonts w:cs="Times New Roman"/>
        </w:rPr>
        <w:br w:type="page"/>
      </w:r>
    </w:p>
    <w:p w14:paraId="185D44DB" w14:textId="69D279D1" w:rsidR="00B269E3" w:rsidRPr="00901194" w:rsidRDefault="00C9398D">
      <w:pPr>
        <w:spacing w:line="259" w:lineRule="auto"/>
        <w:rPr>
          <w:rFonts w:eastAsiaTheme="majorEastAsia" w:cs="Times New Roman"/>
          <w:b/>
          <w:bCs/>
          <w:sz w:val="28"/>
          <w:szCs w:val="28"/>
        </w:rPr>
      </w:pPr>
      <w:r w:rsidRPr="00901194">
        <w:rPr>
          <w:rFonts w:cs="Times New Roman"/>
          <w:noProof/>
        </w:rPr>
        <w:lastRenderedPageBreak/>
        <w:drawing>
          <wp:anchor distT="0" distB="0" distL="114300" distR="114300" simplePos="0" relativeHeight="251674624" behindDoc="0" locked="0" layoutInCell="1" allowOverlap="1" wp14:anchorId="4A983273" wp14:editId="52D62E56">
            <wp:simplePos x="0" y="0"/>
            <wp:positionH relativeFrom="column">
              <wp:posOffset>-109182</wp:posOffset>
            </wp:positionH>
            <wp:positionV relativeFrom="paragraph">
              <wp:posOffset>4010347</wp:posOffset>
            </wp:positionV>
            <wp:extent cx="5943600" cy="4202430"/>
            <wp:effectExtent l="0" t="0" r="0" b="0"/>
            <wp:wrapTopAndBottom/>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5943600" cy="4202430"/>
                    </a:xfrm>
                    <a:prstGeom prst="rect">
                      <a:avLst/>
                    </a:prstGeom>
                  </pic:spPr>
                </pic:pic>
              </a:graphicData>
            </a:graphic>
          </wp:anchor>
        </w:drawing>
      </w:r>
      <w:r w:rsidRPr="00901194">
        <w:rPr>
          <w:rFonts w:cs="Times New Roman"/>
          <w:noProof/>
        </w:rPr>
        <w:drawing>
          <wp:anchor distT="0" distB="0" distL="114300" distR="114300" simplePos="0" relativeHeight="251673600" behindDoc="0" locked="0" layoutInCell="1" allowOverlap="1" wp14:anchorId="6D729754" wp14:editId="30FA3980">
            <wp:simplePos x="0" y="0"/>
            <wp:positionH relativeFrom="margin">
              <wp:align>right</wp:align>
            </wp:positionH>
            <wp:positionV relativeFrom="paragraph">
              <wp:posOffset>19</wp:posOffset>
            </wp:positionV>
            <wp:extent cx="5943600" cy="4202430"/>
            <wp:effectExtent l="0" t="0" r="0" b="7620"/>
            <wp:wrapTopAndBottom/>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5943600" cy="4202430"/>
                    </a:xfrm>
                    <a:prstGeom prst="rect">
                      <a:avLst/>
                    </a:prstGeom>
                  </pic:spPr>
                </pic:pic>
              </a:graphicData>
            </a:graphic>
          </wp:anchor>
        </w:drawing>
      </w:r>
      <w:r w:rsidR="00B269E3" w:rsidRPr="00901194">
        <w:rPr>
          <w:rFonts w:cs="Times New Roman"/>
        </w:rPr>
        <w:br w:type="page"/>
      </w:r>
    </w:p>
    <w:p w14:paraId="5FE83EB7" w14:textId="6E683D71" w:rsidR="00C9398D" w:rsidRPr="00901194" w:rsidRDefault="00D06C5E" w:rsidP="00C9398D">
      <w:pPr>
        <w:pStyle w:val="CaptionJH"/>
        <w:spacing w:line="240" w:lineRule="auto"/>
        <w:rPr>
          <w:b/>
          <w:bCs w:val="0"/>
        </w:rPr>
      </w:pPr>
      <w:bookmarkStart w:id="110" w:name="_Toc131186565"/>
      <w:r w:rsidRPr="00901194">
        <w:rPr>
          <w:b/>
          <w:bCs w:val="0"/>
        </w:rPr>
        <w:lastRenderedPageBreak/>
        <w:t>Figure S</w:t>
      </w:r>
      <w:r w:rsidR="00C9398D" w:rsidRPr="00901194">
        <w:rPr>
          <w:b/>
          <w:bCs w:val="0"/>
        </w:rPr>
        <w:t>2.</w:t>
      </w:r>
      <w:r w:rsidRPr="00901194">
        <w:rPr>
          <w:b/>
          <w:bCs w:val="0"/>
        </w:rPr>
        <w:t>2</w:t>
      </w:r>
      <w:r w:rsidR="00C9398D" w:rsidRPr="00901194">
        <w:rPr>
          <w:b/>
          <w:bCs w:val="0"/>
        </w:rPr>
        <w:t>:</w:t>
      </w:r>
      <w:r w:rsidRPr="00901194">
        <w:rPr>
          <w:b/>
          <w:bCs w:val="0"/>
        </w:rPr>
        <w:t xml:space="preserve"> Normalized abundances of metabolite features associated with industrialization group differences.</w:t>
      </w:r>
      <w:bookmarkEnd w:id="110"/>
      <w:r w:rsidRPr="00901194">
        <w:rPr>
          <w:b/>
          <w:bCs w:val="0"/>
        </w:rPr>
        <w:t xml:space="preserve"> </w:t>
      </w:r>
    </w:p>
    <w:p w14:paraId="39675552" w14:textId="77777777" w:rsidR="002D2DFC" w:rsidRPr="00901194" w:rsidRDefault="00D06C5E" w:rsidP="007C445A">
      <w:pPr>
        <w:spacing w:line="240" w:lineRule="auto"/>
        <w:rPr>
          <w:rFonts w:cs="Times New Roman"/>
          <w:i/>
          <w:iCs/>
        </w:rPr>
      </w:pPr>
      <w:r w:rsidRPr="00901194">
        <w:rPr>
          <w:rFonts w:cs="Times New Roman"/>
          <w:i/>
          <w:iCs/>
        </w:rPr>
        <w:t xml:space="preserve">All boxplots are derived from gap-filled analyses. Boxplot axis numbers represent different industrialization groups: 1=urban industrial, 2=rural industrial, 3=rural traditional, 4=isolated traditional. Color key applies for figures a-ap. a-ad, top 30 differential metabolite features based on industrialization group identified by RandomForest. </w:t>
      </w:r>
      <w:r w:rsidRPr="00901194">
        <w:rPr>
          <w:rFonts w:cs="Times New Roman"/>
          <w:b/>
          <w:i/>
          <w:iCs/>
        </w:rPr>
        <w:t>a</w:t>
      </w:r>
      <w:r w:rsidRPr="00901194">
        <w:rPr>
          <w:rFonts w:cs="Times New Roman"/>
          <w:i/>
          <w:iCs/>
        </w:rPr>
        <w:t xml:space="preserve">, m/z 145.134, RT 0.32 min; </w:t>
      </w:r>
      <w:r w:rsidRPr="00901194">
        <w:rPr>
          <w:rFonts w:cs="Times New Roman"/>
          <w:b/>
          <w:i/>
          <w:iCs/>
        </w:rPr>
        <w:t>b</w:t>
      </w:r>
      <w:r w:rsidRPr="00901194">
        <w:rPr>
          <w:rFonts w:cs="Times New Roman"/>
          <w:i/>
          <w:iCs/>
        </w:rPr>
        <w:t xml:space="preserve">, m/z 145.134, RT 0.32 min; </w:t>
      </w:r>
      <w:r w:rsidRPr="00901194">
        <w:rPr>
          <w:rFonts w:cs="Times New Roman"/>
          <w:b/>
          <w:i/>
          <w:iCs/>
        </w:rPr>
        <w:t>c</w:t>
      </w:r>
      <w:r w:rsidRPr="00901194">
        <w:rPr>
          <w:rFonts w:cs="Times New Roman"/>
          <w:i/>
          <w:iCs/>
        </w:rPr>
        <w:t xml:space="preserve">, m/z 145.1340, RT 0.36 min; </w:t>
      </w:r>
      <w:r w:rsidRPr="00901194">
        <w:rPr>
          <w:rFonts w:cs="Times New Roman"/>
          <w:b/>
          <w:i/>
          <w:iCs/>
        </w:rPr>
        <w:t>d</w:t>
      </w:r>
      <w:r w:rsidRPr="00901194">
        <w:rPr>
          <w:rFonts w:cs="Times New Roman"/>
          <w:i/>
          <w:iCs/>
        </w:rPr>
        <w:t xml:space="preserve">, m/z 235.166, RT 0.25 min; </w:t>
      </w:r>
      <w:r w:rsidRPr="00901194">
        <w:rPr>
          <w:rFonts w:cs="Times New Roman"/>
          <w:b/>
          <w:i/>
          <w:iCs/>
        </w:rPr>
        <w:t>e</w:t>
      </w:r>
      <w:r w:rsidRPr="00901194">
        <w:rPr>
          <w:rFonts w:cs="Times New Roman"/>
          <w:i/>
          <w:iCs/>
        </w:rPr>
        <w:t xml:space="preserve">, m/z 246.186, RT 3.27 min, annotation: leu-leu; </w:t>
      </w:r>
      <w:r w:rsidRPr="00901194">
        <w:rPr>
          <w:rFonts w:cs="Times New Roman"/>
          <w:b/>
          <w:i/>
          <w:iCs/>
        </w:rPr>
        <w:t>f</w:t>
      </w:r>
      <w:r w:rsidRPr="00901194">
        <w:rPr>
          <w:rFonts w:cs="Times New Roman"/>
          <w:i/>
          <w:iCs/>
        </w:rPr>
        <w:t xml:space="preserve">, m/z 276.108, RT 4.41 min, annotation: N-acetyl-D-glucosamine; </w:t>
      </w:r>
      <w:r w:rsidRPr="00901194">
        <w:rPr>
          <w:rFonts w:cs="Times New Roman"/>
          <w:b/>
          <w:i/>
          <w:iCs/>
        </w:rPr>
        <w:t>g</w:t>
      </w:r>
      <w:r w:rsidRPr="00901194">
        <w:rPr>
          <w:rFonts w:cs="Times New Roman"/>
          <w:i/>
          <w:iCs/>
        </w:rPr>
        <w:t xml:space="preserve">, m/z 276.108, RT 0.42 min, annotation: N-acetylmuramic acid; </w:t>
      </w:r>
      <w:r w:rsidRPr="00901194">
        <w:rPr>
          <w:rFonts w:cs="Times New Roman"/>
          <w:b/>
          <w:i/>
          <w:iCs/>
        </w:rPr>
        <w:t>h</w:t>
      </w:r>
      <w:r w:rsidRPr="00901194">
        <w:rPr>
          <w:rFonts w:cs="Times New Roman"/>
          <w:i/>
          <w:iCs/>
        </w:rPr>
        <w:t xml:space="preserve">, m/z 286.176, RT 1.41 min, annotation: ile-pro; </w:t>
      </w:r>
      <w:r w:rsidRPr="00901194">
        <w:rPr>
          <w:rFonts w:cs="Times New Roman"/>
          <w:b/>
          <w:i/>
          <w:iCs/>
        </w:rPr>
        <w:t>i</w:t>
      </w:r>
      <w:r w:rsidRPr="00901194">
        <w:rPr>
          <w:rFonts w:cs="Times New Roman"/>
          <w:i/>
          <w:iCs/>
        </w:rPr>
        <w:t xml:space="preserve">, m/z 286.176, RT 1.677 min, annotation: phe-pro; </w:t>
      </w:r>
      <w:r w:rsidRPr="00901194">
        <w:rPr>
          <w:rFonts w:cs="Times New Roman"/>
          <w:b/>
          <w:i/>
          <w:iCs/>
        </w:rPr>
        <w:t>j</w:t>
      </w:r>
      <w:r w:rsidRPr="00901194">
        <w:rPr>
          <w:rFonts w:cs="Times New Roman"/>
          <w:i/>
          <w:iCs/>
        </w:rPr>
        <w:t xml:space="preserve">, m/z 305.186, RT 3.74 min; </w:t>
      </w:r>
      <w:r w:rsidRPr="00901194">
        <w:rPr>
          <w:rFonts w:cs="Times New Roman"/>
          <w:b/>
          <w:i/>
          <w:iCs/>
        </w:rPr>
        <w:t>k</w:t>
      </w:r>
      <w:r w:rsidRPr="00901194">
        <w:rPr>
          <w:rFonts w:cs="Times New Roman"/>
          <w:i/>
          <w:iCs/>
        </w:rPr>
        <w:t xml:space="preserve">, m/z 332.074, RT 0.36 min; </w:t>
      </w:r>
      <w:r w:rsidRPr="00901194">
        <w:rPr>
          <w:rFonts w:cs="Times New Roman"/>
          <w:b/>
          <w:i/>
          <w:iCs/>
        </w:rPr>
        <w:t>l</w:t>
      </w:r>
      <w:r w:rsidRPr="00901194">
        <w:rPr>
          <w:rFonts w:cs="Times New Roman"/>
          <w:i/>
          <w:iCs/>
        </w:rPr>
        <w:t xml:space="preserve">, m/z 363.211, RT 1.02; </w:t>
      </w:r>
      <w:r w:rsidRPr="00901194">
        <w:rPr>
          <w:rFonts w:cs="Times New Roman"/>
          <w:b/>
          <w:i/>
          <w:iCs/>
        </w:rPr>
        <w:t>m</w:t>
      </w:r>
      <w:r w:rsidRPr="00901194">
        <w:rPr>
          <w:rFonts w:cs="Times New Roman"/>
          <w:i/>
          <w:iCs/>
        </w:rPr>
        <w:t xml:space="preserve">, m/z 363.213, RT 0.87 min; </w:t>
      </w:r>
      <w:r w:rsidRPr="00901194">
        <w:rPr>
          <w:rFonts w:cs="Times New Roman"/>
          <w:b/>
          <w:i/>
          <w:iCs/>
        </w:rPr>
        <w:t>n</w:t>
      </w:r>
      <w:r w:rsidRPr="00901194">
        <w:rPr>
          <w:rFonts w:cs="Times New Roman"/>
          <w:i/>
          <w:iCs/>
        </w:rPr>
        <w:t xml:space="preserve">, m/z 365.192, RT 0.51 min; </w:t>
      </w:r>
      <w:r w:rsidRPr="00901194">
        <w:rPr>
          <w:rFonts w:cs="Times New Roman"/>
          <w:b/>
          <w:i/>
          <w:iCs/>
        </w:rPr>
        <w:t>o</w:t>
      </w:r>
      <w:r w:rsidRPr="00901194">
        <w:rPr>
          <w:rFonts w:cs="Times New Roman"/>
          <w:i/>
          <w:iCs/>
        </w:rPr>
        <w:t xml:space="preserve">, m/z 379.295, RT 4.8 min; </w:t>
      </w:r>
      <w:r w:rsidRPr="00901194">
        <w:rPr>
          <w:rFonts w:cs="Times New Roman"/>
          <w:b/>
          <w:i/>
          <w:iCs/>
        </w:rPr>
        <w:t>p</w:t>
      </w:r>
      <w:r w:rsidRPr="00901194">
        <w:rPr>
          <w:rFonts w:cs="Times New Roman"/>
          <w:i/>
          <w:iCs/>
        </w:rPr>
        <w:t xml:space="preserve">, m/z 379.296, RT 4.82 min; </w:t>
      </w:r>
      <w:r w:rsidRPr="00901194">
        <w:rPr>
          <w:rFonts w:cs="Times New Roman"/>
          <w:b/>
          <w:i/>
          <w:iCs/>
        </w:rPr>
        <w:t>q</w:t>
      </w:r>
      <w:r w:rsidRPr="00901194">
        <w:rPr>
          <w:rFonts w:cs="Times New Roman"/>
          <w:i/>
          <w:iCs/>
        </w:rPr>
        <w:t xml:space="preserve">, m/z 379.296, RT 4.8 min; </w:t>
      </w:r>
      <w:r w:rsidRPr="00901194">
        <w:rPr>
          <w:rFonts w:cs="Times New Roman"/>
          <w:b/>
          <w:i/>
          <w:iCs/>
        </w:rPr>
        <w:t>r</w:t>
      </w:r>
      <w:r w:rsidRPr="00901194">
        <w:rPr>
          <w:rFonts w:cs="Times New Roman"/>
          <w:i/>
          <w:iCs/>
        </w:rPr>
        <w:t xml:space="preserve">, m/z 379.297, RT 4.81 min; </w:t>
      </w:r>
      <w:r w:rsidRPr="00901194">
        <w:rPr>
          <w:rFonts w:cs="Times New Roman"/>
          <w:b/>
          <w:i/>
          <w:iCs/>
        </w:rPr>
        <w:t>s</w:t>
      </w:r>
      <w:r w:rsidRPr="00901194">
        <w:rPr>
          <w:rFonts w:cs="Times New Roman"/>
          <w:i/>
          <w:iCs/>
        </w:rPr>
        <w:t xml:space="preserve">, m/z 398.342, RT 4.76 min; </w:t>
      </w:r>
      <w:r w:rsidRPr="00901194">
        <w:rPr>
          <w:rFonts w:cs="Times New Roman"/>
          <w:b/>
          <w:i/>
          <w:iCs/>
        </w:rPr>
        <w:t>t</w:t>
      </w:r>
      <w:r w:rsidRPr="00901194">
        <w:rPr>
          <w:rFonts w:cs="Times New Roman"/>
          <w:i/>
          <w:iCs/>
        </w:rPr>
        <w:t xml:space="preserve">, m/z 398.342, RT 4.82 min; </w:t>
      </w:r>
      <w:r w:rsidRPr="00901194">
        <w:rPr>
          <w:rFonts w:cs="Times New Roman"/>
          <w:b/>
          <w:i/>
          <w:iCs/>
        </w:rPr>
        <w:t>u</w:t>
      </w:r>
      <w:r w:rsidRPr="00901194">
        <w:rPr>
          <w:rFonts w:cs="Times New Roman"/>
          <w:i/>
          <w:iCs/>
        </w:rPr>
        <w:t xml:space="preserve">, m/z 398.342, RT 4.84 min; </w:t>
      </w:r>
      <w:r w:rsidRPr="00901194">
        <w:rPr>
          <w:rFonts w:cs="Times New Roman"/>
          <w:b/>
          <w:i/>
          <w:iCs/>
        </w:rPr>
        <w:t>v</w:t>
      </w:r>
      <w:r w:rsidRPr="00901194">
        <w:rPr>
          <w:rFonts w:cs="Times New Roman"/>
          <w:i/>
          <w:iCs/>
        </w:rPr>
        <w:t xml:space="preserve">, m/z 398.345, RT 4.81 min; </w:t>
      </w:r>
      <w:r w:rsidRPr="00901194">
        <w:rPr>
          <w:rFonts w:cs="Times New Roman"/>
          <w:b/>
          <w:i/>
          <w:iCs/>
        </w:rPr>
        <w:t>w</w:t>
      </w:r>
      <w:r w:rsidRPr="00901194">
        <w:rPr>
          <w:rFonts w:cs="Times New Roman"/>
          <w:i/>
          <w:iCs/>
        </w:rPr>
        <w:t xml:space="preserve">, m/z 400.358, RT 4.83 min, annotation: uvaol; </w:t>
      </w:r>
      <w:r w:rsidRPr="00901194">
        <w:rPr>
          <w:rFonts w:cs="Times New Roman"/>
          <w:b/>
          <w:i/>
          <w:iCs/>
        </w:rPr>
        <w:t>x</w:t>
      </w:r>
      <w:r w:rsidRPr="00901194">
        <w:rPr>
          <w:rFonts w:cs="Times New Roman"/>
          <w:i/>
          <w:iCs/>
        </w:rPr>
        <w:t xml:space="preserve">, m/z 414.335, RT 4.49 min; </w:t>
      </w:r>
      <w:r w:rsidRPr="00901194">
        <w:rPr>
          <w:rFonts w:cs="Times New Roman"/>
          <w:b/>
          <w:i/>
          <w:iCs/>
        </w:rPr>
        <w:t>y</w:t>
      </w:r>
      <w:r w:rsidRPr="00901194">
        <w:rPr>
          <w:rFonts w:cs="Times New Roman"/>
          <w:i/>
          <w:iCs/>
        </w:rPr>
        <w:t xml:space="preserve">, m/z 414.337, RT 4.43 min; </w:t>
      </w:r>
      <w:r w:rsidRPr="00901194">
        <w:rPr>
          <w:rFonts w:cs="Times New Roman"/>
          <w:b/>
          <w:i/>
          <w:iCs/>
        </w:rPr>
        <w:t>z</w:t>
      </w:r>
      <w:r w:rsidRPr="00901194">
        <w:rPr>
          <w:rFonts w:cs="Times New Roman"/>
          <w:i/>
          <w:iCs/>
        </w:rPr>
        <w:t xml:space="preserve">, m/z 414.337, RT 4.38 min; </w:t>
      </w:r>
      <w:r w:rsidRPr="00901194">
        <w:rPr>
          <w:rFonts w:cs="Times New Roman"/>
          <w:b/>
          <w:i/>
          <w:iCs/>
        </w:rPr>
        <w:t>aa</w:t>
      </w:r>
      <w:r w:rsidRPr="00901194">
        <w:rPr>
          <w:rFonts w:cs="Times New Roman"/>
          <w:i/>
          <w:iCs/>
        </w:rPr>
        <w:t xml:space="preserve">, m/z 414.337, RT 4.43 min; </w:t>
      </w:r>
      <w:r w:rsidRPr="00901194">
        <w:rPr>
          <w:rFonts w:cs="Times New Roman"/>
          <w:b/>
          <w:i/>
          <w:iCs/>
        </w:rPr>
        <w:t>ab</w:t>
      </w:r>
      <w:r w:rsidRPr="00901194">
        <w:rPr>
          <w:rFonts w:cs="Times New Roman"/>
          <w:i/>
          <w:iCs/>
        </w:rPr>
        <w:t xml:space="preserve">, m/z 591.318, RT 4.52 min, annotation: urobilin; </w:t>
      </w:r>
      <w:r w:rsidRPr="00901194">
        <w:rPr>
          <w:rFonts w:cs="Times New Roman"/>
          <w:b/>
          <w:i/>
          <w:iCs/>
        </w:rPr>
        <w:t>ac</w:t>
      </w:r>
      <w:r w:rsidRPr="00901194">
        <w:rPr>
          <w:rFonts w:cs="Times New Roman"/>
          <w:i/>
          <w:iCs/>
        </w:rPr>
        <w:t xml:space="preserve">, m/z 593.333, RT 4.98 min; </w:t>
      </w:r>
      <w:r w:rsidRPr="00901194">
        <w:rPr>
          <w:rFonts w:cs="Times New Roman"/>
          <w:b/>
          <w:i/>
          <w:iCs/>
        </w:rPr>
        <w:t>ad</w:t>
      </w:r>
      <w:r w:rsidRPr="00901194">
        <w:rPr>
          <w:rFonts w:cs="Times New Roman"/>
          <w:i/>
          <w:iCs/>
        </w:rPr>
        <w:t xml:space="preserve">, m/z 597.37, RT 5.31 min. </w:t>
      </w:r>
      <w:r w:rsidRPr="00901194">
        <w:rPr>
          <w:rFonts w:cs="Times New Roman"/>
          <w:b/>
          <w:i/>
          <w:iCs/>
        </w:rPr>
        <w:t>ae-ap</w:t>
      </w:r>
      <w:r w:rsidRPr="00901194">
        <w:rPr>
          <w:rFonts w:cs="Times New Roman"/>
          <w:i/>
          <w:iCs/>
        </w:rPr>
        <w:t xml:space="preserve">, amino acid-conjugated bile acids by industrialization group. </w:t>
      </w:r>
      <w:r w:rsidRPr="00901194">
        <w:rPr>
          <w:rFonts w:cs="Times New Roman"/>
          <w:b/>
          <w:i/>
          <w:iCs/>
        </w:rPr>
        <w:t>ae</w:t>
      </w:r>
      <w:r w:rsidRPr="00901194">
        <w:rPr>
          <w:rFonts w:cs="Times New Roman"/>
          <w:i/>
          <w:iCs/>
        </w:rPr>
        <w:t xml:space="preserve">, leucocholic acid (Kruskal-Wallis p=1.69e-7); </w:t>
      </w:r>
      <w:r w:rsidRPr="00901194">
        <w:rPr>
          <w:rFonts w:cs="Times New Roman"/>
          <w:b/>
          <w:i/>
          <w:iCs/>
        </w:rPr>
        <w:t>af</w:t>
      </w:r>
      <w:r w:rsidRPr="00901194">
        <w:rPr>
          <w:rFonts w:cs="Times New Roman"/>
          <w:i/>
          <w:iCs/>
        </w:rPr>
        <w:t xml:space="preserve">, tyrosocholic acid (Kruskal-Wallis p=7.71e-3); </w:t>
      </w:r>
      <w:r w:rsidRPr="00901194">
        <w:rPr>
          <w:rFonts w:cs="Times New Roman"/>
          <w:b/>
          <w:i/>
          <w:iCs/>
        </w:rPr>
        <w:t>ag</w:t>
      </w:r>
      <w:r w:rsidRPr="00901194">
        <w:rPr>
          <w:rFonts w:cs="Times New Roman"/>
          <w:i/>
          <w:iCs/>
        </w:rPr>
        <w:t xml:space="preserve">, glutamate-conjugated chenodeoxycholic acid (Kruskal-Wallis p=1.69e-7); </w:t>
      </w:r>
      <w:r w:rsidRPr="00901194">
        <w:rPr>
          <w:rFonts w:cs="Times New Roman"/>
          <w:b/>
          <w:i/>
          <w:iCs/>
        </w:rPr>
        <w:t>ah</w:t>
      </w:r>
      <w:r w:rsidRPr="00901194">
        <w:rPr>
          <w:rFonts w:cs="Times New Roman"/>
          <w:i/>
          <w:iCs/>
        </w:rPr>
        <w:t xml:space="preserve">, tryptophan-conjugated chenodeoxycholic acid (Kruskal-Wallis p=4.9e-7); </w:t>
      </w:r>
      <w:r w:rsidRPr="00901194">
        <w:rPr>
          <w:rFonts w:cs="Times New Roman"/>
          <w:b/>
          <w:i/>
          <w:iCs/>
        </w:rPr>
        <w:t>ai</w:t>
      </w:r>
      <w:r w:rsidRPr="00901194">
        <w:rPr>
          <w:rFonts w:cs="Times New Roman"/>
          <w:i/>
          <w:iCs/>
        </w:rPr>
        <w:t xml:space="preserve">, aspartate-conjugated chenodeoxycholic acid (Kruskal-Wallis p=1.13e-5); </w:t>
      </w:r>
      <w:r w:rsidRPr="00901194">
        <w:rPr>
          <w:rFonts w:cs="Times New Roman"/>
          <w:b/>
          <w:i/>
          <w:iCs/>
        </w:rPr>
        <w:t>aj</w:t>
      </w:r>
      <w:r w:rsidRPr="00901194">
        <w:rPr>
          <w:rFonts w:cs="Times New Roman"/>
          <w:i/>
          <w:iCs/>
        </w:rPr>
        <w:t xml:space="preserve">, histidine-conjugated chenodeoxycholic acid (Kruskal-Wallis p=6.41e-3); </w:t>
      </w:r>
      <w:r w:rsidRPr="00901194">
        <w:rPr>
          <w:rFonts w:cs="Times New Roman"/>
          <w:b/>
          <w:i/>
          <w:iCs/>
        </w:rPr>
        <w:t>ak</w:t>
      </w:r>
      <w:r w:rsidRPr="00901194">
        <w:rPr>
          <w:rFonts w:cs="Times New Roman"/>
          <w:i/>
          <w:iCs/>
        </w:rPr>
        <w:t xml:space="preserve">, histidine-conjugated cholic acid (Kruskal-Wallis p=0.04); </w:t>
      </w:r>
      <w:r w:rsidRPr="00901194">
        <w:rPr>
          <w:rFonts w:cs="Times New Roman"/>
          <w:b/>
          <w:i/>
          <w:iCs/>
        </w:rPr>
        <w:t>al</w:t>
      </w:r>
      <w:r w:rsidRPr="00901194">
        <w:rPr>
          <w:rFonts w:cs="Times New Roman"/>
          <w:i/>
          <w:iCs/>
        </w:rPr>
        <w:t xml:space="preserve">, leucine-conjugated chenodeoxycholic acid (Kruskal-Wallis p=0.04); </w:t>
      </w:r>
      <w:r w:rsidRPr="00901194">
        <w:rPr>
          <w:rFonts w:cs="Times New Roman"/>
          <w:b/>
          <w:i/>
          <w:iCs/>
        </w:rPr>
        <w:t>am</w:t>
      </w:r>
      <w:r w:rsidRPr="00901194">
        <w:rPr>
          <w:rFonts w:cs="Times New Roman"/>
          <w:i/>
          <w:iCs/>
        </w:rPr>
        <w:t xml:space="preserve">, tyrosine-conjugated deoxycholic acid (Kruskal-Wallis p=1.61e-5). </w:t>
      </w:r>
      <w:r w:rsidRPr="00901194">
        <w:rPr>
          <w:rFonts w:cs="Times New Roman"/>
          <w:b/>
          <w:i/>
          <w:iCs/>
        </w:rPr>
        <w:t>an</w:t>
      </w:r>
      <w:r w:rsidRPr="00901194">
        <w:rPr>
          <w:rFonts w:cs="Times New Roman"/>
          <w:i/>
          <w:iCs/>
        </w:rPr>
        <w:t xml:space="preserve">, aspartate-conjugated cholic acid (Kruskal-Wallis p=0.05); </w:t>
      </w:r>
      <w:r w:rsidRPr="00901194">
        <w:rPr>
          <w:rFonts w:cs="Times New Roman"/>
          <w:b/>
          <w:i/>
          <w:iCs/>
        </w:rPr>
        <w:t>ao</w:t>
      </w:r>
      <w:r w:rsidRPr="00901194">
        <w:rPr>
          <w:rFonts w:cs="Times New Roman"/>
          <w:i/>
          <w:iCs/>
        </w:rPr>
        <w:t xml:space="preserve">, threonine-conjugated chenodeoxycholic acid (Kruskal-Wallis p=0.4). </w:t>
      </w:r>
      <w:r w:rsidRPr="00901194">
        <w:rPr>
          <w:rFonts w:cs="Times New Roman"/>
          <w:b/>
          <w:i/>
          <w:iCs/>
        </w:rPr>
        <w:t>ap</w:t>
      </w:r>
      <w:r w:rsidRPr="00901194">
        <w:rPr>
          <w:rFonts w:cs="Times New Roman"/>
          <w:i/>
          <w:iCs/>
        </w:rPr>
        <w:t xml:space="preserve">, Phenylalanocholic acid (Kruskal-Wallis p=1.904e-6). </w:t>
      </w:r>
    </w:p>
    <w:p w14:paraId="345D3325" w14:textId="77777777" w:rsidR="00657FE5" w:rsidRPr="00901194" w:rsidRDefault="00657FE5" w:rsidP="007C445A">
      <w:pPr>
        <w:spacing w:line="240" w:lineRule="auto"/>
        <w:rPr>
          <w:rFonts w:cs="Times New Roman"/>
          <w:i/>
          <w:iCs/>
        </w:rPr>
      </w:pPr>
    </w:p>
    <w:p w14:paraId="1B8545DA" w14:textId="77777777" w:rsidR="00657FE5" w:rsidRPr="00901194" w:rsidRDefault="00657FE5" w:rsidP="007C445A">
      <w:pPr>
        <w:spacing w:line="240" w:lineRule="auto"/>
        <w:rPr>
          <w:rFonts w:cs="Times New Roman"/>
          <w:i/>
          <w:iCs/>
        </w:rPr>
      </w:pPr>
    </w:p>
    <w:p w14:paraId="5FD4755D" w14:textId="77777777" w:rsidR="00657FE5" w:rsidRPr="00901194" w:rsidRDefault="00657FE5" w:rsidP="007C445A">
      <w:pPr>
        <w:spacing w:line="240" w:lineRule="auto"/>
        <w:rPr>
          <w:rFonts w:cs="Times New Roman"/>
          <w:i/>
          <w:iCs/>
        </w:rPr>
      </w:pPr>
    </w:p>
    <w:p w14:paraId="0C9B7A85" w14:textId="3030EBD7" w:rsidR="00657FE5" w:rsidRPr="00901194" w:rsidRDefault="00657FE5" w:rsidP="007C445A">
      <w:pPr>
        <w:spacing w:line="240" w:lineRule="auto"/>
        <w:rPr>
          <w:rFonts w:cs="Times New Roman"/>
          <w:i/>
          <w:iCs/>
        </w:rPr>
        <w:sectPr w:rsidR="00657FE5" w:rsidRPr="00901194" w:rsidSect="00274ADB">
          <w:pgSz w:w="12240" w:h="15840"/>
          <w:pgMar w:top="1440" w:right="1440" w:bottom="1440" w:left="1440" w:header="0" w:footer="0" w:gutter="0"/>
          <w:cols w:space="720"/>
          <w:formProt w:val="0"/>
          <w:docGrid w:linePitch="360" w:charSpace="-2049"/>
        </w:sectPr>
      </w:pPr>
    </w:p>
    <w:p w14:paraId="7403DA79" w14:textId="1B5A49F2" w:rsidR="002D2DFC" w:rsidRPr="00901194" w:rsidRDefault="00090B0E" w:rsidP="00B337F9">
      <w:pPr>
        <w:rPr>
          <w:rFonts w:cs="Times New Roman"/>
        </w:rPr>
      </w:pPr>
      <w:r w:rsidRPr="00901194">
        <w:rPr>
          <w:rFonts w:cs="Times New Roman"/>
          <w:noProof/>
        </w:rPr>
        <w:lastRenderedPageBreak/>
        <w:drawing>
          <wp:anchor distT="0" distB="0" distL="114300" distR="114300" simplePos="0" relativeHeight="251745280" behindDoc="0" locked="0" layoutInCell="1" allowOverlap="1" wp14:anchorId="56144515" wp14:editId="5F384570">
            <wp:simplePos x="0" y="0"/>
            <wp:positionH relativeFrom="margin">
              <wp:align>center</wp:align>
            </wp:positionH>
            <wp:positionV relativeFrom="paragraph">
              <wp:posOffset>0</wp:posOffset>
            </wp:positionV>
            <wp:extent cx="5596720" cy="8229600"/>
            <wp:effectExtent l="0" t="0" r="4445" b="0"/>
            <wp:wrapTopAndBottom/>
            <wp:docPr id="34" name="Graphic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5596720" cy="8229600"/>
                    </a:xfrm>
                    <a:prstGeom prst="rect">
                      <a:avLst/>
                    </a:prstGeom>
                  </pic:spPr>
                </pic:pic>
              </a:graphicData>
            </a:graphic>
            <wp14:sizeRelH relativeFrom="margin">
              <wp14:pctWidth>0</wp14:pctWidth>
            </wp14:sizeRelH>
            <wp14:sizeRelV relativeFrom="margin">
              <wp14:pctHeight>0</wp14:pctHeight>
            </wp14:sizeRelV>
          </wp:anchor>
        </w:drawing>
      </w:r>
    </w:p>
    <w:p w14:paraId="610846D8" w14:textId="5A234723" w:rsidR="002D2DFC" w:rsidRPr="00901194" w:rsidRDefault="002D2DFC" w:rsidP="00E91279">
      <w:pPr>
        <w:spacing w:line="259" w:lineRule="auto"/>
        <w:rPr>
          <w:rFonts w:cs="Times New Roman"/>
        </w:rPr>
      </w:pPr>
      <w:r w:rsidRPr="00901194">
        <w:rPr>
          <w:rFonts w:cs="Times New Roman"/>
        </w:rPr>
        <w:lastRenderedPageBreak/>
        <w:br w:type="page"/>
      </w:r>
      <w:r w:rsidR="00657FE5" w:rsidRPr="00901194">
        <w:rPr>
          <w:rFonts w:cs="Times New Roman"/>
          <w:noProof/>
        </w:rPr>
        <w:drawing>
          <wp:anchor distT="0" distB="0" distL="114300" distR="114300" simplePos="0" relativeHeight="251746304" behindDoc="0" locked="0" layoutInCell="1" allowOverlap="1" wp14:anchorId="04B964BE" wp14:editId="5E87DF00">
            <wp:simplePos x="0" y="0"/>
            <wp:positionH relativeFrom="margin">
              <wp:align>center</wp:align>
            </wp:positionH>
            <wp:positionV relativeFrom="paragraph">
              <wp:posOffset>41</wp:posOffset>
            </wp:positionV>
            <wp:extent cx="5582919" cy="8229600"/>
            <wp:effectExtent l="0" t="0" r="0" b="0"/>
            <wp:wrapTopAndBottom/>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phic 47"/>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5582919" cy="8229600"/>
                    </a:xfrm>
                    <a:prstGeom prst="rect">
                      <a:avLst/>
                    </a:prstGeom>
                  </pic:spPr>
                </pic:pic>
              </a:graphicData>
            </a:graphic>
            <wp14:sizeRelH relativeFrom="margin">
              <wp14:pctWidth>0</wp14:pctWidth>
            </wp14:sizeRelH>
            <wp14:sizeRelV relativeFrom="margin">
              <wp14:pctHeight>0</wp14:pctHeight>
            </wp14:sizeRelV>
          </wp:anchor>
        </w:drawing>
      </w:r>
    </w:p>
    <w:p w14:paraId="69F5F7D3" w14:textId="3302C501" w:rsidR="002D2DFC" w:rsidRPr="00901194" w:rsidRDefault="00E91279" w:rsidP="00E91279">
      <w:pPr>
        <w:spacing w:line="259" w:lineRule="auto"/>
        <w:rPr>
          <w:rFonts w:cs="Times New Roman"/>
        </w:rPr>
      </w:pPr>
      <w:r w:rsidRPr="00901194">
        <w:rPr>
          <w:rFonts w:cs="Times New Roman"/>
          <w:noProof/>
        </w:rPr>
        <w:lastRenderedPageBreak/>
        <w:drawing>
          <wp:anchor distT="0" distB="0" distL="114300" distR="114300" simplePos="0" relativeHeight="251747328" behindDoc="0" locked="0" layoutInCell="1" allowOverlap="1" wp14:anchorId="17829AA5" wp14:editId="0C4C757B">
            <wp:simplePos x="0" y="0"/>
            <wp:positionH relativeFrom="margin">
              <wp:align>center</wp:align>
            </wp:positionH>
            <wp:positionV relativeFrom="paragraph">
              <wp:posOffset>553</wp:posOffset>
            </wp:positionV>
            <wp:extent cx="5582920" cy="8229600"/>
            <wp:effectExtent l="0" t="0" r="0" b="0"/>
            <wp:wrapTopAndBottom/>
            <wp:docPr id="48"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5582920" cy="8229600"/>
                    </a:xfrm>
                    <a:prstGeom prst="rect">
                      <a:avLst/>
                    </a:prstGeom>
                  </pic:spPr>
                </pic:pic>
              </a:graphicData>
            </a:graphic>
          </wp:anchor>
        </w:drawing>
      </w:r>
      <w:r w:rsidR="00657FE5" w:rsidRPr="00901194">
        <w:rPr>
          <w:rFonts w:cs="Times New Roman"/>
        </w:rPr>
        <w:br w:type="page"/>
      </w:r>
    </w:p>
    <w:p w14:paraId="68456FEF" w14:textId="305F1DB9" w:rsidR="002D2DFC" w:rsidRPr="00901194" w:rsidRDefault="00417158" w:rsidP="00B337F9">
      <w:pPr>
        <w:rPr>
          <w:rFonts w:cs="Times New Roman"/>
        </w:rPr>
      </w:pPr>
      <w:r w:rsidRPr="00901194">
        <w:rPr>
          <w:rFonts w:cs="Times New Roman"/>
          <w:noProof/>
        </w:rPr>
        <w:lastRenderedPageBreak/>
        <w:drawing>
          <wp:anchor distT="0" distB="0" distL="114300" distR="114300" simplePos="0" relativeHeight="251748352" behindDoc="0" locked="0" layoutInCell="1" allowOverlap="1" wp14:anchorId="4C040F88" wp14:editId="146D67E5">
            <wp:simplePos x="0" y="0"/>
            <wp:positionH relativeFrom="margin">
              <wp:align>center</wp:align>
            </wp:positionH>
            <wp:positionV relativeFrom="paragraph">
              <wp:posOffset>214</wp:posOffset>
            </wp:positionV>
            <wp:extent cx="5582920" cy="8229600"/>
            <wp:effectExtent l="0" t="0" r="0" b="0"/>
            <wp:wrapTopAndBottom/>
            <wp:docPr id="49" name="Graphic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c 49"/>
                    <pic:cNvPicPr/>
                  </pic:nvPicPr>
                  <pic:blipFill>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0" y="0"/>
                      <a:ext cx="5582920" cy="8229600"/>
                    </a:xfrm>
                    <a:prstGeom prst="rect">
                      <a:avLst/>
                    </a:prstGeom>
                  </pic:spPr>
                </pic:pic>
              </a:graphicData>
            </a:graphic>
          </wp:anchor>
        </w:drawing>
      </w:r>
    </w:p>
    <w:p w14:paraId="2C88E6F5" w14:textId="79C2E474" w:rsidR="007F4308" w:rsidRPr="00901194" w:rsidRDefault="00AF118D" w:rsidP="00B337F9">
      <w:pPr>
        <w:rPr>
          <w:rFonts w:cs="Times New Roman"/>
        </w:rPr>
      </w:pPr>
      <w:r w:rsidRPr="00901194">
        <w:rPr>
          <w:rFonts w:cs="Times New Roman"/>
          <w:noProof/>
        </w:rPr>
        <w:lastRenderedPageBreak/>
        <w:drawing>
          <wp:anchor distT="0" distB="0" distL="114300" distR="114300" simplePos="0" relativeHeight="251749376" behindDoc="0" locked="0" layoutInCell="1" allowOverlap="1" wp14:anchorId="44C31E84" wp14:editId="3C5E37DA">
            <wp:simplePos x="0" y="0"/>
            <wp:positionH relativeFrom="margin">
              <wp:align>center</wp:align>
            </wp:positionH>
            <wp:positionV relativeFrom="paragraph">
              <wp:posOffset>412</wp:posOffset>
            </wp:positionV>
            <wp:extent cx="5582920" cy="8229600"/>
            <wp:effectExtent l="0" t="0" r="0" b="0"/>
            <wp:wrapTopAndBottom/>
            <wp:docPr id="50" name="Graphic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phic 50"/>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582920" cy="8229600"/>
                    </a:xfrm>
                    <a:prstGeom prst="rect">
                      <a:avLst/>
                    </a:prstGeom>
                  </pic:spPr>
                </pic:pic>
              </a:graphicData>
            </a:graphic>
          </wp:anchor>
        </w:drawing>
      </w:r>
    </w:p>
    <w:p w14:paraId="0717D0F1" w14:textId="5F1ABB48" w:rsidR="00417158" w:rsidRPr="00901194" w:rsidRDefault="00913085" w:rsidP="00B337F9">
      <w:pPr>
        <w:rPr>
          <w:rFonts w:cs="Times New Roman"/>
        </w:rPr>
      </w:pPr>
      <w:r w:rsidRPr="00901194">
        <w:rPr>
          <w:rFonts w:cs="Times New Roman"/>
          <w:noProof/>
        </w:rPr>
        <w:lastRenderedPageBreak/>
        <w:drawing>
          <wp:anchor distT="0" distB="0" distL="114300" distR="114300" simplePos="0" relativeHeight="251750400" behindDoc="0" locked="0" layoutInCell="1" allowOverlap="1" wp14:anchorId="5ACD21C3" wp14:editId="5BBB8DBE">
            <wp:simplePos x="0" y="0"/>
            <wp:positionH relativeFrom="margin">
              <wp:align>right</wp:align>
            </wp:positionH>
            <wp:positionV relativeFrom="paragraph">
              <wp:posOffset>396</wp:posOffset>
            </wp:positionV>
            <wp:extent cx="5582920" cy="8229600"/>
            <wp:effectExtent l="0" t="0" r="0" b="0"/>
            <wp:wrapTopAndBottom/>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pic:cNvPicPr/>
                  </pic:nvPicPr>
                  <pic:blipFill>
                    <a:blip r:embed="rId83">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5582920" cy="8229600"/>
                    </a:xfrm>
                    <a:prstGeom prst="rect">
                      <a:avLst/>
                    </a:prstGeom>
                  </pic:spPr>
                </pic:pic>
              </a:graphicData>
            </a:graphic>
          </wp:anchor>
        </w:drawing>
      </w:r>
    </w:p>
    <w:p w14:paraId="05BBA505" w14:textId="39C99284" w:rsidR="00AF118D" w:rsidRPr="00901194" w:rsidRDefault="005B783C" w:rsidP="00B337F9">
      <w:pPr>
        <w:rPr>
          <w:rFonts w:cs="Times New Roman"/>
        </w:rPr>
      </w:pPr>
      <w:r w:rsidRPr="00901194">
        <w:rPr>
          <w:rFonts w:cs="Times New Roman"/>
          <w:noProof/>
        </w:rPr>
        <w:lastRenderedPageBreak/>
        <w:drawing>
          <wp:anchor distT="0" distB="0" distL="114300" distR="114300" simplePos="0" relativeHeight="251751424" behindDoc="0" locked="0" layoutInCell="1" allowOverlap="1" wp14:anchorId="14F36DF5" wp14:editId="683C325D">
            <wp:simplePos x="0" y="0"/>
            <wp:positionH relativeFrom="margin">
              <wp:align>center</wp:align>
            </wp:positionH>
            <wp:positionV relativeFrom="paragraph">
              <wp:posOffset>0</wp:posOffset>
            </wp:positionV>
            <wp:extent cx="5582920" cy="8229600"/>
            <wp:effectExtent l="0" t="0" r="0" b="0"/>
            <wp:wrapTopAndBottom/>
            <wp:docPr id="58" name="Graphic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pic:cNvPicPr/>
                  </pic:nvPicPr>
                  <pic:blipFill>
                    <a:blip r:embed="rId85">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5582920" cy="8229600"/>
                    </a:xfrm>
                    <a:prstGeom prst="rect">
                      <a:avLst/>
                    </a:prstGeom>
                  </pic:spPr>
                </pic:pic>
              </a:graphicData>
            </a:graphic>
          </wp:anchor>
        </w:drawing>
      </w:r>
    </w:p>
    <w:p w14:paraId="01884A09" w14:textId="6A047AC8" w:rsidR="007F4308" w:rsidRPr="00901194" w:rsidRDefault="00B86F3F" w:rsidP="00B337F9">
      <w:pPr>
        <w:rPr>
          <w:rFonts w:cs="Times New Roman"/>
        </w:rPr>
      </w:pPr>
      <w:r w:rsidRPr="00901194">
        <w:rPr>
          <w:rFonts w:cs="Times New Roman"/>
          <w:noProof/>
        </w:rPr>
        <w:lastRenderedPageBreak/>
        <w:drawing>
          <wp:anchor distT="0" distB="0" distL="114300" distR="114300" simplePos="0" relativeHeight="251752448" behindDoc="0" locked="0" layoutInCell="1" allowOverlap="1" wp14:anchorId="48E72B17" wp14:editId="25AA3199">
            <wp:simplePos x="0" y="0"/>
            <wp:positionH relativeFrom="margin">
              <wp:align>center</wp:align>
            </wp:positionH>
            <wp:positionV relativeFrom="paragraph">
              <wp:posOffset>0</wp:posOffset>
            </wp:positionV>
            <wp:extent cx="5582920" cy="8229600"/>
            <wp:effectExtent l="0" t="0" r="0" b="0"/>
            <wp:wrapTopAndBottom/>
            <wp:docPr id="60" name="Graphic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phic 60"/>
                    <pic:cNvPicPr/>
                  </pic:nvPicPr>
                  <pic:blipFill>
                    <a:blip r:embed="rId85">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5582920" cy="8229600"/>
                    </a:xfrm>
                    <a:prstGeom prst="rect">
                      <a:avLst/>
                    </a:prstGeom>
                  </pic:spPr>
                </pic:pic>
              </a:graphicData>
            </a:graphic>
          </wp:anchor>
        </w:drawing>
      </w:r>
    </w:p>
    <w:p w14:paraId="111A85DE" w14:textId="347C5ADF" w:rsidR="005B783C" w:rsidRPr="00901194" w:rsidRDefault="006418F5" w:rsidP="00B337F9">
      <w:pPr>
        <w:rPr>
          <w:rFonts w:cs="Times New Roman"/>
        </w:rPr>
      </w:pPr>
      <w:r w:rsidRPr="00901194">
        <w:rPr>
          <w:rFonts w:cs="Times New Roman"/>
          <w:noProof/>
        </w:rPr>
        <w:lastRenderedPageBreak/>
        <w:drawing>
          <wp:anchor distT="0" distB="0" distL="114300" distR="114300" simplePos="0" relativeHeight="251753472" behindDoc="0" locked="0" layoutInCell="1" allowOverlap="1" wp14:anchorId="21B6DD3A" wp14:editId="4DC58FD5">
            <wp:simplePos x="0" y="0"/>
            <wp:positionH relativeFrom="margin">
              <wp:align>center</wp:align>
            </wp:positionH>
            <wp:positionV relativeFrom="paragraph">
              <wp:posOffset>0</wp:posOffset>
            </wp:positionV>
            <wp:extent cx="5582920" cy="8229600"/>
            <wp:effectExtent l="0" t="0" r="0" b="0"/>
            <wp:wrapTopAndBottom/>
            <wp:docPr id="61" name="Graphic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c 61"/>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5582920" cy="8229600"/>
                    </a:xfrm>
                    <a:prstGeom prst="rect">
                      <a:avLst/>
                    </a:prstGeom>
                  </pic:spPr>
                </pic:pic>
              </a:graphicData>
            </a:graphic>
          </wp:anchor>
        </w:drawing>
      </w:r>
    </w:p>
    <w:p w14:paraId="30CAA433" w14:textId="42C91184" w:rsidR="00913085" w:rsidRPr="00901194" w:rsidRDefault="006418F5" w:rsidP="00B337F9">
      <w:pPr>
        <w:rPr>
          <w:rFonts w:cs="Times New Roman"/>
        </w:rPr>
      </w:pPr>
      <w:r w:rsidRPr="00901194">
        <w:rPr>
          <w:rFonts w:cs="Times New Roman"/>
          <w:noProof/>
        </w:rPr>
        <w:lastRenderedPageBreak/>
        <w:drawing>
          <wp:anchor distT="0" distB="0" distL="114300" distR="114300" simplePos="0" relativeHeight="251754496" behindDoc="0" locked="0" layoutInCell="1" allowOverlap="1" wp14:anchorId="36B1C6ED" wp14:editId="00EAEF7E">
            <wp:simplePos x="0" y="0"/>
            <wp:positionH relativeFrom="margin">
              <wp:posOffset>292441</wp:posOffset>
            </wp:positionH>
            <wp:positionV relativeFrom="paragraph">
              <wp:posOffset>0</wp:posOffset>
            </wp:positionV>
            <wp:extent cx="5582920" cy="8229600"/>
            <wp:effectExtent l="0" t="0" r="0" b="0"/>
            <wp:wrapTopAndBottom/>
            <wp:docPr id="62" name="Graphic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5582920" cy="8229600"/>
                    </a:xfrm>
                    <a:prstGeom prst="rect">
                      <a:avLst/>
                    </a:prstGeom>
                  </pic:spPr>
                </pic:pic>
              </a:graphicData>
            </a:graphic>
          </wp:anchor>
        </w:drawing>
      </w:r>
    </w:p>
    <w:p w14:paraId="4B13C16F" w14:textId="27F83B7C" w:rsidR="00913085" w:rsidRPr="00901194" w:rsidRDefault="008F3746" w:rsidP="00B337F9">
      <w:pPr>
        <w:rPr>
          <w:rFonts w:cs="Times New Roman"/>
        </w:rPr>
      </w:pPr>
      <w:r w:rsidRPr="00901194">
        <w:rPr>
          <w:rFonts w:cs="Times New Roman"/>
          <w:noProof/>
        </w:rPr>
        <w:lastRenderedPageBreak/>
        <w:drawing>
          <wp:anchor distT="0" distB="0" distL="114300" distR="114300" simplePos="0" relativeHeight="251755520" behindDoc="0" locked="0" layoutInCell="1" allowOverlap="1" wp14:anchorId="790EDDCF" wp14:editId="4EBF9E9D">
            <wp:simplePos x="0" y="0"/>
            <wp:positionH relativeFrom="margin">
              <wp:align>right</wp:align>
            </wp:positionH>
            <wp:positionV relativeFrom="paragraph">
              <wp:posOffset>0</wp:posOffset>
            </wp:positionV>
            <wp:extent cx="5582920" cy="8229600"/>
            <wp:effectExtent l="0" t="0" r="0" b="0"/>
            <wp:wrapTopAndBottom/>
            <wp:docPr id="63" name="Graphic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3"/>
                    <pic:cNvPicPr/>
                  </pic:nvPicPr>
                  <pic:blipFill>
                    <a:blip r:embed="rId92">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5582920" cy="8229600"/>
                    </a:xfrm>
                    <a:prstGeom prst="rect">
                      <a:avLst/>
                    </a:prstGeom>
                  </pic:spPr>
                </pic:pic>
              </a:graphicData>
            </a:graphic>
          </wp:anchor>
        </w:drawing>
      </w:r>
    </w:p>
    <w:p w14:paraId="0BF25B1C" w14:textId="00847E9A" w:rsidR="007F4308" w:rsidRPr="00901194" w:rsidRDefault="00FF3658" w:rsidP="00B337F9">
      <w:pPr>
        <w:rPr>
          <w:rFonts w:cs="Times New Roman"/>
        </w:rPr>
      </w:pPr>
      <w:r w:rsidRPr="00901194">
        <w:rPr>
          <w:rFonts w:cs="Times New Roman"/>
          <w:noProof/>
        </w:rPr>
        <w:lastRenderedPageBreak/>
        <w:drawing>
          <wp:anchor distT="0" distB="0" distL="114300" distR="114300" simplePos="0" relativeHeight="251756544" behindDoc="0" locked="0" layoutInCell="1" allowOverlap="1" wp14:anchorId="75F980C1" wp14:editId="26EDEBD3">
            <wp:simplePos x="0" y="0"/>
            <wp:positionH relativeFrom="margin">
              <wp:align>center</wp:align>
            </wp:positionH>
            <wp:positionV relativeFrom="paragraph">
              <wp:posOffset>0</wp:posOffset>
            </wp:positionV>
            <wp:extent cx="5582920" cy="8229600"/>
            <wp:effectExtent l="0" t="0" r="0" b="0"/>
            <wp:wrapTopAndBottom/>
            <wp:docPr id="64" name="Graphic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c 64"/>
                    <pic:cNvPicPr/>
                  </pic:nvPicPr>
                  <pic:blipFill>
                    <a:blip r:embed="rId94">
                      <a:extLst>
                        <a:ext uri="{28A0092B-C50C-407E-A947-70E740481C1C}">
                          <a14:useLocalDpi xmlns:a14="http://schemas.microsoft.com/office/drawing/2010/main" val="0"/>
                        </a:ext>
                        <a:ext uri="{96DAC541-7B7A-43D3-8B79-37D633B846F1}">
                          <asvg:svgBlip xmlns:asvg="http://schemas.microsoft.com/office/drawing/2016/SVG/main" r:embed="rId95"/>
                        </a:ext>
                      </a:extLst>
                    </a:blip>
                    <a:stretch>
                      <a:fillRect/>
                    </a:stretch>
                  </pic:blipFill>
                  <pic:spPr>
                    <a:xfrm>
                      <a:off x="0" y="0"/>
                      <a:ext cx="5582920" cy="8229600"/>
                    </a:xfrm>
                    <a:prstGeom prst="rect">
                      <a:avLst/>
                    </a:prstGeom>
                  </pic:spPr>
                </pic:pic>
              </a:graphicData>
            </a:graphic>
          </wp:anchor>
        </w:drawing>
      </w:r>
    </w:p>
    <w:p w14:paraId="38BCCABF" w14:textId="16392467" w:rsidR="00FF3658" w:rsidRPr="00901194" w:rsidRDefault="00FF3658" w:rsidP="00B337F9">
      <w:pPr>
        <w:rPr>
          <w:rFonts w:cs="Times New Roman"/>
        </w:rPr>
      </w:pPr>
      <w:r w:rsidRPr="00901194">
        <w:rPr>
          <w:rFonts w:cs="Times New Roman"/>
          <w:noProof/>
        </w:rPr>
        <w:lastRenderedPageBreak/>
        <w:drawing>
          <wp:anchor distT="0" distB="0" distL="114300" distR="114300" simplePos="0" relativeHeight="251757568" behindDoc="0" locked="0" layoutInCell="1" allowOverlap="1" wp14:anchorId="29364E7F" wp14:editId="29CE6F25">
            <wp:simplePos x="0" y="0"/>
            <wp:positionH relativeFrom="margin">
              <wp:align>center</wp:align>
            </wp:positionH>
            <wp:positionV relativeFrom="paragraph">
              <wp:posOffset>0</wp:posOffset>
            </wp:positionV>
            <wp:extent cx="5582920" cy="8229600"/>
            <wp:effectExtent l="0" t="0" r="0" b="0"/>
            <wp:wrapTopAndBottom/>
            <wp:docPr id="65" name="Graphic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phic 65"/>
                    <pic:cNvPicPr/>
                  </pic:nvPicPr>
                  <pic:blipFill>
                    <a:blip r:embed="rId96">
                      <a:extLst>
                        <a:ext uri="{28A0092B-C50C-407E-A947-70E740481C1C}">
                          <a14:useLocalDpi xmlns:a14="http://schemas.microsoft.com/office/drawing/2010/main" val="0"/>
                        </a:ext>
                        <a:ext uri="{96DAC541-7B7A-43D3-8B79-37D633B846F1}">
                          <asvg:svgBlip xmlns:asvg="http://schemas.microsoft.com/office/drawing/2016/SVG/main" r:embed="rId97"/>
                        </a:ext>
                      </a:extLst>
                    </a:blip>
                    <a:stretch>
                      <a:fillRect/>
                    </a:stretch>
                  </pic:blipFill>
                  <pic:spPr>
                    <a:xfrm>
                      <a:off x="0" y="0"/>
                      <a:ext cx="5582920" cy="8229600"/>
                    </a:xfrm>
                    <a:prstGeom prst="rect">
                      <a:avLst/>
                    </a:prstGeom>
                  </pic:spPr>
                </pic:pic>
              </a:graphicData>
            </a:graphic>
          </wp:anchor>
        </w:drawing>
      </w:r>
    </w:p>
    <w:p w14:paraId="7B087398" w14:textId="30BEBD82" w:rsidR="00FF3658" w:rsidRPr="00901194" w:rsidRDefault="007A1794" w:rsidP="00B337F9">
      <w:pPr>
        <w:rPr>
          <w:rFonts w:cs="Times New Roman"/>
        </w:rPr>
      </w:pPr>
      <w:r w:rsidRPr="00901194">
        <w:rPr>
          <w:rFonts w:cs="Times New Roman"/>
          <w:noProof/>
        </w:rPr>
        <w:lastRenderedPageBreak/>
        <w:drawing>
          <wp:anchor distT="0" distB="0" distL="114300" distR="114300" simplePos="0" relativeHeight="251758592" behindDoc="0" locked="0" layoutInCell="1" allowOverlap="1" wp14:anchorId="2078E44B" wp14:editId="7F12B246">
            <wp:simplePos x="0" y="0"/>
            <wp:positionH relativeFrom="margin">
              <wp:align>center</wp:align>
            </wp:positionH>
            <wp:positionV relativeFrom="paragraph">
              <wp:posOffset>0</wp:posOffset>
            </wp:positionV>
            <wp:extent cx="5582920" cy="8229600"/>
            <wp:effectExtent l="0" t="0" r="0" b="0"/>
            <wp:wrapTopAndBottom/>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phic 66"/>
                    <pic:cNvPicPr/>
                  </pic:nvPicPr>
                  <pic:blipFill>
                    <a:blip r:embed="rId98">
                      <a:extLst>
                        <a:ext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5582920" cy="8229600"/>
                    </a:xfrm>
                    <a:prstGeom prst="rect">
                      <a:avLst/>
                    </a:prstGeom>
                  </pic:spPr>
                </pic:pic>
              </a:graphicData>
            </a:graphic>
          </wp:anchor>
        </w:drawing>
      </w:r>
    </w:p>
    <w:p w14:paraId="19D25F46" w14:textId="24CCF96B" w:rsidR="00FF3658" w:rsidRPr="00901194" w:rsidRDefault="00FD218C" w:rsidP="00B337F9">
      <w:pPr>
        <w:rPr>
          <w:rFonts w:cs="Times New Roman"/>
        </w:rPr>
      </w:pPr>
      <w:r w:rsidRPr="00901194">
        <w:rPr>
          <w:rFonts w:cs="Times New Roman"/>
          <w:noProof/>
        </w:rPr>
        <w:lastRenderedPageBreak/>
        <w:drawing>
          <wp:anchor distT="0" distB="0" distL="114300" distR="114300" simplePos="0" relativeHeight="251759616" behindDoc="0" locked="0" layoutInCell="1" allowOverlap="1" wp14:anchorId="668944CA" wp14:editId="40FDD6B2">
            <wp:simplePos x="0" y="0"/>
            <wp:positionH relativeFrom="margin">
              <wp:align>center</wp:align>
            </wp:positionH>
            <wp:positionV relativeFrom="paragraph">
              <wp:posOffset>0</wp:posOffset>
            </wp:positionV>
            <wp:extent cx="5582920" cy="8229600"/>
            <wp:effectExtent l="0" t="0" r="0" b="0"/>
            <wp:wrapTopAndBottom/>
            <wp:docPr id="67" name="Graphic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phic 67"/>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5582920" cy="8229600"/>
                    </a:xfrm>
                    <a:prstGeom prst="rect">
                      <a:avLst/>
                    </a:prstGeom>
                  </pic:spPr>
                </pic:pic>
              </a:graphicData>
            </a:graphic>
          </wp:anchor>
        </w:drawing>
      </w:r>
    </w:p>
    <w:p w14:paraId="316AEA98" w14:textId="52720BF7" w:rsidR="007A1794" w:rsidRPr="00901194" w:rsidRDefault="00FD218C" w:rsidP="00B337F9">
      <w:pPr>
        <w:rPr>
          <w:rFonts w:cs="Times New Roman"/>
        </w:rPr>
      </w:pPr>
      <w:r w:rsidRPr="00901194">
        <w:rPr>
          <w:rFonts w:cs="Times New Roman"/>
          <w:noProof/>
        </w:rPr>
        <w:lastRenderedPageBreak/>
        <w:drawing>
          <wp:anchor distT="0" distB="0" distL="114300" distR="114300" simplePos="0" relativeHeight="251760640" behindDoc="0" locked="0" layoutInCell="1" allowOverlap="1" wp14:anchorId="7C41E9FA" wp14:editId="08AD542A">
            <wp:simplePos x="0" y="0"/>
            <wp:positionH relativeFrom="margin">
              <wp:align>right</wp:align>
            </wp:positionH>
            <wp:positionV relativeFrom="paragraph">
              <wp:posOffset>0</wp:posOffset>
            </wp:positionV>
            <wp:extent cx="5582920" cy="8229600"/>
            <wp:effectExtent l="0" t="0" r="0" b="0"/>
            <wp:wrapTopAndBottom/>
            <wp:docPr id="68" name="Graphic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phic 68"/>
                    <pic:cNvPicPr/>
                  </pic:nvPicPr>
                  <pic:blipFill>
                    <a:blip r:embed="rId102">
                      <a:extLst>
                        <a:ext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5582920" cy="8229600"/>
                    </a:xfrm>
                    <a:prstGeom prst="rect">
                      <a:avLst/>
                    </a:prstGeom>
                  </pic:spPr>
                </pic:pic>
              </a:graphicData>
            </a:graphic>
          </wp:anchor>
        </w:drawing>
      </w:r>
    </w:p>
    <w:p w14:paraId="2CF7578F" w14:textId="72AB8E7F" w:rsidR="007A1794" w:rsidRPr="00901194" w:rsidRDefault="005E7B96" w:rsidP="00B337F9">
      <w:pPr>
        <w:rPr>
          <w:rFonts w:cs="Times New Roman"/>
        </w:rPr>
      </w:pPr>
      <w:r w:rsidRPr="00901194">
        <w:rPr>
          <w:rFonts w:cs="Times New Roman"/>
          <w:noProof/>
        </w:rPr>
        <w:lastRenderedPageBreak/>
        <w:drawing>
          <wp:anchor distT="0" distB="0" distL="114300" distR="114300" simplePos="0" relativeHeight="251761664" behindDoc="0" locked="0" layoutInCell="1" allowOverlap="1" wp14:anchorId="3A86998B" wp14:editId="3A58894F">
            <wp:simplePos x="0" y="0"/>
            <wp:positionH relativeFrom="margin">
              <wp:align>right</wp:align>
            </wp:positionH>
            <wp:positionV relativeFrom="paragraph">
              <wp:posOffset>0</wp:posOffset>
            </wp:positionV>
            <wp:extent cx="5582920" cy="8229600"/>
            <wp:effectExtent l="0" t="0" r="0" b="0"/>
            <wp:wrapTopAndBottom/>
            <wp:docPr id="69" name="Graphic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Graphic 69"/>
                    <pic:cNvPicPr/>
                  </pic:nvPicPr>
                  <pic:blipFill>
                    <a:blip r:embed="rId104">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5582920" cy="8229600"/>
                    </a:xfrm>
                    <a:prstGeom prst="rect">
                      <a:avLst/>
                    </a:prstGeom>
                  </pic:spPr>
                </pic:pic>
              </a:graphicData>
            </a:graphic>
          </wp:anchor>
        </w:drawing>
      </w:r>
    </w:p>
    <w:p w14:paraId="01B15151" w14:textId="52977381" w:rsidR="00FF3658" w:rsidRPr="00901194" w:rsidRDefault="005E7B96" w:rsidP="00B337F9">
      <w:pPr>
        <w:rPr>
          <w:rFonts w:cs="Times New Roman"/>
        </w:rPr>
      </w:pPr>
      <w:r w:rsidRPr="00901194">
        <w:rPr>
          <w:rFonts w:cs="Times New Roman"/>
          <w:noProof/>
        </w:rPr>
        <w:lastRenderedPageBreak/>
        <w:drawing>
          <wp:anchor distT="0" distB="0" distL="114300" distR="114300" simplePos="0" relativeHeight="251762688" behindDoc="0" locked="0" layoutInCell="1" allowOverlap="1" wp14:anchorId="1736EC31" wp14:editId="7AF14544">
            <wp:simplePos x="0" y="0"/>
            <wp:positionH relativeFrom="margin">
              <wp:align>center</wp:align>
            </wp:positionH>
            <wp:positionV relativeFrom="paragraph">
              <wp:posOffset>0</wp:posOffset>
            </wp:positionV>
            <wp:extent cx="5582920" cy="8229600"/>
            <wp:effectExtent l="0" t="0" r="0" b="0"/>
            <wp:wrapTopAndBottom/>
            <wp:docPr id="70"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phic 70"/>
                    <pic:cNvPicPr/>
                  </pic:nvPicPr>
                  <pic:blipFill>
                    <a:blip r:embed="rId106">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5582920" cy="8229600"/>
                    </a:xfrm>
                    <a:prstGeom prst="rect">
                      <a:avLst/>
                    </a:prstGeom>
                  </pic:spPr>
                </pic:pic>
              </a:graphicData>
            </a:graphic>
          </wp:anchor>
        </w:drawing>
      </w:r>
    </w:p>
    <w:p w14:paraId="3043B00C" w14:textId="30A9976E" w:rsidR="00FF3658" w:rsidRPr="00901194" w:rsidRDefault="00A81022" w:rsidP="00B337F9">
      <w:pPr>
        <w:rPr>
          <w:rFonts w:cs="Times New Roman"/>
        </w:rPr>
      </w:pPr>
      <w:r w:rsidRPr="00901194">
        <w:rPr>
          <w:rFonts w:cs="Times New Roman"/>
          <w:noProof/>
        </w:rPr>
        <w:lastRenderedPageBreak/>
        <w:drawing>
          <wp:anchor distT="0" distB="0" distL="114300" distR="114300" simplePos="0" relativeHeight="251763712" behindDoc="0" locked="0" layoutInCell="1" allowOverlap="1" wp14:anchorId="752319A5" wp14:editId="47A478D6">
            <wp:simplePos x="0" y="0"/>
            <wp:positionH relativeFrom="margin">
              <wp:align>center</wp:align>
            </wp:positionH>
            <wp:positionV relativeFrom="paragraph">
              <wp:posOffset>0</wp:posOffset>
            </wp:positionV>
            <wp:extent cx="5582920" cy="8229600"/>
            <wp:effectExtent l="0" t="0" r="0" b="0"/>
            <wp:wrapTopAndBottom/>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5582920" cy="8229600"/>
                    </a:xfrm>
                    <a:prstGeom prst="rect">
                      <a:avLst/>
                    </a:prstGeom>
                  </pic:spPr>
                </pic:pic>
              </a:graphicData>
            </a:graphic>
          </wp:anchor>
        </w:drawing>
      </w:r>
    </w:p>
    <w:p w14:paraId="1D045356" w14:textId="25D80018" w:rsidR="00FF3658" w:rsidRPr="00901194" w:rsidRDefault="004553C1" w:rsidP="00B337F9">
      <w:pPr>
        <w:rPr>
          <w:rFonts w:cs="Times New Roman"/>
        </w:rPr>
      </w:pPr>
      <w:r w:rsidRPr="00901194">
        <w:rPr>
          <w:rFonts w:cs="Times New Roman"/>
          <w:noProof/>
        </w:rPr>
        <w:lastRenderedPageBreak/>
        <w:drawing>
          <wp:anchor distT="0" distB="0" distL="114300" distR="114300" simplePos="0" relativeHeight="251764736" behindDoc="0" locked="0" layoutInCell="1" allowOverlap="1" wp14:anchorId="6A886571" wp14:editId="1EF9A38A">
            <wp:simplePos x="0" y="0"/>
            <wp:positionH relativeFrom="margin">
              <wp:align>center</wp:align>
            </wp:positionH>
            <wp:positionV relativeFrom="paragraph">
              <wp:posOffset>0</wp:posOffset>
            </wp:positionV>
            <wp:extent cx="5582920" cy="8229600"/>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5582920" cy="8229600"/>
                    </a:xfrm>
                    <a:prstGeom prst="rect">
                      <a:avLst/>
                    </a:prstGeom>
                  </pic:spPr>
                </pic:pic>
              </a:graphicData>
            </a:graphic>
          </wp:anchor>
        </w:drawing>
      </w:r>
    </w:p>
    <w:p w14:paraId="0F7FD7BA" w14:textId="37182ED5" w:rsidR="00FF3658" w:rsidRPr="00901194" w:rsidRDefault="00260D5C" w:rsidP="00B337F9">
      <w:pPr>
        <w:rPr>
          <w:rFonts w:cs="Times New Roman"/>
        </w:rPr>
      </w:pPr>
      <w:r w:rsidRPr="00901194">
        <w:rPr>
          <w:rFonts w:cs="Times New Roman"/>
          <w:noProof/>
        </w:rPr>
        <w:lastRenderedPageBreak/>
        <w:drawing>
          <wp:anchor distT="0" distB="0" distL="114300" distR="114300" simplePos="0" relativeHeight="251765760" behindDoc="0" locked="0" layoutInCell="1" allowOverlap="1" wp14:anchorId="35C97E71" wp14:editId="4F096F0E">
            <wp:simplePos x="0" y="0"/>
            <wp:positionH relativeFrom="margin">
              <wp:align>center</wp:align>
            </wp:positionH>
            <wp:positionV relativeFrom="paragraph">
              <wp:posOffset>0</wp:posOffset>
            </wp:positionV>
            <wp:extent cx="5582920" cy="8229600"/>
            <wp:effectExtent l="0" t="0" r="0" b="0"/>
            <wp:wrapTopAndBottom/>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112">
                      <a:extLst>
                        <a:ext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5582920" cy="8229600"/>
                    </a:xfrm>
                    <a:prstGeom prst="rect">
                      <a:avLst/>
                    </a:prstGeom>
                  </pic:spPr>
                </pic:pic>
              </a:graphicData>
            </a:graphic>
          </wp:anchor>
        </w:drawing>
      </w:r>
    </w:p>
    <w:p w14:paraId="608296C8" w14:textId="07FFA278" w:rsidR="00FF3658" w:rsidRPr="00901194" w:rsidRDefault="00E0487C" w:rsidP="00B337F9">
      <w:pPr>
        <w:rPr>
          <w:rFonts w:cs="Times New Roman"/>
        </w:rPr>
      </w:pPr>
      <w:r w:rsidRPr="00901194">
        <w:rPr>
          <w:rFonts w:cs="Times New Roman"/>
          <w:noProof/>
        </w:rPr>
        <w:lastRenderedPageBreak/>
        <w:drawing>
          <wp:anchor distT="0" distB="0" distL="114300" distR="114300" simplePos="0" relativeHeight="251766784" behindDoc="0" locked="0" layoutInCell="1" allowOverlap="1" wp14:anchorId="75087CEE" wp14:editId="0129DBD4">
            <wp:simplePos x="0" y="0"/>
            <wp:positionH relativeFrom="margin">
              <wp:align>center</wp:align>
            </wp:positionH>
            <wp:positionV relativeFrom="paragraph">
              <wp:posOffset>0</wp:posOffset>
            </wp:positionV>
            <wp:extent cx="5582920" cy="8229600"/>
            <wp:effectExtent l="0" t="0" r="0" b="0"/>
            <wp:wrapTopAndBottom/>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pic:cNvPicPr/>
                  </pic:nvPicPr>
                  <pic:blipFill>
                    <a:blip r:embed="rId114">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5582920" cy="8229600"/>
                    </a:xfrm>
                    <a:prstGeom prst="rect">
                      <a:avLst/>
                    </a:prstGeom>
                  </pic:spPr>
                </pic:pic>
              </a:graphicData>
            </a:graphic>
          </wp:anchor>
        </w:drawing>
      </w:r>
    </w:p>
    <w:p w14:paraId="7CB686BC" w14:textId="449E5D0F" w:rsidR="00260D5C" w:rsidRPr="00901194" w:rsidRDefault="0077427C" w:rsidP="00B337F9">
      <w:pPr>
        <w:rPr>
          <w:rFonts w:cs="Times New Roman"/>
        </w:rPr>
      </w:pPr>
      <w:r w:rsidRPr="00901194">
        <w:rPr>
          <w:rFonts w:cs="Times New Roman"/>
          <w:noProof/>
        </w:rPr>
        <w:lastRenderedPageBreak/>
        <w:drawing>
          <wp:anchor distT="0" distB="0" distL="114300" distR="114300" simplePos="0" relativeHeight="251767808" behindDoc="0" locked="0" layoutInCell="1" allowOverlap="1" wp14:anchorId="0A64D40E" wp14:editId="4D6F841F">
            <wp:simplePos x="0" y="0"/>
            <wp:positionH relativeFrom="margin">
              <wp:align>center</wp:align>
            </wp:positionH>
            <wp:positionV relativeFrom="paragraph">
              <wp:posOffset>0</wp:posOffset>
            </wp:positionV>
            <wp:extent cx="5582920" cy="8229600"/>
            <wp:effectExtent l="0" t="0" r="0" b="0"/>
            <wp:wrapTopAndBottom/>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116">
                      <a:extLst>
                        <a:ext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0" y="0"/>
                      <a:ext cx="5582920" cy="8229600"/>
                    </a:xfrm>
                    <a:prstGeom prst="rect">
                      <a:avLst/>
                    </a:prstGeom>
                  </pic:spPr>
                </pic:pic>
              </a:graphicData>
            </a:graphic>
          </wp:anchor>
        </w:drawing>
      </w:r>
    </w:p>
    <w:p w14:paraId="3CA36932" w14:textId="40024F45" w:rsidR="00260D5C" w:rsidRPr="00901194" w:rsidRDefault="00D101FC" w:rsidP="00B337F9">
      <w:pPr>
        <w:rPr>
          <w:rFonts w:cs="Times New Roman"/>
        </w:rPr>
      </w:pPr>
      <w:r w:rsidRPr="00901194">
        <w:rPr>
          <w:rFonts w:cs="Times New Roman"/>
          <w:noProof/>
        </w:rPr>
        <w:lastRenderedPageBreak/>
        <w:drawing>
          <wp:anchor distT="0" distB="0" distL="114300" distR="114300" simplePos="0" relativeHeight="251768832" behindDoc="0" locked="0" layoutInCell="1" allowOverlap="1" wp14:anchorId="33A7CE08" wp14:editId="36772226">
            <wp:simplePos x="0" y="0"/>
            <wp:positionH relativeFrom="margin">
              <wp:align>left</wp:align>
            </wp:positionH>
            <wp:positionV relativeFrom="paragraph">
              <wp:posOffset>57</wp:posOffset>
            </wp:positionV>
            <wp:extent cx="5582920" cy="8229600"/>
            <wp:effectExtent l="0" t="0" r="0" b="0"/>
            <wp:wrapTopAndBottom/>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pic:cNvPicPr/>
                  </pic:nvPicPr>
                  <pic:blipFill>
                    <a:blip r:embed="rId118">
                      <a:extLst>
                        <a:ext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0" y="0"/>
                      <a:ext cx="5582920" cy="8229600"/>
                    </a:xfrm>
                    <a:prstGeom prst="rect">
                      <a:avLst/>
                    </a:prstGeom>
                  </pic:spPr>
                </pic:pic>
              </a:graphicData>
            </a:graphic>
          </wp:anchor>
        </w:drawing>
      </w:r>
    </w:p>
    <w:p w14:paraId="65172C2C" w14:textId="70F3FDFA" w:rsidR="00FF3658" w:rsidRPr="00901194" w:rsidRDefault="00982238" w:rsidP="00B337F9">
      <w:pPr>
        <w:rPr>
          <w:rFonts w:cs="Times New Roman"/>
        </w:rPr>
      </w:pPr>
      <w:r w:rsidRPr="00901194">
        <w:rPr>
          <w:rFonts w:cs="Times New Roman"/>
          <w:noProof/>
        </w:rPr>
        <w:lastRenderedPageBreak/>
        <w:drawing>
          <wp:anchor distT="0" distB="0" distL="114300" distR="114300" simplePos="0" relativeHeight="251769856" behindDoc="0" locked="0" layoutInCell="1" allowOverlap="1" wp14:anchorId="5B634619" wp14:editId="5DDAD3D1">
            <wp:simplePos x="0" y="0"/>
            <wp:positionH relativeFrom="margin">
              <wp:align>center</wp:align>
            </wp:positionH>
            <wp:positionV relativeFrom="paragraph">
              <wp:posOffset>0</wp:posOffset>
            </wp:positionV>
            <wp:extent cx="5582920" cy="8229600"/>
            <wp:effectExtent l="0" t="0" r="0" b="0"/>
            <wp:wrapTopAndBottom/>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pic:cNvPicPr/>
                  </pic:nvPicPr>
                  <pic:blipFill>
                    <a:blip r:embed="rId120">
                      <a:extLst>
                        <a:ext uri="{28A0092B-C50C-407E-A947-70E740481C1C}">
                          <a14:useLocalDpi xmlns:a14="http://schemas.microsoft.com/office/drawing/2010/main" val="0"/>
                        </a:ext>
                        <a:ext uri="{96DAC541-7B7A-43D3-8B79-37D633B846F1}">
                          <asvg:svgBlip xmlns:asvg="http://schemas.microsoft.com/office/drawing/2016/SVG/main" r:embed="rId121"/>
                        </a:ext>
                      </a:extLst>
                    </a:blip>
                    <a:stretch>
                      <a:fillRect/>
                    </a:stretch>
                  </pic:blipFill>
                  <pic:spPr>
                    <a:xfrm>
                      <a:off x="0" y="0"/>
                      <a:ext cx="5582920" cy="8229600"/>
                    </a:xfrm>
                    <a:prstGeom prst="rect">
                      <a:avLst/>
                    </a:prstGeom>
                  </pic:spPr>
                </pic:pic>
              </a:graphicData>
            </a:graphic>
          </wp:anchor>
        </w:drawing>
      </w:r>
    </w:p>
    <w:p w14:paraId="50BE2BA7" w14:textId="08942843" w:rsidR="00FF3658" w:rsidRPr="00901194" w:rsidRDefault="006C12A9" w:rsidP="00B337F9">
      <w:pPr>
        <w:rPr>
          <w:rFonts w:cs="Times New Roman"/>
        </w:rPr>
      </w:pPr>
      <w:r w:rsidRPr="00901194">
        <w:rPr>
          <w:rFonts w:cs="Times New Roman"/>
          <w:noProof/>
        </w:rPr>
        <w:lastRenderedPageBreak/>
        <w:drawing>
          <wp:anchor distT="0" distB="0" distL="114300" distR="114300" simplePos="0" relativeHeight="251770880" behindDoc="0" locked="0" layoutInCell="1" allowOverlap="1" wp14:anchorId="36D93B1A" wp14:editId="6B4B179A">
            <wp:simplePos x="0" y="0"/>
            <wp:positionH relativeFrom="margin">
              <wp:align>center</wp:align>
            </wp:positionH>
            <wp:positionV relativeFrom="paragraph">
              <wp:posOffset>0</wp:posOffset>
            </wp:positionV>
            <wp:extent cx="5582920" cy="8229600"/>
            <wp:effectExtent l="0" t="0" r="0" b="0"/>
            <wp:wrapTopAndBottom/>
            <wp:docPr id="35"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pic:cNvPicPr/>
                  </pic:nvPicPr>
                  <pic:blipFill>
                    <a:blip r:embed="rId122">
                      <a:extLst>
                        <a:ext uri="{28A0092B-C50C-407E-A947-70E740481C1C}">
                          <a14:useLocalDpi xmlns:a14="http://schemas.microsoft.com/office/drawing/2010/main" val="0"/>
                        </a:ext>
                        <a:ext uri="{96DAC541-7B7A-43D3-8B79-37D633B846F1}">
                          <asvg:svgBlip xmlns:asvg="http://schemas.microsoft.com/office/drawing/2016/SVG/main" r:embed="rId123"/>
                        </a:ext>
                      </a:extLst>
                    </a:blip>
                    <a:stretch>
                      <a:fillRect/>
                    </a:stretch>
                  </pic:blipFill>
                  <pic:spPr>
                    <a:xfrm>
                      <a:off x="0" y="0"/>
                      <a:ext cx="5582920" cy="8229600"/>
                    </a:xfrm>
                    <a:prstGeom prst="rect">
                      <a:avLst/>
                    </a:prstGeom>
                  </pic:spPr>
                </pic:pic>
              </a:graphicData>
            </a:graphic>
          </wp:anchor>
        </w:drawing>
      </w:r>
    </w:p>
    <w:p w14:paraId="7B7ECF6B" w14:textId="14D3EDF6" w:rsidR="00982238" w:rsidRPr="00901194" w:rsidRDefault="00B813C8" w:rsidP="00B337F9">
      <w:pPr>
        <w:rPr>
          <w:rFonts w:cs="Times New Roman"/>
        </w:rPr>
      </w:pPr>
      <w:r w:rsidRPr="00901194">
        <w:rPr>
          <w:rFonts w:cs="Times New Roman"/>
          <w:noProof/>
        </w:rPr>
        <w:lastRenderedPageBreak/>
        <w:drawing>
          <wp:anchor distT="0" distB="0" distL="114300" distR="114300" simplePos="0" relativeHeight="251771904" behindDoc="0" locked="0" layoutInCell="1" allowOverlap="1" wp14:anchorId="215CA101" wp14:editId="512612D7">
            <wp:simplePos x="0" y="0"/>
            <wp:positionH relativeFrom="margin">
              <wp:align>center</wp:align>
            </wp:positionH>
            <wp:positionV relativeFrom="paragraph">
              <wp:posOffset>0</wp:posOffset>
            </wp:positionV>
            <wp:extent cx="5582920" cy="8229600"/>
            <wp:effectExtent l="0" t="0" r="0" b="0"/>
            <wp:wrapTopAndBottom/>
            <wp:docPr id="36" name="Graphic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pic:cNvPicPr/>
                  </pic:nvPicPr>
                  <pic:blipFill>
                    <a:blip r:embed="rId124">
                      <a:extLst>
                        <a:ext uri="{28A0092B-C50C-407E-A947-70E740481C1C}">
                          <a14:useLocalDpi xmlns:a14="http://schemas.microsoft.com/office/drawing/2010/main" val="0"/>
                        </a:ext>
                        <a:ext uri="{96DAC541-7B7A-43D3-8B79-37D633B846F1}">
                          <asvg:svgBlip xmlns:asvg="http://schemas.microsoft.com/office/drawing/2016/SVG/main" r:embed="rId125"/>
                        </a:ext>
                      </a:extLst>
                    </a:blip>
                    <a:stretch>
                      <a:fillRect/>
                    </a:stretch>
                  </pic:blipFill>
                  <pic:spPr>
                    <a:xfrm>
                      <a:off x="0" y="0"/>
                      <a:ext cx="5582920" cy="8229600"/>
                    </a:xfrm>
                    <a:prstGeom prst="rect">
                      <a:avLst/>
                    </a:prstGeom>
                  </pic:spPr>
                </pic:pic>
              </a:graphicData>
            </a:graphic>
          </wp:anchor>
        </w:drawing>
      </w:r>
    </w:p>
    <w:p w14:paraId="469E0162" w14:textId="23C4729A" w:rsidR="00982238" w:rsidRPr="00901194" w:rsidRDefault="003A5BBD" w:rsidP="00B337F9">
      <w:pPr>
        <w:rPr>
          <w:rFonts w:cs="Times New Roman"/>
        </w:rPr>
      </w:pPr>
      <w:r w:rsidRPr="00901194">
        <w:rPr>
          <w:rFonts w:cs="Times New Roman"/>
          <w:noProof/>
        </w:rPr>
        <w:lastRenderedPageBreak/>
        <w:drawing>
          <wp:anchor distT="0" distB="0" distL="114300" distR="114300" simplePos="0" relativeHeight="251772928" behindDoc="0" locked="0" layoutInCell="1" allowOverlap="1" wp14:anchorId="426D36D1" wp14:editId="77608A65">
            <wp:simplePos x="0" y="0"/>
            <wp:positionH relativeFrom="margin">
              <wp:align>center</wp:align>
            </wp:positionH>
            <wp:positionV relativeFrom="paragraph">
              <wp:posOffset>0</wp:posOffset>
            </wp:positionV>
            <wp:extent cx="5582920" cy="8229600"/>
            <wp:effectExtent l="0" t="0" r="0" b="0"/>
            <wp:wrapTopAndBottom/>
            <wp:docPr id="71" name="Graphic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phic 71"/>
                    <pic:cNvPicPr/>
                  </pic:nvPicPr>
                  <pic:blipFill>
                    <a:blip r:embed="rId126">
                      <a:extLst>
                        <a:ext uri="{28A0092B-C50C-407E-A947-70E740481C1C}">
                          <a14:useLocalDpi xmlns:a14="http://schemas.microsoft.com/office/drawing/2010/main" val="0"/>
                        </a:ext>
                        <a:ext uri="{96DAC541-7B7A-43D3-8B79-37D633B846F1}">
                          <asvg:svgBlip xmlns:asvg="http://schemas.microsoft.com/office/drawing/2016/SVG/main" r:embed="rId127"/>
                        </a:ext>
                      </a:extLst>
                    </a:blip>
                    <a:stretch>
                      <a:fillRect/>
                    </a:stretch>
                  </pic:blipFill>
                  <pic:spPr>
                    <a:xfrm>
                      <a:off x="0" y="0"/>
                      <a:ext cx="5582920" cy="8229600"/>
                    </a:xfrm>
                    <a:prstGeom prst="rect">
                      <a:avLst/>
                    </a:prstGeom>
                  </pic:spPr>
                </pic:pic>
              </a:graphicData>
            </a:graphic>
          </wp:anchor>
        </w:drawing>
      </w:r>
    </w:p>
    <w:p w14:paraId="5FA28CDB" w14:textId="27D4AB03" w:rsidR="00982238" w:rsidRPr="00901194" w:rsidRDefault="003A5BBD" w:rsidP="00B337F9">
      <w:pPr>
        <w:rPr>
          <w:rFonts w:cs="Times New Roman"/>
        </w:rPr>
      </w:pPr>
      <w:r w:rsidRPr="00901194">
        <w:rPr>
          <w:rFonts w:cs="Times New Roman"/>
          <w:noProof/>
        </w:rPr>
        <w:lastRenderedPageBreak/>
        <w:drawing>
          <wp:anchor distT="0" distB="0" distL="114300" distR="114300" simplePos="0" relativeHeight="251773952" behindDoc="0" locked="0" layoutInCell="1" allowOverlap="1" wp14:anchorId="24B15DC5" wp14:editId="5B9FACFE">
            <wp:simplePos x="0" y="0"/>
            <wp:positionH relativeFrom="margin">
              <wp:align>center</wp:align>
            </wp:positionH>
            <wp:positionV relativeFrom="paragraph">
              <wp:posOffset>0</wp:posOffset>
            </wp:positionV>
            <wp:extent cx="5582920" cy="8229600"/>
            <wp:effectExtent l="0" t="0" r="0" b="0"/>
            <wp:wrapTopAndBottom/>
            <wp:docPr id="72" name="Graphic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phic 72"/>
                    <pic:cNvPicPr/>
                  </pic:nvPicPr>
                  <pic:blipFill>
                    <a:blip r:embed="rId128">
                      <a:extLst>
                        <a:ext uri="{28A0092B-C50C-407E-A947-70E740481C1C}">
                          <a14:useLocalDpi xmlns:a14="http://schemas.microsoft.com/office/drawing/2010/main" val="0"/>
                        </a:ext>
                        <a:ext uri="{96DAC541-7B7A-43D3-8B79-37D633B846F1}">
                          <asvg:svgBlip xmlns:asvg="http://schemas.microsoft.com/office/drawing/2016/SVG/main" r:embed="rId129"/>
                        </a:ext>
                      </a:extLst>
                    </a:blip>
                    <a:stretch>
                      <a:fillRect/>
                    </a:stretch>
                  </pic:blipFill>
                  <pic:spPr>
                    <a:xfrm>
                      <a:off x="0" y="0"/>
                      <a:ext cx="5582920" cy="8229600"/>
                    </a:xfrm>
                    <a:prstGeom prst="rect">
                      <a:avLst/>
                    </a:prstGeom>
                  </pic:spPr>
                </pic:pic>
              </a:graphicData>
            </a:graphic>
          </wp:anchor>
        </w:drawing>
      </w:r>
    </w:p>
    <w:p w14:paraId="4D5A1516" w14:textId="48747392" w:rsidR="003A5BBD" w:rsidRPr="00901194" w:rsidRDefault="00705A41" w:rsidP="00B337F9">
      <w:pPr>
        <w:rPr>
          <w:rFonts w:cs="Times New Roman"/>
        </w:rPr>
      </w:pPr>
      <w:r w:rsidRPr="00901194">
        <w:rPr>
          <w:rFonts w:cs="Times New Roman"/>
          <w:noProof/>
        </w:rPr>
        <w:lastRenderedPageBreak/>
        <w:drawing>
          <wp:anchor distT="0" distB="0" distL="114300" distR="114300" simplePos="0" relativeHeight="251774976" behindDoc="0" locked="0" layoutInCell="1" allowOverlap="1" wp14:anchorId="36828A32" wp14:editId="3C7C98E7">
            <wp:simplePos x="0" y="0"/>
            <wp:positionH relativeFrom="margin">
              <wp:align>center</wp:align>
            </wp:positionH>
            <wp:positionV relativeFrom="paragraph">
              <wp:posOffset>0</wp:posOffset>
            </wp:positionV>
            <wp:extent cx="5582920" cy="8229600"/>
            <wp:effectExtent l="0" t="0" r="0" b="0"/>
            <wp:wrapTopAndBottom/>
            <wp:docPr id="73" name="Graphic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raphic 73"/>
                    <pic:cNvPicPr/>
                  </pic:nvPicPr>
                  <pic:blipFill>
                    <a:blip r:embed="rId130">
                      <a:extLst>
                        <a:ext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0" y="0"/>
                      <a:ext cx="5582920" cy="8229600"/>
                    </a:xfrm>
                    <a:prstGeom prst="rect">
                      <a:avLst/>
                    </a:prstGeom>
                  </pic:spPr>
                </pic:pic>
              </a:graphicData>
            </a:graphic>
          </wp:anchor>
        </w:drawing>
      </w:r>
    </w:p>
    <w:p w14:paraId="3FB4F4AD" w14:textId="7B64A737" w:rsidR="003A5BBD" w:rsidRPr="00901194" w:rsidRDefault="000000CA" w:rsidP="00B337F9">
      <w:pPr>
        <w:rPr>
          <w:rFonts w:cs="Times New Roman"/>
        </w:rPr>
      </w:pPr>
      <w:r w:rsidRPr="00901194">
        <w:rPr>
          <w:rFonts w:cs="Times New Roman"/>
          <w:noProof/>
        </w:rPr>
        <w:lastRenderedPageBreak/>
        <w:drawing>
          <wp:anchor distT="0" distB="0" distL="114300" distR="114300" simplePos="0" relativeHeight="251776000" behindDoc="0" locked="0" layoutInCell="1" allowOverlap="1" wp14:anchorId="5F6FE450" wp14:editId="7436EF04">
            <wp:simplePos x="0" y="0"/>
            <wp:positionH relativeFrom="margin">
              <wp:align>center</wp:align>
            </wp:positionH>
            <wp:positionV relativeFrom="paragraph">
              <wp:posOffset>0</wp:posOffset>
            </wp:positionV>
            <wp:extent cx="5582920" cy="8229600"/>
            <wp:effectExtent l="0" t="0" r="0" b="0"/>
            <wp:wrapTopAndBottom/>
            <wp:docPr id="74" name="Graphic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pic:cNvPicPr/>
                  </pic:nvPicPr>
                  <pic:blipFill>
                    <a:blip r:embed="rId132">
                      <a:extLst>
                        <a:ext uri="{28A0092B-C50C-407E-A947-70E740481C1C}">
                          <a14:useLocalDpi xmlns:a14="http://schemas.microsoft.com/office/drawing/2010/main" val="0"/>
                        </a:ext>
                        <a:ext uri="{96DAC541-7B7A-43D3-8B79-37D633B846F1}">
                          <asvg:svgBlip xmlns:asvg="http://schemas.microsoft.com/office/drawing/2016/SVG/main" r:embed="rId133"/>
                        </a:ext>
                      </a:extLst>
                    </a:blip>
                    <a:stretch>
                      <a:fillRect/>
                    </a:stretch>
                  </pic:blipFill>
                  <pic:spPr>
                    <a:xfrm>
                      <a:off x="0" y="0"/>
                      <a:ext cx="5582920" cy="8229600"/>
                    </a:xfrm>
                    <a:prstGeom prst="rect">
                      <a:avLst/>
                    </a:prstGeom>
                  </pic:spPr>
                </pic:pic>
              </a:graphicData>
            </a:graphic>
          </wp:anchor>
        </w:drawing>
      </w:r>
    </w:p>
    <w:p w14:paraId="652BB8D6" w14:textId="0298CA55" w:rsidR="003A5BBD" w:rsidRPr="00901194" w:rsidRDefault="00D91ADB" w:rsidP="00B337F9">
      <w:pPr>
        <w:rPr>
          <w:rFonts w:cs="Times New Roman"/>
        </w:rPr>
      </w:pPr>
      <w:r w:rsidRPr="00901194">
        <w:rPr>
          <w:rFonts w:cs="Times New Roman"/>
          <w:noProof/>
        </w:rPr>
        <w:lastRenderedPageBreak/>
        <w:drawing>
          <wp:anchor distT="0" distB="0" distL="114300" distR="114300" simplePos="0" relativeHeight="251777024" behindDoc="0" locked="0" layoutInCell="1" allowOverlap="1" wp14:anchorId="3A96E144" wp14:editId="3C43724B">
            <wp:simplePos x="0" y="0"/>
            <wp:positionH relativeFrom="margin">
              <wp:align>center</wp:align>
            </wp:positionH>
            <wp:positionV relativeFrom="paragraph">
              <wp:posOffset>0</wp:posOffset>
            </wp:positionV>
            <wp:extent cx="5582920" cy="8229600"/>
            <wp:effectExtent l="0" t="0" r="0" b="0"/>
            <wp:wrapTopAndBottom/>
            <wp:docPr id="75" name="Graphic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phic 75"/>
                    <pic:cNvPicPr/>
                  </pic:nvPicPr>
                  <pic:blipFill>
                    <a:blip r:embed="rId134">
                      <a:extLst>
                        <a:ext uri="{28A0092B-C50C-407E-A947-70E740481C1C}">
                          <a14:useLocalDpi xmlns:a14="http://schemas.microsoft.com/office/drawing/2010/main" val="0"/>
                        </a:ext>
                        <a:ext uri="{96DAC541-7B7A-43D3-8B79-37D633B846F1}">
                          <asvg:svgBlip xmlns:asvg="http://schemas.microsoft.com/office/drawing/2016/SVG/main" r:embed="rId135"/>
                        </a:ext>
                      </a:extLst>
                    </a:blip>
                    <a:stretch>
                      <a:fillRect/>
                    </a:stretch>
                  </pic:blipFill>
                  <pic:spPr>
                    <a:xfrm>
                      <a:off x="0" y="0"/>
                      <a:ext cx="5582920" cy="8229600"/>
                    </a:xfrm>
                    <a:prstGeom prst="rect">
                      <a:avLst/>
                    </a:prstGeom>
                  </pic:spPr>
                </pic:pic>
              </a:graphicData>
            </a:graphic>
          </wp:anchor>
        </w:drawing>
      </w:r>
    </w:p>
    <w:p w14:paraId="3EB17569" w14:textId="671779B7" w:rsidR="00FF3658" w:rsidRPr="00901194" w:rsidRDefault="00A5053F" w:rsidP="00B337F9">
      <w:pPr>
        <w:rPr>
          <w:rFonts w:cs="Times New Roman"/>
        </w:rPr>
      </w:pPr>
      <w:r w:rsidRPr="00901194">
        <w:rPr>
          <w:rFonts w:cs="Times New Roman"/>
          <w:noProof/>
        </w:rPr>
        <w:lastRenderedPageBreak/>
        <w:drawing>
          <wp:anchor distT="0" distB="0" distL="114300" distR="114300" simplePos="0" relativeHeight="251778048" behindDoc="0" locked="0" layoutInCell="1" allowOverlap="1" wp14:anchorId="0AA53E3F" wp14:editId="480C4BC9">
            <wp:simplePos x="0" y="0"/>
            <wp:positionH relativeFrom="margin">
              <wp:align>center</wp:align>
            </wp:positionH>
            <wp:positionV relativeFrom="paragraph">
              <wp:posOffset>0</wp:posOffset>
            </wp:positionV>
            <wp:extent cx="5582920" cy="8229600"/>
            <wp:effectExtent l="0" t="0" r="0" b="0"/>
            <wp:wrapTopAndBottom/>
            <wp:docPr id="76" name="Graphic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raphic 76"/>
                    <pic:cNvPicPr/>
                  </pic:nvPicPr>
                  <pic:blipFill>
                    <a:blip r:embed="rId136">
                      <a:extLst>
                        <a:ext uri="{28A0092B-C50C-407E-A947-70E740481C1C}">
                          <a14:useLocalDpi xmlns:a14="http://schemas.microsoft.com/office/drawing/2010/main" val="0"/>
                        </a:ext>
                        <a:ext uri="{96DAC541-7B7A-43D3-8B79-37D633B846F1}">
                          <asvg:svgBlip xmlns:asvg="http://schemas.microsoft.com/office/drawing/2016/SVG/main" r:embed="rId137"/>
                        </a:ext>
                      </a:extLst>
                    </a:blip>
                    <a:stretch>
                      <a:fillRect/>
                    </a:stretch>
                  </pic:blipFill>
                  <pic:spPr>
                    <a:xfrm>
                      <a:off x="0" y="0"/>
                      <a:ext cx="5582920" cy="8229600"/>
                    </a:xfrm>
                    <a:prstGeom prst="rect">
                      <a:avLst/>
                    </a:prstGeom>
                  </pic:spPr>
                </pic:pic>
              </a:graphicData>
            </a:graphic>
          </wp:anchor>
        </w:drawing>
      </w:r>
    </w:p>
    <w:p w14:paraId="74874AEF" w14:textId="45901C71" w:rsidR="00FF3658" w:rsidRPr="00901194" w:rsidRDefault="009C1BCD" w:rsidP="00B337F9">
      <w:pPr>
        <w:rPr>
          <w:rFonts w:cs="Times New Roman"/>
        </w:rPr>
      </w:pPr>
      <w:r w:rsidRPr="00901194">
        <w:rPr>
          <w:rFonts w:cs="Times New Roman"/>
          <w:noProof/>
        </w:rPr>
        <w:lastRenderedPageBreak/>
        <w:drawing>
          <wp:anchor distT="0" distB="0" distL="114300" distR="114300" simplePos="0" relativeHeight="251779072" behindDoc="0" locked="0" layoutInCell="1" allowOverlap="1" wp14:anchorId="449FFE42" wp14:editId="71498E3A">
            <wp:simplePos x="0" y="0"/>
            <wp:positionH relativeFrom="margin">
              <wp:align>right</wp:align>
            </wp:positionH>
            <wp:positionV relativeFrom="paragraph">
              <wp:posOffset>0</wp:posOffset>
            </wp:positionV>
            <wp:extent cx="5943600" cy="4210050"/>
            <wp:effectExtent l="0" t="0" r="0" b="0"/>
            <wp:wrapTopAndBottom/>
            <wp:docPr id="77" name="Graphic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phic 77"/>
                    <pic:cNvPicPr/>
                  </pic:nvPicPr>
                  <pic:blipFill>
                    <a:blip r:embed="rId138">
                      <a:extLst>
                        <a:ext uri="{28A0092B-C50C-407E-A947-70E740481C1C}">
                          <a14:useLocalDpi xmlns:a14="http://schemas.microsoft.com/office/drawing/2010/main" val="0"/>
                        </a:ext>
                        <a:ext uri="{96DAC541-7B7A-43D3-8B79-37D633B846F1}">
                          <asvg:svgBlip xmlns:asvg="http://schemas.microsoft.com/office/drawing/2016/SVG/main" r:embed="rId139"/>
                        </a:ext>
                      </a:extLst>
                    </a:blip>
                    <a:stretch>
                      <a:fillRect/>
                    </a:stretch>
                  </pic:blipFill>
                  <pic:spPr>
                    <a:xfrm>
                      <a:off x="0" y="0"/>
                      <a:ext cx="5943600" cy="4210050"/>
                    </a:xfrm>
                    <a:prstGeom prst="rect">
                      <a:avLst/>
                    </a:prstGeom>
                  </pic:spPr>
                </pic:pic>
              </a:graphicData>
            </a:graphic>
          </wp:anchor>
        </w:drawing>
      </w:r>
    </w:p>
    <w:p w14:paraId="6B8938A4" w14:textId="75C97AFB" w:rsidR="00906A10" w:rsidRPr="00901194" w:rsidRDefault="009C1BCD" w:rsidP="00906A10">
      <w:pPr>
        <w:pStyle w:val="CaptionJH"/>
        <w:spacing w:line="240" w:lineRule="auto"/>
        <w:rPr>
          <w:b/>
          <w:bCs w:val="0"/>
        </w:rPr>
      </w:pPr>
      <w:bookmarkStart w:id="111" w:name="_Toc131186566"/>
      <w:r w:rsidRPr="00901194">
        <w:rPr>
          <w:b/>
          <w:bCs w:val="0"/>
        </w:rPr>
        <w:t>F</w:t>
      </w:r>
      <w:r w:rsidR="00906A10" w:rsidRPr="00901194">
        <w:rPr>
          <w:b/>
          <w:bCs w:val="0"/>
        </w:rPr>
        <w:t>igure S2.3: Mirror plots of shared human fecal metabolites.</w:t>
      </w:r>
      <w:bookmarkEnd w:id="111"/>
    </w:p>
    <w:p w14:paraId="52E15AAD" w14:textId="1FDD3D7A" w:rsidR="00D06C5E" w:rsidRPr="00901194" w:rsidRDefault="00D06C5E" w:rsidP="007C445A">
      <w:pPr>
        <w:spacing w:line="240" w:lineRule="auto"/>
        <w:rPr>
          <w:rFonts w:cs="Times New Roman"/>
          <w:i/>
          <w:iCs/>
        </w:rPr>
      </w:pPr>
      <w:r w:rsidRPr="00901194">
        <w:rPr>
          <w:rFonts w:cs="Times New Roman"/>
          <w:i/>
          <w:iCs/>
        </w:rPr>
        <w:t xml:space="preserve">Top black spectra represent experimental MS2 for the respective metabolite, while bottom green spectra represent library reference MS2 spectra. </w:t>
      </w:r>
      <w:r w:rsidRPr="00901194">
        <w:rPr>
          <w:rFonts w:cs="Times New Roman"/>
          <w:b/>
          <w:bCs/>
          <w:i/>
          <w:iCs/>
        </w:rPr>
        <w:t>a</w:t>
      </w:r>
      <w:r w:rsidRPr="00901194">
        <w:rPr>
          <w:rFonts w:cs="Times New Roman"/>
          <w:i/>
          <w:iCs/>
        </w:rPr>
        <w:t xml:space="preserve">, Hypoxanthine; </w:t>
      </w:r>
      <w:r w:rsidRPr="00901194">
        <w:rPr>
          <w:rFonts w:cs="Times New Roman"/>
          <w:b/>
          <w:bCs/>
          <w:i/>
          <w:iCs/>
        </w:rPr>
        <w:t>b</w:t>
      </w:r>
      <w:r w:rsidRPr="00901194">
        <w:rPr>
          <w:rFonts w:cs="Times New Roman"/>
          <w:i/>
          <w:iCs/>
        </w:rPr>
        <w:t xml:space="preserve">, Nicotinamide N-oxide; </w:t>
      </w:r>
      <w:r w:rsidRPr="00901194">
        <w:rPr>
          <w:rFonts w:cs="Times New Roman"/>
          <w:b/>
          <w:bCs/>
          <w:i/>
          <w:iCs/>
        </w:rPr>
        <w:t>c</w:t>
      </w:r>
      <w:r w:rsidRPr="00901194">
        <w:rPr>
          <w:rFonts w:cs="Times New Roman"/>
          <w:i/>
          <w:iCs/>
        </w:rPr>
        <w:t xml:space="preserve">, 3-methyl-2-oxindole (3-Methyloxindole); </w:t>
      </w:r>
      <w:r w:rsidRPr="00901194">
        <w:rPr>
          <w:rFonts w:cs="Times New Roman"/>
          <w:b/>
          <w:bCs/>
          <w:i/>
          <w:iCs/>
        </w:rPr>
        <w:t>d</w:t>
      </w:r>
      <w:r w:rsidRPr="00901194">
        <w:rPr>
          <w:rFonts w:cs="Times New Roman"/>
          <w:i/>
          <w:iCs/>
        </w:rPr>
        <w:t xml:space="preserve">, Hyocholic acid; </w:t>
      </w:r>
      <w:r w:rsidRPr="00901194">
        <w:rPr>
          <w:rFonts w:cs="Times New Roman"/>
          <w:b/>
          <w:bCs/>
          <w:i/>
          <w:iCs/>
        </w:rPr>
        <w:t>e</w:t>
      </w:r>
      <w:r w:rsidRPr="00901194">
        <w:rPr>
          <w:rFonts w:cs="Times New Roman"/>
          <w:i/>
          <w:iCs/>
        </w:rPr>
        <w:t xml:space="preserve">, Gly-Val (Glycylvaline); </w:t>
      </w:r>
      <w:r w:rsidRPr="00901194">
        <w:rPr>
          <w:rFonts w:cs="Times New Roman"/>
          <w:b/>
          <w:bCs/>
          <w:i/>
          <w:iCs/>
        </w:rPr>
        <w:t>f</w:t>
      </w:r>
      <w:r w:rsidRPr="00901194">
        <w:rPr>
          <w:rFonts w:cs="Times New Roman"/>
          <w:i/>
          <w:iCs/>
        </w:rPr>
        <w:t xml:space="preserve">, 3-Hydroxy-4-methoxycinnamic acid (Isoferulic acid); </w:t>
      </w:r>
      <w:r w:rsidRPr="00901194">
        <w:rPr>
          <w:rFonts w:cs="Times New Roman"/>
          <w:b/>
          <w:bCs/>
          <w:i/>
          <w:iCs/>
        </w:rPr>
        <w:t>g</w:t>
      </w:r>
      <w:r w:rsidRPr="00901194">
        <w:rPr>
          <w:rFonts w:cs="Times New Roman"/>
          <w:i/>
          <w:iCs/>
        </w:rPr>
        <w:t xml:space="preserve">, Paraxanthine; </w:t>
      </w:r>
      <w:r w:rsidRPr="00901194">
        <w:rPr>
          <w:rFonts w:cs="Times New Roman"/>
          <w:b/>
          <w:bCs/>
          <w:i/>
          <w:iCs/>
        </w:rPr>
        <w:t>h</w:t>
      </w:r>
      <w:r w:rsidRPr="00901194">
        <w:rPr>
          <w:rFonts w:cs="Times New Roman"/>
          <w:i/>
          <w:iCs/>
        </w:rPr>
        <w:t xml:space="preserve">, Phe-Pro (Phenylalanylproline); </w:t>
      </w:r>
      <w:r w:rsidRPr="00901194">
        <w:rPr>
          <w:rFonts w:cs="Times New Roman"/>
          <w:b/>
          <w:bCs/>
          <w:i/>
          <w:iCs/>
        </w:rPr>
        <w:t>i</w:t>
      </w:r>
      <w:r w:rsidRPr="00901194">
        <w:rPr>
          <w:rFonts w:cs="Times New Roman"/>
          <w:i/>
          <w:iCs/>
        </w:rPr>
        <w:t xml:space="preserve">, trans-Ferulic acid; </w:t>
      </w:r>
      <w:r w:rsidRPr="00901194">
        <w:rPr>
          <w:rFonts w:cs="Times New Roman"/>
          <w:b/>
          <w:bCs/>
          <w:i/>
          <w:iCs/>
        </w:rPr>
        <w:t>j</w:t>
      </w:r>
      <w:r w:rsidRPr="00901194">
        <w:rPr>
          <w:rFonts w:cs="Times New Roman"/>
          <w:i/>
          <w:iCs/>
        </w:rPr>
        <w:t xml:space="preserve">, Loliolide; </w:t>
      </w:r>
      <w:r w:rsidRPr="00901194">
        <w:rPr>
          <w:rFonts w:cs="Times New Roman"/>
          <w:b/>
          <w:bCs/>
          <w:i/>
          <w:iCs/>
        </w:rPr>
        <w:t>k</w:t>
      </w:r>
      <w:r w:rsidRPr="00901194">
        <w:rPr>
          <w:rFonts w:cs="Times New Roman"/>
          <w:i/>
          <w:iCs/>
        </w:rPr>
        <w:t xml:space="preserve">, N-Acetyl-D-mannosamine; </w:t>
      </w:r>
      <w:r w:rsidRPr="00901194">
        <w:rPr>
          <w:rFonts w:cs="Times New Roman"/>
          <w:b/>
          <w:bCs/>
          <w:i/>
          <w:iCs/>
        </w:rPr>
        <w:t>l</w:t>
      </w:r>
      <w:r w:rsidRPr="00901194">
        <w:rPr>
          <w:rFonts w:cs="Times New Roman"/>
          <w:i/>
          <w:iCs/>
        </w:rPr>
        <w:t xml:space="preserve">, N-acetyl-L-Phenylalanine; </w:t>
      </w:r>
      <w:r w:rsidRPr="00901194">
        <w:rPr>
          <w:rFonts w:cs="Times New Roman"/>
          <w:b/>
          <w:bCs/>
          <w:i/>
          <w:iCs/>
        </w:rPr>
        <w:t>m</w:t>
      </w:r>
      <w:r w:rsidRPr="00901194">
        <w:rPr>
          <w:rFonts w:cs="Times New Roman"/>
          <w:i/>
          <w:iCs/>
        </w:rPr>
        <w:t xml:space="preserve">, Thr-Pro (Threonylproline); </w:t>
      </w:r>
      <w:r w:rsidRPr="00901194">
        <w:rPr>
          <w:rFonts w:cs="Times New Roman"/>
          <w:b/>
          <w:bCs/>
          <w:i/>
          <w:iCs/>
        </w:rPr>
        <w:t>n</w:t>
      </w:r>
      <w:r w:rsidRPr="00901194">
        <w:rPr>
          <w:rFonts w:cs="Times New Roman"/>
          <w:i/>
          <w:iCs/>
        </w:rPr>
        <w:t xml:space="preserve">, Val-Val (Valylvaline); </w:t>
      </w:r>
      <w:r w:rsidRPr="00901194">
        <w:rPr>
          <w:rFonts w:cs="Times New Roman"/>
          <w:b/>
          <w:bCs/>
          <w:i/>
          <w:iCs/>
        </w:rPr>
        <w:t>o</w:t>
      </w:r>
      <w:r w:rsidRPr="00901194">
        <w:rPr>
          <w:rFonts w:cs="Times New Roman"/>
          <w:i/>
          <w:iCs/>
        </w:rPr>
        <w:t xml:space="preserve">, Abrine; </w:t>
      </w:r>
      <w:r w:rsidRPr="00901194">
        <w:rPr>
          <w:rFonts w:cs="Times New Roman"/>
          <w:b/>
          <w:bCs/>
          <w:i/>
          <w:iCs/>
        </w:rPr>
        <w:t>p</w:t>
      </w:r>
      <w:r w:rsidRPr="00901194">
        <w:rPr>
          <w:rFonts w:cs="Times New Roman"/>
          <w:i/>
          <w:iCs/>
        </w:rPr>
        <w:t xml:space="preserve">, Pantothenic acid; </w:t>
      </w:r>
      <w:r w:rsidRPr="00901194">
        <w:rPr>
          <w:rFonts w:cs="Times New Roman"/>
          <w:b/>
          <w:bCs/>
          <w:i/>
          <w:iCs/>
        </w:rPr>
        <w:t>q</w:t>
      </w:r>
      <w:r w:rsidRPr="00901194">
        <w:rPr>
          <w:rFonts w:cs="Times New Roman"/>
          <w:i/>
          <w:iCs/>
        </w:rPr>
        <w:t xml:space="preserve">, PyroGlu-Pro (Pyroglutamylproline); </w:t>
      </w:r>
      <w:r w:rsidRPr="00901194">
        <w:rPr>
          <w:rFonts w:cs="Times New Roman"/>
          <w:b/>
          <w:bCs/>
          <w:i/>
          <w:iCs/>
        </w:rPr>
        <w:t>r</w:t>
      </w:r>
      <w:r w:rsidRPr="00901194">
        <w:rPr>
          <w:rFonts w:cs="Times New Roman"/>
          <w:i/>
          <w:iCs/>
        </w:rPr>
        <w:t xml:space="preserve">, Ile-Pro (Isoleucylproline); </w:t>
      </w:r>
      <w:r w:rsidRPr="00901194">
        <w:rPr>
          <w:rFonts w:cs="Times New Roman"/>
          <w:b/>
          <w:bCs/>
          <w:i/>
          <w:iCs/>
        </w:rPr>
        <w:t>s</w:t>
      </w:r>
      <w:r w:rsidRPr="00901194">
        <w:rPr>
          <w:rFonts w:cs="Times New Roman"/>
          <w:i/>
          <w:iCs/>
        </w:rPr>
        <w:t xml:space="preserve">, Val-Ile (Valylisoleucine); </w:t>
      </w:r>
      <w:r w:rsidRPr="00901194">
        <w:rPr>
          <w:rFonts w:cs="Times New Roman"/>
          <w:b/>
          <w:bCs/>
          <w:i/>
          <w:iCs/>
        </w:rPr>
        <w:t>t</w:t>
      </w:r>
      <w:r w:rsidRPr="00901194">
        <w:rPr>
          <w:rFonts w:cs="Times New Roman"/>
          <w:i/>
          <w:iCs/>
        </w:rPr>
        <w:t xml:space="preserve">, cis-9-Hexadecenoic acid (Palmitoleic acid); </w:t>
      </w:r>
      <w:r w:rsidRPr="00901194">
        <w:rPr>
          <w:rFonts w:cs="Times New Roman"/>
          <w:b/>
          <w:bCs/>
          <w:i/>
          <w:iCs/>
        </w:rPr>
        <w:t>u</w:t>
      </w:r>
      <w:r w:rsidRPr="00901194">
        <w:rPr>
          <w:rFonts w:cs="Times New Roman"/>
          <w:i/>
          <w:iCs/>
        </w:rPr>
        <w:t xml:space="preserve">, Palmitelaidic acid; </w:t>
      </w:r>
      <w:r w:rsidRPr="00901194">
        <w:rPr>
          <w:rFonts w:cs="Times New Roman"/>
          <w:b/>
          <w:bCs/>
          <w:i/>
          <w:iCs/>
        </w:rPr>
        <w:t>v</w:t>
      </w:r>
      <w:r w:rsidRPr="00901194">
        <w:rPr>
          <w:rFonts w:cs="Times New Roman"/>
          <w:i/>
          <w:iCs/>
        </w:rPr>
        <w:t xml:space="preserve">, Gly-Tyr (Glycyltyrosine); </w:t>
      </w:r>
      <w:r w:rsidRPr="00901194">
        <w:rPr>
          <w:rFonts w:cs="Times New Roman"/>
          <w:b/>
          <w:bCs/>
          <w:i/>
          <w:iCs/>
        </w:rPr>
        <w:t>w</w:t>
      </w:r>
      <w:r w:rsidRPr="00901194">
        <w:rPr>
          <w:rFonts w:cs="Times New Roman"/>
          <w:i/>
          <w:iCs/>
        </w:rPr>
        <w:t xml:space="preserve">, Biotin; </w:t>
      </w:r>
      <w:r w:rsidRPr="00901194">
        <w:rPr>
          <w:rFonts w:cs="Times New Roman"/>
          <w:b/>
          <w:bCs/>
          <w:i/>
          <w:iCs/>
        </w:rPr>
        <w:t>x</w:t>
      </w:r>
      <w:r w:rsidRPr="00901194">
        <w:rPr>
          <w:rFonts w:cs="Times New Roman"/>
          <w:i/>
          <w:iCs/>
        </w:rPr>
        <w:t xml:space="preserve">, Leu-Leu (Leucylleucine); </w:t>
      </w:r>
      <w:r w:rsidRPr="00901194">
        <w:rPr>
          <w:rFonts w:cs="Times New Roman"/>
          <w:b/>
          <w:bCs/>
          <w:i/>
          <w:iCs/>
        </w:rPr>
        <w:t>y</w:t>
      </w:r>
      <w:r w:rsidRPr="00901194">
        <w:rPr>
          <w:rFonts w:cs="Times New Roman"/>
          <w:i/>
          <w:iCs/>
        </w:rPr>
        <w:t xml:space="preserve">, Lenticin; </w:t>
      </w:r>
      <w:r w:rsidRPr="00901194">
        <w:rPr>
          <w:rFonts w:cs="Times New Roman"/>
          <w:b/>
          <w:bCs/>
          <w:i/>
          <w:iCs/>
        </w:rPr>
        <w:t>z</w:t>
      </w:r>
      <w:r w:rsidRPr="00901194">
        <w:rPr>
          <w:rFonts w:cs="Times New Roman"/>
          <w:i/>
          <w:iCs/>
        </w:rPr>
        <w:t xml:space="preserve">, Val-Met (Valylmethionine); </w:t>
      </w:r>
      <w:r w:rsidRPr="00901194">
        <w:rPr>
          <w:rFonts w:cs="Times New Roman"/>
          <w:b/>
          <w:bCs/>
          <w:i/>
          <w:iCs/>
        </w:rPr>
        <w:t>aa</w:t>
      </w:r>
      <w:r w:rsidRPr="00901194">
        <w:rPr>
          <w:rFonts w:cs="Times New Roman"/>
          <w:i/>
          <w:iCs/>
        </w:rPr>
        <w:t xml:space="preserve">, Ser-Phe (Serylphenylalanine); </w:t>
      </w:r>
      <w:r w:rsidRPr="00901194">
        <w:rPr>
          <w:rFonts w:cs="Times New Roman"/>
          <w:b/>
          <w:bCs/>
          <w:i/>
          <w:iCs/>
        </w:rPr>
        <w:t>ab</w:t>
      </w:r>
      <w:r w:rsidRPr="00901194">
        <w:rPr>
          <w:rFonts w:cs="Times New Roman"/>
          <w:i/>
          <w:iCs/>
        </w:rPr>
        <w:t xml:space="preserve">, L-Saccharopine; </w:t>
      </w:r>
      <w:r w:rsidRPr="00901194">
        <w:rPr>
          <w:rFonts w:cs="Times New Roman"/>
          <w:b/>
          <w:bCs/>
          <w:i/>
          <w:iCs/>
        </w:rPr>
        <w:t>ac</w:t>
      </w:r>
      <w:r w:rsidRPr="00901194">
        <w:rPr>
          <w:rFonts w:cs="Times New Roman"/>
          <w:i/>
          <w:iCs/>
        </w:rPr>
        <w:t xml:space="preserve">, Conjugated linoleic Acid (10E,12Z); </w:t>
      </w:r>
      <w:r w:rsidRPr="00901194">
        <w:rPr>
          <w:rFonts w:cs="Times New Roman"/>
          <w:b/>
          <w:bCs/>
          <w:i/>
          <w:iCs/>
        </w:rPr>
        <w:t>ad</w:t>
      </w:r>
      <w:r w:rsidRPr="00901194">
        <w:rPr>
          <w:rFonts w:cs="Times New Roman"/>
          <w:i/>
          <w:iCs/>
        </w:rPr>
        <w:t xml:space="preserve">, Conjugated linoleic acid (9E,11E); </w:t>
      </w:r>
      <w:r w:rsidRPr="00901194">
        <w:rPr>
          <w:rFonts w:cs="Times New Roman"/>
          <w:b/>
          <w:bCs/>
          <w:i/>
          <w:iCs/>
        </w:rPr>
        <w:t>ae</w:t>
      </w:r>
      <w:r w:rsidRPr="00901194">
        <w:rPr>
          <w:rFonts w:cs="Times New Roman"/>
          <w:i/>
          <w:iCs/>
        </w:rPr>
        <w:t xml:space="preserve">, Thr-Phe (Threonylphenylalanine); </w:t>
      </w:r>
      <w:r w:rsidRPr="00901194">
        <w:rPr>
          <w:rFonts w:cs="Times New Roman"/>
          <w:b/>
          <w:bCs/>
          <w:i/>
          <w:iCs/>
        </w:rPr>
        <w:t>af</w:t>
      </w:r>
      <w:r w:rsidRPr="00901194">
        <w:rPr>
          <w:rFonts w:cs="Times New Roman"/>
          <w:i/>
          <w:iCs/>
        </w:rPr>
        <w:t xml:space="preserve">, Pro-Arg (Prolylarginine); </w:t>
      </w:r>
      <w:r w:rsidRPr="00901194">
        <w:rPr>
          <w:rFonts w:cs="Times New Roman"/>
          <w:b/>
          <w:bCs/>
          <w:i/>
          <w:iCs/>
        </w:rPr>
        <w:t>ag</w:t>
      </w:r>
      <w:r w:rsidRPr="00901194">
        <w:rPr>
          <w:rFonts w:cs="Times New Roman"/>
          <w:i/>
          <w:iCs/>
        </w:rPr>
        <w:t xml:space="preserve">, 9-OxoOTrE; </w:t>
      </w:r>
      <w:r w:rsidRPr="00901194">
        <w:rPr>
          <w:rFonts w:cs="Times New Roman"/>
          <w:b/>
          <w:bCs/>
          <w:i/>
          <w:iCs/>
        </w:rPr>
        <w:t>ah</w:t>
      </w:r>
      <w:r w:rsidRPr="00901194">
        <w:rPr>
          <w:rFonts w:cs="Times New Roman"/>
          <w:i/>
          <w:iCs/>
        </w:rPr>
        <w:t xml:space="preserve">, Phe-Leu (Phenylalanylleucine); </w:t>
      </w:r>
      <w:r w:rsidRPr="00901194">
        <w:rPr>
          <w:rFonts w:cs="Times New Roman"/>
          <w:b/>
          <w:bCs/>
          <w:i/>
          <w:iCs/>
        </w:rPr>
        <w:t>ai</w:t>
      </w:r>
      <w:r w:rsidRPr="00901194">
        <w:rPr>
          <w:rFonts w:cs="Times New Roman"/>
          <w:i/>
          <w:iCs/>
        </w:rPr>
        <w:t xml:space="preserve">, Leu-Phe (Leucylphenylalanine); </w:t>
      </w:r>
      <w:r w:rsidRPr="00901194">
        <w:rPr>
          <w:rFonts w:cs="Times New Roman"/>
          <w:b/>
          <w:bCs/>
          <w:i/>
          <w:iCs/>
        </w:rPr>
        <w:t>aj</w:t>
      </w:r>
      <w:r w:rsidRPr="00901194">
        <w:rPr>
          <w:rFonts w:cs="Times New Roman"/>
          <w:i/>
          <w:iCs/>
        </w:rPr>
        <w:t xml:space="preserve">, Xanthosine; </w:t>
      </w:r>
      <w:r w:rsidRPr="00901194">
        <w:rPr>
          <w:rFonts w:cs="Times New Roman"/>
          <w:b/>
          <w:bCs/>
          <w:i/>
          <w:iCs/>
        </w:rPr>
        <w:t>ak</w:t>
      </w:r>
      <w:r w:rsidRPr="00901194">
        <w:rPr>
          <w:rFonts w:cs="Times New Roman"/>
          <w:i/>
          <w:iCs/>
        </w:rPr>
        <w:t xml:space="preserve">, Arg-Ile (Arginylisoleucine); </w:t>
      </w:r>
      <w:r w:rsidRPr="00901194">
        <w:rPr>
          <w:rFonts w:cs="Times New Roman"/>
          <w:b/>
          <w:bCs/>
          <w:i/>
          <w:iCs/>
        </w:rPr>
        <w:t>al</w:t>
      </w:r>
      <w:r w:rsidRPr="00901194">
        <w:rPr>
          <w:rFonts w:cs="Times New Roman"/>
          <w:i/>
          <w:iCs/>
        </w:rPr>
        <w:t xml:space="preserve">, N-Tetracosenoyl-4-sphingenine; </w:t>
      </w:r>
      <w:r w:rsidRPr="00901194">
        <w:rPr>
          <w:rFonts w:cs="Times New Roman"/>
          <w:b/>
          <w:bCs/>
          <w:i/>
          <w:iCs/>
        </w:rPr>
        <w:t>am</w:t>
      </w:r>
      <w:r w:rsidRPr="00901194">
        <w:rPr>
          <w:rFonts w:cs="Times New Roman"/>
          <w:i/>
          <w:iCs/>
        </w:rPr>
        <w:t xml:space="preserve">, N-Acetylmuramic Acid; </w:t>
      </w:r>
      <w:r w:rsidRPr="00901194">
        <w:rPr>
          <w:rFonts w:cs="Times New Roman"/>
          <w:b/>
          <w:bCs/>
          <w:i/>
          <w:iCs/>
        </w:rPr>
        <w:t>an</w:t>
      </w:r>
      <w:r w:rsidRPr="00901194">
        <w:rPr>
          <w:rFonts w:cs="Times New Roman"/>
          <w:i/>
          <w:iCs/>
        </w:rPr>
        <w:t xml:space="preserve">, Tyr-Leu (Tyrosylleucine); </w:t>
      </w:r>
      <w:r w:rsidRPr="00901194">
        <w:rPr>
          <w:rFonts w:cs="Times New Roman"/>
          <w:b/>
          <w:bCs/>
          <w:i/>
          <w:iCs/>
        </w:rPr>
        <w:t>ao</w:t>
      </w:r>
      <w:r w:rsidRPr="00901194">
        <w:rPr>
          <w:rFonts w:cs="Times New Roman"/>
          <w:i/>
          <w:iCs/>
        </w:rPr>
        <w:t xml:space="preserve">, Phe-Met (Phenylalanylmethionine); </w:t>
      </w:r>
      <w:r w:rsidRPr="00901194">
        <w:rPr>
          <w:rFonts w:cs="Times New Roman"/>
          <w:b/>
          <w:bCs/>
          <w:i/>
          <w:iCs/>
        </w:rPr>
        <w:t>ap</w:t>
      </w:r>
      <w:r w:rsidRPr="00901194">
        <w:rPr>
          <w:rFonts w:cs="Times New Roman"/>
          <w:i/>
          <w:iCs/>
        </w:rPr>
        <w:t xml:space="preserve">, Ile-Gly-Ile (Isoleucylglycylisoleucine); </w:t>
      </w:r>
      <w:r w:rsidRPr="00901194">
        <w:rPr>
          <w:rFonts w:cs="Times New Roman"/>
          <w:b/>
          <w:bCs/>
          <w:i/>
          <w:iCs/>
        </w:rPr>
        <w:t>aq</w:t>
      </w:r>
      <w:r w:rsidRPr="00901194">
        <w:rPr>
          <w:rFonts w:cs="Times New Roman"/>
          <w:i/>
          <w:iCs/>
        </w:rPr>
        <w:t xml:space="preserve">, cis-11,14-Eicosadienoic acid; </w:t>
      </w:r>
      <w:r w:rsidRPr="00901194">
        <w:rPr>
          <w:rFonts w:cs="Times New Roman"/>
          <w:b/>
          <w:bCs/>
          <w:i/>
          <w:iCs/>
        </w:rPr>
        <w:t>ar</w:t>
      </w:r>
      <w:r w:rsidRPr="00901194">
        <w:rPr>
          <w:rFonts w:cs="Times New Roman"/>
          <w:i/>
          <w:iCs/>
        </w:rPr>
        <w:t xml:space="preserve">, Val-Trp (Valyltryptophan); </w:t>
      </w:r>
      <w:r w:rsidRPr="00901194">
        <w:rPr>
          <w:rFonts w:cs="Times New Roman"/>
          <w:b/>
          <w:bCs/>
          <w:i/>
          <w:iCs/>
        </w:rPr>
        <w:t>as</w:t>
      </w:r>
      <w:r w:rsidRPr="00901194">
        <w:rPr>
          <w:rFonts w:cs="Times New Roman"/>
          <w:i/>
          <w:iCs/>
        </w:rPr>
        <w:t xml:space="preserve">, Fructoselysine; </w:t>
      </w:r>
      <w:r w:rsidRPr="00901194">
        <w:rPr>
          <w:rFonts w:cs="Times New Roman"/>
          <w:b/>
          <w:bCs/>
          <w:i/>
          <w:iCs/>
        </w:rPr>
        <w:t>at</w:t>
      </w:r>
      <w:r w:rsidRPr="00901194">
        <w:rPr>
          <w:rFonts w:cs="Times New Roman"/>
          <w:i/>
          <w:iCs/>
        </w:rPr>
        <w:t xml:space="preserve">, Myristoleic acid; </w:t>
      </w:r>
      <w:r w:rsidRPr="00901194">
        <w:rPr>
          <w:rFonts w:cs="Times New Roman"/>
          <w:b/>
          <w:bCs/>
          <w:i/>
          <w:iCs/>
        </w:rPr>
        <w:t>au</w:t>
      </w:r>
      <w:r w:rsidRPr="00901194">
        <w:rPr>
          <w:rFonts w:cs="Times New Roman"/>
          <w:i/>
          <w:iCs/>
        </w:rPr>
        <w:t xml:space="preserve">, N-Palmitoylglycine; </w:t>
      </w:r>
      <w:r w:rsidRPr="00901194">
        <w:rPr>
          <w:rFonts w:cs="Times New Roman"/>
          <w:b/>
          <w:bCs/>
          <w:i/>
          <w:iCs/>
        </w:rPr>
        <w:t>av</w:t>
      </w:r>
      <w:r w:rsidRPr="00901194">
        <w:rPr>
          <w:rFonts w:cs="Times New Roman"/>
          <w:i/>
          <w:iCs/>
        </w:rPr>
        <w:t xml:space="preserve">, Ile-Trp (Iseoleucyltryptophan); </w:t>
      </w:r>
      <w:r w:rsidRPr="00901194">
        <w:rPr>
          <w:rFonts w:cs="Times New Roman"/>
          <w:b/>
          <w:bCs/>
          <w:i/>
          <w:iCs/>
        </w:rPr>
        <w:t>aw</w:t>
      </w:r>
      <w:r w:rsidRPr="00901194">
        <w:rPr>
          <w:rFonts w:cs="Times New Roman"/>
          <w:i/>
          <w:iCs/>
        </w:rPr>
        <w:t xml:space="preserve">, Lithocholic acid; </w:t>
      </w:r>
      <w:r w:rsidRPr="00901194">
        <w:rPr>
          <w:rFonts w:cs="Times New Roman"/>
          <w:b/>
          <w:bCs/>
          <w:i/>
          <w:iCs/>
        </w:rPr>
        <w:t>ax</w:t>
      </w:r>
      <w:r w:rsidRPr="00901194">
        <w:rPr>
          <w:rFonts w:cs="Times New Roman"/>
          <w:i/>
          <w:iCs/>
        </w:rPr>
        <w:t xml:space="preserve">, Leucine enkephalin; </w:t>
      </w:r>
      <w:r w:rsidRPr="00901194">
        <w:rPr>
          <w:rFonts w:cs="Times New Roman"/>
          <w:b/>
          <w:bCs/>
          <w:i/>
          <w:iCs/>
        </w:rPr>
        <w:t>ay</w:t>
      </w:r>
      <w:r w:rsidRPr="00901194">
        <w:rPr>
          <w:rFonts w:cs="Times New Roman"/>
          <w:i/>
          <w:iCs/>
        </w:rPr>
        <w:t xml:space="preserve">, 13-Docosenamide, (Z)- (Erucamide); </w:t>
      </w:r>
      <w:r w:rsidRPr="00901194">
        <w:rPr>
          <w:rFonts w:cs="Times New Roman"/>
          <w:b/>
          <w:bCs/>
          <w:i/>
          <w:iCs/>
        </w:rPr>
        <w:t>az</w:t>
      </w:r>
      <w:r w:rsidRPr="00901194">
        <w:rPr>
          <w:rFonts w:cs="Times New Roman"/>
          <w:i/>
          <w:iCs/>
        </w:rPr>
        <w:t xml:space="preserve">, Phe-Trp (Phenylalanyltryptophan); </w:t>
      </w:r>
      <w:r w:rsidRPr="00901194">
        <w:rPr>
          <w:rFonts w:cs="Times New Roman"/>
          <w:b/>
          <w:bCs/>
          <w:i/>
          <w:iCs/>
        </w:rPr>
        <w:t>ba</w:t>
      </w:r>
      <w:r w:rsidRPr="00901194">
        <w:rPr>
          <w:rFonts w:cs="Times New Roman"/>
          <w:i/>
          <w:iCs/>
        </w:rPr>
        <w:t xml:space="preserve">, Ile-Val-Lys (Isoleucylvalyllysine); </w:t>
      </w:r>
      <w:r w:rsidRPr="00901194">
        <w:rPr>
          <w:rFonts w:cs="Times New Roman"/>
          <w:b/>
          <w:bCs/>
          <w:i/>
          <w:iCs/>
        </w:rPr>
        <w:t>bb</w:t>
      </w:r>
      <w:r w:rsidRPr="00901194">
        <w:rPr>
          <w:rFonts w:cs="Times New Roman"/>
          <w:i/>
          <w:iCs/>
        </w:rPr>
        <w:t xml:space="preserve">, 3-Hydroxydodecanoic </w:t>
      </w:r>
      <w:r w:rsidRPr="00901194">
        <w:rPr>
          <w:rFonts w:cs="Times New Roman"/>
          <w:i/>
          <w:iCs/>
        </w:rPr>
        <w:lastRenderedPageBreak/>
        <w:t xml:space="preserve">acid; </w:t>
      </w:r>
      <w:r w:rsidRPr="00901194">
        <w:rPr>
          <w:rFonts w:cs="Times New Roman"/>
          <w:b/>
          <w:bCs/>
          <w:i/>
          <w:iCs/>
        </w:rPr>
        <w:t>bc</w:t>
      </w:r>
      <w:r w:rsidRPr="00901194">
        <w:rPr>
          <w:rFonts w:cs="Times New Roman"/>
          <w:i/>
          <w:iCs/>
        </w:rPr>
        <w:t xml:space="preserve">, Cholesterol; </w:t>
      </w:r>
      <w:r w:rsidRPr="00901194">
        <w:rPr>
          <w:rFonts w:cs="Times New Roman"/>
          <w:b/>
          <w:bCs/>
          <w:i/>
          <w:iCs/>
        </w:rPr>
        <w:t>bd</w:t>
      </w:r>
      <w:r w:rsidRPr="00901194">
        <w:rPr>
          <w:rFonts w:cs="Times New Roman"/>
          <w:i/>
          <w:iCs/>
        </w:rPr>
        <w:t xml:space="preserve">, 6R)-2-(hydroxymethyl)-6-((3R,5R,7R,8R,9S,10S,12S,13R,14S,17R)-3,7,12-trihydroxy-10,13-dimethylhexadecahydro-1H-cyclopenta[a]phenanthren-17-yl)heptanoic acid; </w:t>
      </w:r>
      <w:r w:rsidRPr="00901194">
        <w:rPr>
          <w:rFonts w:cs="Times New Roman"/>
          <w:b/>
          <w:bCs/>
          <w:i/>
          <w:iCs/>
        </w:rPr>
        <w:t>be</w:t>
      </w:r>
      <w:r w:rsidRPr="00901194">
        <w:rPr>
          <w:rFonts w:cs="Times New Roman"/>
          <w:i/>
          <w:iCs/>
        </w:rPr>
        <w:t xml:space="preserve">, Cholic acid; </w:t>
      </w:r>
      <w:r w:rsidRPr="00901194">
        <w:rPr>
          <w:rFonts w:cs="Times New Roman"/>
          <w:b/>
          <w:bCs/>
          <w:i/>
          <w:iCs/>
        </w:rPr>
        <w:t>bf</w:t>
      </w:r>
      <w:r w:rsidRPr="00901194">
        <w:rPr>
          <w:rFonts w:cs="Times New Roman"/>
          <w:i/>
          <w:iCs/>
        </w:rPr>
        <w:t xml:space="preserve">, Octadecanamide; </w:t>
      </w:r>
      <w:r w:rsidRPr="00901194">
        <w:rPr>
          <w:rFonts w:cs="Times New Roman"/>
          <w:b/>
          <w:bCs/>
          <w:i/>
          <w:iCs/>
        </w:rPr>
        <w:t>bg</w:t>
      </w:r>
      <w:r w:rsidRPr="00901194">
        <w:rPr>
          <w:rFonts w:cs="Times New Roman"/>
          <w:i/>
          <w:iCs/>
        </w:rPr>
        <w:t xml:space="preserve">, (R)-4-((3R,5S,8R,9S,10S,13R,14S,17R)-3-hydroxy-10,13-dimethyl-7,12-dioxohexadecahydro-1H-cyclopenta[a]phenanthren-17-yl)pentanoic acid; </w:t>
      </w:r>
      <w:r w:rsidRPr="00901194">
        <w:rPr>
          <w:rFonts w:cs="Times New Roman"/>
          <w:b/>
          <w:bCs/>
          <w:i/>
          <w:iCs/>
        </w:rPr>
        <w:t>bh</w:t>
      </w:r>
      <w:r w:rsidRPr="00901194">
        <w:rPr>
          <w:rFonts w:cs="Times New Roman"/>
          <w:i/>
          <w:iCs/>
        </w:rPr>
        <w:t xml:space="preserve">, Glycoursodeoxycholic acid; </w:t>
      </w:r>
      <w:r w:rsidRPr="00901194">
        <w:rPr>
          <w:rFonts w:cs="Times New Roman"/>
          <w:b/>
          <w:bCs/>
          <w:i/>
          <w:iCs/>
        </w:rPr>
        <w:t>bi</w:t>
      </w:r>
      <w:r w:rsidRPr="00901194">
        <w:rPr>
          <w:rFonts w:cs="Times New Roman"/>
          <w:i/>
          <w:iCs/>
        </w:rPr>
        <w:t xml:space="preserve">, Oleanolic acid; </w:t>
      </w:r>
      <w:r w:rsidRPr="00901194">
        <w:rPr>
          <w:rFonts w:cs="Times New Roman"/>
          <w:b/>
          <w:bCs/>
          <w:i/>
          <w:iCs/>
        </w:rPr>
        <w:t>bj</w:t>
      </w:r>
      <w:r w:rsidRPr="00901194">
        <w:rPr>
          <w:rFonts w:cs="Times New Roman"/>
          <w:i/>
          <w:iCs/>
        </w:rPr>
        <w:t xml:space="preserve">, Glycocholic acid; </w:t>
      </w:r>
      <w:r w:rsidRPr="00901194">
        <w:rPr>
          <w:rFonts w:cs="Times New Roman"/>
          <w:b/>
          <w:bCs/>
          <w:i/>
          <w:iCs/>
        </w:rPr>
        <w:t>bk</w:t>
      </w:r>
      <w:r w:rsidRPr="00901194">
        <w:rPr>
          <w:rFonts w:cs="Times New Roman"/>
          <w:i/>
          <w:iCs/>
        </w:rPr>
        <w:t xml:space="preserve">, Enoxolone; </w:t>
      </w:r>
      <w:r w:rsidRPr="00901194">
        <w:rPr>
          <w:rFonts w:cs="Times New Roman"/>
          <w:b/>
          <w:bCs/>
          <w:i/>
          <w:iCs/>
        </w:rPr>
        <w:t>bl</w:t>
      </w:r>
      <w:r w:rsidRPr="00901194">
        <w:rPr>
          <w:rFonts w:cs="Times New Roman"/>
          <w:i/>
          <w:iCs/>
        </w:rPr>
        <w:t xml:space="preserve">, Bilirubin; </w:t>
      </w:r>
      <w:r w:rsidRPr="00901194">
        <w:rPr>
          <w:rFonts w:cs="Times New Roman"/>
          <w:b/>
          <w:bCs/>
          <w:i/>
          <w:iCs/>
        </w:rPr>
        <w:t>bm</w:t>
      </w:r>
      <w:r w:rsidRPr="00901194">
        <w:rPr>
          <w:rFonts w:cs="Times New Roman"/>
          <w:i/>
          <w:iCs/>
        </w:rPr>
        <w:t xml:space="preserve">, Urobilin; </w:t>
      </w:r>
      <w:r w:rsidRPr="00901194">
        <w:rPr>
          <w:rFonts w:cs="Times New Roman"/>
          <w:b/>
          <w:bCs/>
          <w:i/>
          <w:iCs/>
        </w:rPr>
        <w:t>bn</w:t>
      </w:r>
      <w:r w:rsidRPr="00901194">
        <w:rPr>
          <w:rFonts w:cs="Times New Roman"/>
          <w:i/>
          <w:iCs/>
        </w:rPr>
        <w:t xml:space="preserve">, Stercobilin; </w:t>
      </w:r>
      <w:r w:rsidRPr="00901194">
        <w:rPr>
          <w:rFonts w:cs="Times New Roman"/>
          <w:b/>
          <w:bCs/>
          <w:i/>
          <w:iCs/>
        </w:rPr>
        <w:t>bo</w:t>
      </w:r>
      <w:r w:rsidRPr="00901194">
        <w:rPr>
          <w:rFonts w:cs="Times New Roman"/>
          <w:i/>
          <w:iCs/>
        </w:rPr>
        <w:t>, 2-Butanone, 4-(2,6,6-trimethyl-2-cyclohexen-1-yl)</w:t>
      </w:r>
      <w:r w:rsidR="007C445A" w:rsidRPr="00901194">
        <w:rPr>
          <w:rFonts w:cs="Times New Roman"/>
          <w:i/>
          <w:iCs/>
        </w:rPr>
        <w:t>.</w:t>
      </w:r>
      <w:r w:rsidRPr="00901194">
        <w:rPr>
          <w:rFonts w:cs="Times New Roman"/>
          <w:i/>
          <w:iCs/>
        </w:rPr>
        <w:t xml:space="preserve"> </w:t>
      </w:r>
    </w:p>
    <w:p w14:paraId="058C2A58" w14:textId="77777777" w:rsidR="009C1BCD" w:rsidRPr="00901194" w:rsidRDefault="009C1BCD" w:rsidP="007C445A">
      <w:pPr>
        <w:spacing w:line="240" w:lineRule="auto"/>
        <w:rPr>
          <w:rFonts w:cs="Times New Roman"/>
          <w:i/>
          <w:iCs/>
        </w:rPr>
      </w:pPr>
    </w:p>
    <w:p w14:paraId="1946A205" w14:textId="77777777" w:rsidR="009C1BCD" w:rsidRPr="00901194" w:rsidRDefault="005D7B2D">
      <w:pPr>
        <w:spacing w:line="259" w:lineRule="auto"/>
        <w:rPr>
          <w:rFonts w:cs="Times New Roman"/>
        </w:rPr>
        <w:sectPr w:rsidR="009C1BCD" w:rsidRPr="00901194" w:rsidSect="00274ADB">
          <w:pgSz w:w="12240" w:h="15840"/>
          <w:pgMar w:top="1440" w:right="1440" w:bottom="1440" w:left="1440" w:header="0" w:footer="0" w:gutter="0"/>
          <w:cols w:space="720"/>
          <w:formProt w:val="0"/>
          <w:docGrid w:linePitch="360" w:charSpace="-2049"/>
        </w:sectPr>
      </w:pPr>
      <w:r w:rsidRPr="00901194">
        <w:rPr>
          <w:rFonts w:cs="Times New Roman"/>
        </w:rPr>
        <w:br w:type="page"/>
      </w:r>
    </w:p>
    <w:p w14:paraId="44147010" w14:textId="244CBB7C" w:rsidR="005D7B2D" w:rsidRPr="00901194" w:rsidRDefault="005D7B2D">
      <w:pPr>
        <w:spacing w:line="259" w:lineRule="auto"/>
        <w:rPr>
          <w:rFonts w:eastAsiaTheme="majorEastAsia" w:cs="Times New Roman"/>
          <w:b/>
          <w:bCs/>
          <w:sz w:val="28"/>
          <w:szCs w:val="28"/>
        </w:rPr>
      </w:pPr>
    </w:p>
    <w:p w14:paraId="4E4145C7" w14:textId="2EC1574B" w:rsidR="005D7B2D" w:rsidRPr="00901194" w:rsidRDefault="00351C22">
      <w:pPr>
        <w:spacing w:line="259" w:lineRule="auto"/>
        <w:rPr>
          <w:rFonts w:eastAsiaTheme="majorEastAsia" w:cs="Times New Roman"/>
          <w:b/>
          <w:bCs/>
          <w:sz w:val="28"/>
          <w:szCs w:val="28"/>
        </w:rPr>
      </w:pPr>
      <w:r w:rsidRPr="00901194">
        <w:rPr>
          <w:rFonts w:cs="Times New Roman"/>
          <w:noProof/>
        </w:rPr>
        <w:drawing>
          <wp:anchor distT="0" distB="0" distL="114300" distR="114300" simplePos="0" relativeHeight="251781120" behindDoc="0" locked="0" layoutInCell="1" allowOverlap="1" wp14:anchorId="10A8E43C" wp14:editId="75F1B70D">
            <wp:simplePos x="0" y="0"/>
            <wp:positionH relativeFrom="margin">
              <wp:align>right</wp:align>
            </wp:positionH>
            <wp:positionV relativeFrom="paragraph">
              <wp:posOffset>851241</wp:posOffset>
            </wp:positionV>
            <wp:extent cx="8229600" cy="3608070"/>
            <wp:effectExtent l="0" t="0" r="0" b="0"/>
            <wp:wrapTopAndBottom/>
            <wp:docPr id="80" name="Graphic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phic 80"/>
                    <pic:cNvPicPr/>
                  </pic:nvPicPr>
                  <pic:blipFill>
                    <a:blip r:embed="rId140">
                      <a:extLst>
                        <a:ext uri="{28A0092B-C50C-407E-A947-70E740481C1C}">
                          <a14:useLocalDpi xmlns:a14="http://schemas.microsoft.com/office/drawing/2010/main" val="0"/>
                        </a:ext>
                        <a:ext uri="{96DAC541-7B7A-43D3-8B79-37D633B846F1}">
                          <asvg:svgBlip xmlns:asvg="http://schemas.microsoft.com/office/drawing/2016/SVG/main" r:embed="rId141"/>
                        </a:ext>
                      </a:extLst>
                    </a:blip>
                    <a:stretch>
                      <a:fillRect/>
                    </a:stretch>
                  </pic:blipFill>
                  <pic:spPr>
                    <a:xfrm>
                      <a:off x="0" y="0"/>
                      <a:ext cx="8229600" cy="3608070"/>
                    </a:xfrm>
                    <a:prstGeom prst="rect">
                      <a:avLst/>
                    </a:prstGeom>
                  </pic:spPr>
                </pic:pic>
              </a:graphicData>
            </a:graphic>
          </wp:anchor>
        </w:drawing>
      </w:r>
      <w:r w:rsidR="005D7B2D" w:rsidRPr="00901194">
        <w:rPr>
          <w:rFonts w:cs="Times New Roman"/>
        </w:rPr>
        <w:br w:type="page"/>
      </w:r>
    </w:p>
    <w:p w14:paraId="2C1D7E19" w14:textId="2392FF85" w:rsidR="00D45AB5" w:rsidRPr="00901194" w:rsidRDefault="00D45AB5" w:rsidP="00D45AB5">
      <w:pPr>
        <w:pStyle w:val="CaptionJH"/>
      </w:pPr>
    </w:p>
    <w:p w14:paraId="25BF35FA" w14:textId="5961459D" w:rsidR="00D45AB5" w:rsidRPr="00901194" w:rsidRDefault="00351C22">
      <w:pPr>
        <w:spacing w:line="259" w:lineRule="auto"/>
        <w:rPr>
          <w:rFonts w:cs="Times New Roman"/>
          <w:bCs/>
          <w:i/>
          <w:color w:val="auto"/>
          <w:szCs w:val="24"/>
        </w:rPr>
      </w:pPr>
      <w:r w:rsidRPr="00901194">
        <w:rPr>
          <w:rFonts w:cs="Times New Roman"/>
          <w:bCs/>
          <w:i/>
          <w:noProof/>
          <w:color w:val="auto"/>
          <w:szCs w:val="24"/>
        </w:rPr>
        <w:drawing>
          <wp:anchor distT="0" distB="0" distL="114300" distR="114300" simplePos="0" relativeHeight="251780096" behindDoc="0" locked="0" layoutInCell="1" allowOverlap="1" wp14:anchorId="6D67E415" wp14:editId="5A7A82D8">
            <wp:simplePos x="0" y="0"/>
            <wp:positionH relativeFrom="margin">
              <wp:align>right</wp:align>
            </wp:positionH>
            <wp:positionV relativeFrom="paragraph">
              <wp:posOffset>686198</wp:posOffset>
            </wp:positionV>
            <wp:extent cx="8229600" cy="3858260"/>
            <wp:effectExtent l="0" t="0" r="0" b="8890"/>
            <wp:wrapTopAndBottom/>
            <wp:docPr id="81" name="Graphic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phic 81"/>
                    <pic:cNvPicPr/>
                  </pic:nvPicPr>
                  <pic:blipFill>
                    <a:blip r:embed="rId142">
                      <a:extLst>
                        <a:ext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0" y="0"/>
                      <a:ext cx="8229600" cy="3858260"/>
                    </a:xfrm>
                    <a:prstGeom prst="rect">
                      <a:avLst/>
                    </a:prstGeom>
                  </pic:spPr>
                </pic:pic>
              </a:graphicData>
            </a:graphic>
          </wp:anchor>
        </w:drawing>
      </w:r>
      <w:r w:rsidR="00D45AB5" w:rsidRPr="00901194">
        <w:rPr>
          <w:rFonts w:cs="Times New Roman"/>
        </w:rPr>
        <w:br w:type="page"/>
      </w:r>
    </w:p>
    <w:p w14:paraId="24B0A541" w14:textId="1BE81000" w:rsidR="00D45AB5" w:rsidRPr="00901194" w:rsidRDefault="00351C22">
      <w:pPr>
        <w:spacing w:line="259" w:lineRule="auto"/>
        <w:rPr>
          <w:rFonts w:cs="Times New Roman"/>
          <w:bCs/>
          <w:i/>
          <w:color w:val="auto"/>
          <w:szCs w:val="24"/>
        </w:rPr>
      </w:pPr>
      <w:r w:rsidRPr="00901194">
        <w:rPr>
          <w:rFonts w:cs="Times New Roman"/>
          <w:noProof/>
        </w:rPr>
        <w:lastRenderedPageBreak/>
        <w:drawing>
          <wp:anchor distT="0" distB="0" distL="114300" distR="114300" simplePos="0" relativeHeight="251782144" behindDoc="0" locked="0" layoutInCell="1" allowOverlap="1" wp14:anchorId="30BA8C2B" wp14:editId="0F2C8E40">
            <wp:simplePos x="0" y="0"/>
            <wp:positionH relativeFrom="margin">
              <wp:align>right</wp:align>
            </wp:positionH>
            <wp:positionV relativeFrom="paragraph">
              <wp:posOffset>1187356</wp:posOffset>
            </wp:positionV>
            <wp:extent cx="8229600" cy="3580765"/>
            <wp:effectExtent l="0" t="0" r="0" b="635"/>
            <wp:wrapTopAndBottom/>
            <wp:docPr id="82" name="Graphic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phic 82"/>
                    <pic:cNvPicPr/>
                  </pic:nvPicPr>
                  <pic:blipFill>
                    <a:blip r:embed="rId144">
                      <a:extLst>
                        <a:ext uri="{28A0092B-C50C-407E-A947-70E740481C1C}">
                          <a14:useLocalDpi xmlns:a14="http://schemas.microsoft.com/office/drawing/2010/main" val="0"/>
                        </a:ext>
                        <a:ext uri="{96DAC541-7B7A-43D3-8B79-37D633B846F1}">
                          <asvg:svgBlip xmlns:asvg="http://schemas.microsoft.com/office/drawing/2016/SVG/main" r:embed="rId145"/>
                        </a:ext>
                      </a:extLst>
                    </a:blip>
                    <a:stretch>
                      <a:fillRect/>
                    </a:stretch>
                  </pic:blipFill>
                  <pic:spPr>
                    <a:xfrm>
                      <a:off x="0" y="0"/>
                      <a:ext cx="8229600" cy="3580765"/>
                    </a:xfrm>
                    <a:prstGeom prst="rect">
                      <a:avLst/>
                    </a:prstGeom>
                  </pic:spPr>
                </pic:pic>
              </a:graphicData>
            </a:graphic>
          </wp:anchor>
        </w:drawing>
      </w:r>
      <w:r w:rsidR="00D45AB5" w:rsidRPr="00901194">
        <w:rPr>
          <w:rFonts w:cs="Times New Roman"/>
        </w:rPr>
        <w:br w:type="page"/>
      </w:r>
    </w:p>
    <w:p w14:paraId="5E019B0A" w14:textId="17538B21" w:rsidR="00D45AB5" w:rsidRPr="00901194" w:rsidRDefault="00351C22">
      <w:pPr>
        <w:spacing w:line="259" w:lineRule="auto"/>
        <w:rPr>
          <w:rFonts w:cs="Times New Roman"/>
          <w:bCs/>
          <w:i/>
          <w:color w:val="auto"/>
          <w:szCs w:val="24"/>
        </w:rPr>
      </w:pPr>
      <w:r w:rsidRPr="00901194">
        <w:rPr>
          <w:rFonts w:cs="Times New Roman"/>
          <w:noProof/>
        </w:rPr>
        <w:lastRenderedPageBreak/>
        <w:drawing>
          <wp:anchor distT="0" distB="0" distL="114300" distR="114300" simplePos="0" relativeHeight="251783168" behindDoc="0" locked="0" layoutInCell="1" allowOverlap="1" wp14:anchorId="7B0D34DF" wp14:editId="358B36C2">
            <wp:simplePos x="0" y="0"/>
            <wp:positionH relativeFrom="margin">
              <wp:align>right</wp:align>
            </wp:positionH>
            <wp:positionV relativeFrom="paragraph">
              <wp:posOffset>1118585</wp:posOffset>
            </wp:positionV>
            <wp:extent cx="8229600" cy="3695700"/>
            <wp:effectExtent l="0" t="0" r="0" b="0"/>
            <wp:wrapTopAndBottom/>
            <wp:docPr id="83" name="Graphic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phic 83"/>
                    <pic:cNvPicPr/>
                  </pic:nvPicPr>
                  <pic:blipFill>
                    <a:blip r:embed="rId146">
                      <a:extLst>
                        <a:ext uri="{28A0092B-C50C-407E-A947-70E740481C1C}">
                          <a14:useLocalDpi xmlns:a14="http://schemas.microsoft.com/office/drawing/2010/main" val="0"/>
                        </a:ext>
                        <a:ext uri="{96DAC541-7B7A-43D3-8B79-37D633B846F1}">
                          <asvg:svgBlip xmlns:asvg="http://schemas.microsoft.com/office/drawing/2016/SVG/main" r:embed="rId147"/>
                        </a:ext>
                      </a:extLst>
                    </a:blip>
                    <a:stretch>
                      <a:fillRect/>
                    </a:stretch>
                  </pic:blipFill>
                  <pic:spPr>
                    <a:xfrm>
                      <a:off x="0" y="0"/>
                      <a:ext cx="8229600" cy="3695700"/>
                    </a:xfrm>
                    <a:prstGeom prst="rect">
                      <a:avLst/>
                    </a:prstGeom>
                  </pic:spPr>
                </pic:pic>
              </a:graphicData>
            </a:graphic>
          </wp:anchor>
        </w:drawing>
      </w:r>
      <w:r w:rsidR="00D45AB5" w:rsidRPr="00901194">
        <w:rPr>
          <w:rFonts w:cs="Times New Roman"/>
        </w:rPr>
        <w:br w:type="page"/>
      </w:r>
    </w:p>
    <w:p w14:paraId="4195CA56" w14:textId="3BCAFC88" w:rsidR="00097C24" w:rsidRPr="00901194" w:rsidRDefault="009525ED">
      <w:pPr>
        <w:spacing w:line="259" w:lineRule="auto"/>
        <w:rPr>
          <w:rFonts w:cs="Times New Roman"/>
        </w:rPr>
      </w:pPr>
      <w:r w:rsidRPr="00901194">
        <w:rPr>
          <w:rFonts w:cs="Times New Roman"/>
          <w:b/>
          <w:bCs/>
          <w:noProof/>
          <w:szCs w:val="24"/>
        </w:rPr>
        <w:lastRenderedPageBreak/>
        <w:drawing>
          <wp:anchor distT="0" distB="0" distL="114300" distR="114300" simplePos="0" relativeHeight="251784192" behindDoc="0" locked="0" layoutInCell="1" allowOverlap="1" wp14:anchorId="171968A3" wp14:editId="0931E869">
            <wp:simplePos x="0" y="0"/>
            <wp:positionH relativeFrom="margin">
              <wp:align>right</wp:align>
            </wp:positionH>
            <wp:positionV relativeFrom="paragraph">
              <wp:posOffset>1146299</wp:posOffset>
            </wp:positionV>
            <wp:extent cx="8229600" cy="3635375"/>
            <wp:effectExtent l="0" t="0" r="0" b="3175"/>
            <wp:wrapTopAndBottom/>
            <wp:docPr id="84" name="Graphic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phic 84"/>
                    <pic:cNvPicPr/>
                  </pic:nvPicPr>
                  <pic:blipFill>
                    <a:blip r:embed="rId148">
                      <a:extLst>
                        <a:ext uri="{28A0092B-C50C-407E-A947-70E740481C1C}">
                          <a14:useLocalDpi xmlns:a14="http://schemas.microsoft.com/office/drawing/2010/main" val="0"/>
                        </a:ext>
                        <a:ext uri="{96DAC541-7B7A-43D3-8B79-37D633B846F1}">
                          <asvg:svgBlip xmlns:asvg="http://schemas.microsoft.com/office/drawing/2016/SVG/main" r:embed="rId149"/>
                        </a:ext>
                      </a:extLst>
                    </a:blip>
                    <a:stretch>
                      <a:fillRect/>
                    </a:stretch>
                  </pic:blipFill>
                  <pic:spPr>
                    <a:xfrm>
                      <a:off x="0" y="0"/>
                      <a:ext cx="8229600" cy="3635375"/>
                    </a:xfrm>
                    <a:prstGeom prst="rect">
                      <a:avLst/>
                    </a:prstGeom>
                  </pic:spPr>
                </pic:pic>
              </a:graphicData>
            </a:graphic>
          </wp:anchor>
        </w:drawing>
      </w:r>
      <w:r w:rsidR="000E5D04" w:rsidRPr="00901194">
        <w:rPr>
          <w:rFonts w:cs="Times New Roman"/>
        </w:rPr>
        <w:br w:type="page"/>
      </w:r>
      <w:r w:rsidR="00291D9D" w:rsidRPr="00901194">
        <w:rPr>
          <w:rFonts w:cs="Times New Roman"/>
          <w:noProof/>
        </w:rPr>
        <w:lastRenderedPageBreak/>
        <w:drawing>
          <wp:anchor distT="0" distB="0" distL="114300" distR="114300" simplePos="0" relativeHeight="251785216" behindDoc="0" locked="0" layoutInCell="1" allowOverlap="1" wp14:anchorId="4762A449" wp14:editId="0142F904">
            <wp:simplePos x="0" y="0"/>
            <wp:positionH relativeFrom="margin">
              <wp:align>right</wp:align>
            </wp:positionH>
            <wp:positionV relativeFrom="paragraph">
              <wp:posOffset>1105469</wp:posOffset>
            </wp:positionV>
            <wp:extent cx="8229600" cy="3729355"/>
            <wp:effectExtent l="0" t="0" r="0" b="4445"/>
            <wp:wrapTopAndBottom/>
            <wp:docPr id="85" name="Graphic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phic 85"/>
                    <pic:cNvPicPr/>
                  </pic:nvPicPr>
                  <pic:blipFill>
                    <a:blip r:embed="rId150">
                      <a:extLst>
                        <a:ext uri="{28A0092B-C50C-407E-A947-70E740481C1C}">
                          <a14:useLocalDpi xmlns:a14="http://schemas.microsoft.com/office/drawing/2010/main" val="0"/>
                        </a:ext>
                        <a:ext uri="{96DAC541-7B7A-43D3-8B79-37D633B846F1}">
                          <asvg:svgBlip xmlns:asvg="http://schemas.microsoft.com/office/drawing/2016/SVG/main" r:embed="rId151"/>
                        </a:ext>
                      </a:extLst>
                    </a:blip>
                    <a:stretch>
                      <a:fillRect/>
                    </a:stretch>
                  </pic:blipFill>
                  <pic:spPr>
                    <a:xfrm>
                      <a:off x="0" y="0"/>
                      <a:ext cx="8229600" cy="3729355"/>
                    </a:xfrm>
                    <a:prstGeom prst="rect">
                      <a:avLst/>
                    </a:prstGeom>
                  </pic:spPr>
                </pic:pic>
              </a:graphicData>
            </a:graphic>
          </wp:anchor>
        </w:drawing>
      </w:r>
      <w:r w:rsidR="00F427AD" w:rsidRPr="00901194">
        <w:rPr>
          <w:rFonts w:cs="Times New Roman"/>
        </w:rPr>
        <w:br w:type="page"/>
      </w:r>
      <w:r w:rsidR="00291D9D" w:rsidRPr="00901194">
        <w:rPr>
          <w:rFonts w:cs="Times New Roman"/>
          <w:noProof/>
        </w:rPr>
        <w:lastRenderedPageBreak/>
        <w:drawing>
          <wp:anchor distT="0" distB="0" distL="114300" distR="114300" simplePos="0" relativeHeight="251786240" behindDoc="0" locked="0" layoutInCell="1" allowOverlap="1" wp14:anchorId="5626FD70" wp14:editId="735D21AA">
            <wp:simplePos x="0" y="0"/>
            <wp:positionH relativeFrom="margin">
              <wp:align>right</wp:align>
            </wp:positionH>
            <wp:positionV relativeFrom="paragraph">
              <wp:posOffset>1105469</wp:posOffset>
            </wp:positionV>
            <wp:extent cx="8229600" cy="3729355"/>
            <wp:effectExtent l="0" t="0" r="0" b="0"/>
            <wp:wrapTopAndBottom/>
            <wp:docPr id="86" name="Graphic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phic 86"/>
                    <pic:cNvPicPr/>
                  </pic:nvPicPr>
                  <pic:blipFill>
                    <a:blip r:embed="rId152">
                      <a:extLst>
                        <a:ext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0" y="0"/>
                      <a:ext cx="8229600" cy="3729355"/>
                    </a:xfrm>
                    <a:prstGeom prst="rect">
                      <a:avLst/>
                    </a:prstGeom>
                  </pic:spPr>
                </pic:pic>
              </a:graphicData>
            </a:graphic>
          </wp:anchor>
        </w:drawing>
      </w:r>
      <w:r w:rsidR="00291D9D" w:rsidRPr="00901194">
        <w:rPr>
          <w:rFonts w:cs="Times New Roman"/>
        </w:rPr>
        <w:br w:type="page"/>
      </w:r>
      <w:r w:rsidR="006625BF" w:rsidRPr="00901194">
        <w:rPr>
          <w:rFonts w:cs="Times New Roman"/>
          <w:noProof/>
        </w:rPr>
        <w:lastRenderedPageBreak/>
        <w:drawing>
          <wp:anchor distT="0" distB="0" distL="114300" distR="114300" simplePos="0" relativeHeight="251787264" behindDoc="0" locked="0" layoutInCell="1" allowOverlap="1" wp14:anchorId="2CB61ED2" wp14:editId="66548FE5">
            <wp:simplePos x="0" y="0"/>
            <wp:positionH relativeFrom="margin">
              <wp:align>right</wp:align>
            </wp:positionH>
            <wp:positionV relativeFrom="paragraph">
              <wp:posOffset>1105364</wp:posOffset>
            </wp:positionV>
            <wp:extent cx="8229600" cy="3729355"/>
            <wp:effectExtent l="0" t="0" r="0" b="4445"/>
            <wp:wrapTopAndBottom/>
            <wp:docPr id="87" name="Graphic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phic 87"/>
                    <pic:cNvPicPr/>
                  </pic:nvPicPr>
                  <pic:blipFill>
                    <a:blip r:embed="rId154">
                      <a:extLst>
                        <a:ext uri="{28A0092B-C50C-407E-A947-70E740481C1C}">
                          <a14:useLocalDpi xmlns:a14="http://schemas.microsoft.com/office/drawing/2010/main" val="0"/>
                        </a:ext>
                        <a:ext uri="{96DAC541-7B7A-43D3-8B79-37D633B846F1}">
                          <asvg:svgBlip xmlns:asvg="http://schemas.microsoft.com/office/drawing/2016/SVG/main" r:embed="rId155"/>
                        </a:ext>
                      </a:extLst>
                    </a:blip>
                    <a:stretch>
                      <a:fillRect/>
                    </a:stretch>
                  </pic:blipFill>
                  <pic:spPr>
                    <a:xfrm>
                      <a:off x="0" y="0"/>
                      <a:ext cx="8229600" cy="3729355"/>
                    </a:xfrm>
                    <a:prstGeom prst="rect">
                      <a:avLst/>
                    </a:prstGeom>
                  </pic:spPr>
                </pic:pic>
              </a:graphicData>
            </a:graphic>
          </wp:anchor>
        </w:drawing>
      </w:r>
      <w:r w:rsidR="00291D9D" w:rsidRPr="00901194">
        <w:rPr>
          <w:rFonts w:cs="Times New Roman"/>
        </w:rPr>
        <w:br w:type="page"/>
      </w:r>
      <w:r w:rsidR="00097C24" w:rsidRPr="00901194">
        <w:rPr>
          <w:rFonts w:cs="Times New Roman"/>
          <w:noProof/>
        </w:rPr>
        <w:lastRenderedPageBreak/>
        <w:drawing>
          <wp:anchor distT="0" distB="0" distL="114300" distR="114300" simplePos="0" relativeHeight="251788288" behindDoc="0" locked="0" layoutInCell="1" allowOverlap="1" wp14:anchorId="435F101A" wp14:editId="7546C7FE">
            <wp:simplePos x="0" y="0"/>
            <wp:positionH relativeFrom="margin">
              <wp:align>right</wp:align>
            </wp:positionH>
            <wp:positionV relativeFrom="paragraph">
              <wp:posOffset>1105469</wp:posOffset>
            </wp:positionV>
            <wp:extent cx="8229600" cy="3729355"/>
            <wp:effectExtent l="0" t="0" r="0" b="4445"/>
            <wp:wrapTopAndBottom/>
            <wp:docPr id="88" name="Graphic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raphic 88"/>
                    <pic:cNvPicPr/>
                  </pic:nvPicPr>
                  <pic:blipFill>
                    <a:blip r:embed="rId156">
                      <a:extLst>
                        <a:ext uri="{28A0092B-C50C-407E-A947-70E740481C1C}">
                          <a14:useLocalDpi xmlns:a14="http://schemas.microsoft.com/office/drawing/2010/main" val="0"/>
                        </a:ext>
                        <a:ext uri="{96DAC541-7B7A-43D3-8B79-37D633B846F1}">
                          <asvg:svgBlip xmlns:asvg="http://schemas.microsoft.com/office/drawing/2016/SVG/main" r:embed="rId157"/>
                        </a:ext>
                      </a:extLst>
                    </a:blip>
                    <a:stretch>
                      <a:fillRect/>
                    </a:stretch>
                  </pic:blipFill>
                  <pic:spPr>
                    <a:xfrm>
                      <a:off x="0" y="0"/>
                      <a:ext cx="8229600" cy="3729355"/>
                    </a:xfrm>
                    <a:prstGeom prst="rect">
                      <a:avLst/>
                    </a:prstGeom>
                  </pic:spPr>
                </pic:pic>
              </a:graphicData>
            </a:graphic>
          </wp:anchor>
        </w:drawing>
      </w:r>
      <w:r w:rsidR="00097C24" w:rsidRPr="00901194">
        <w:rPr>
          <w:rFonts w:cs="Times New Roman"/>
        </w:rPr>
        <w:br w:type="page"/>
      </w:r>
    </w:p>
    <w:p w14:paraId="7ACCB8E1" w14:textId="63218047" w:rsidR="000F03D9" w:rsidRPr="00901194" w:rsidRDefault="00445B5B">
      <w:pPr>
        <w:spacing w:line="259" w:lineRule="auto"/>
        <w:rPr>
          <w:rFonts w:cs="Times New Roman"/>
        </w:rPr>
      </w:pPr>
      <w:r w:rsidRPr="00901194">
        <w:rPr>
          <w:rFonts w:cs="Times New Roman"/>
          <w:noProof/>
        </w:rPr>
        <w:lastRenderedPageBreak/>
        <w:drawing>
          <wp:anchor distT="0" distB="0" distL="114300" distR="114300" simplePos="0" relativeHeight="251789312" behindDoc="0" locked="0" layoutInCell="1" allowOverlap="1" wp14:anchorId="2141BCA6" wp14:editId="36F545F4">
            <wp:simplePos x="0" y="0"/>
            <wp:positionH relativeFrom="margin">
              <wp:align>right</wp:align>
            </wp:positionH>
            <wp:positionV relativeFrom="paragraph">
              <wp:posOffset>1146412</wp:posOffset>
            </wp:positionV>
            <wp:extent cx="8229600" cy="3655060"/>
            <wp:effectExtent l="0" t="0" r="0" b="2540"/>
            <wp:wrapTopAndBottom/>
            <wp:docPr id="89" name="Graphic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Graphic 89"/>
                    <pic:cNvPicPr/>
                  </pic:nvPicPr>
                  <pic:blipFill>
                    <a:blip r:embed="rId158">
                      <a:extLst>
                        <a:ext uri="{28A0092B-C50C-407E-A947-70E740481C1C}">
                          <a14:useLocalDpi xmlns:a14="http://schemas.microsoft.com/office/drawing/2010/main" val="0"/>
                        </a:ext>
                        <a:ext uri="{96DAC541-7B7A-43D3-8B79-37D633B846F1}">
                          <asvg:svgBlip xmlns:asvg="http://schemas.microsoft.com/office/drawing/2016/SVG/main" r:embed="rId159"/>
                        </a:ext>
                      </a:extLst>
                    </a:blip>
                    <a:stretch>
                      <a:fillRect/>
                    </a:stretch>
                  </pic:blipFill>
                  <pic:spPr>
                    <a:xfrm>
                      <a:off x="0" y="0"/>
                      <a:ext cx="8229600" cy="3655060"/>
                    </a:xfrm>
                    <a:prstGeom prst="rect">
                      <a:avLst/>
                    </a:prstGeom>
                  </pic:spPr>
                </pic:pic>
              </a:graphicData>
            </a:graphic>
          </wp:anchor>
        </w:drawing>
      </w:r>
      <w:r w:rsidR="006625BF" w:rsidRPr="00901194">
        <w:rPr>
          <w:rFonts w:cs="Times New Roman"/>
        </w:rPr>
        <w:br w:type="page"/>
      </w:r>
      <w:r w:rsidR="000F03D9" w:rsidRPr="00901194">
        <w:rPr>
          <w:rFonts w:cs="Times New Roman"/>
          <w:noProof/>
        </w:rPr>
        <w:lastRenderedPageBreak/>
        <w:drawing>
          <wp:anchor distT="0" distB="0" distL="114300" distR="114300" simplePos="0" relativeHeight="251790336" behindDoc="0" locked="0" layoutInCell="1" allowOverlap="1" wp14:anchorId="279931A5" wp14:editId="662F39B2">
            <wp:simplePos x="0" y="0"/>
            <wp:positionH relativeFrom="margin">
              <wp:align>right</wp:align>
            </wp:positionH>
            <wp:positionV relativeFrom="paragraph">
              <wp:posOffset>1050878</wp:posOffset>
            </wp:positionV>
            <wp:extent cx="8229600" cy="3830955"/>
            <wp:effectExtent l="0" t="0" r="0" b="0"/>
            <wp:wrapTopAndBottom/>
            <wp:docPr id="90" name="Graphic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pic:cNvPicPr/>
                  </pic:nvPicPr>
                  <pic:blipFill>
                    <a:blip r:embed="rId160">
                      <a:extLst>
                        <a:ext uri="{28A0092B-C50C-407E-A947-70E740481C1C}">
                          <a14:useLocalDpi xmlns:a14="http://schemas.microsoft.com/office/drawing/2010/main" val="0"/>
                        </a:ext>
                        <a:ext uri="{96DAC541-7B7A-43D3-8B79-37D633B846F1}">
                          <asvg:svgBlip xmlns:asvg="http://schemas.microsoft.com/office/drawing/2016/SVG/main" r:embed="rId161"/>
                        </a:ext>
                      </a:extLst>
                    </a:blip>
                    <a:stretch>
                      <a:fillRect/>
                    </a:stretch>
                  </pic:blipFill>
                  <pic:spPr>
                    <a:xfrm>
                      <a:off x="0" y="0"/>
                      <a:ext cx="8229600" cy="3830955"/>
                    </a:xfrm>
                    <a:prstGeom prst="rect">
                      <a:avLst/>
                    </a:prstGeom>
                  </pic:spPr>
                </pic:pic>
              </a:graphicData>
            </a:graphic>
          </wp:anchor>
        </w:drawing>
      </w:r>
      <w:r w:rsidR="00BD07E7" w:rsidRPr="00901194">
        <w:rPr>
          <w:rFonts w:cs="Times New Roman"/>
        </w:rPr>
        <w:br w:type="page"/>
      </w:r>
      <w:r w:rsidR="0099190B" w:rsidRPr="00901194">
        <w:rPr>
          <w:rFonts w:cs="Times New Roman"/>
          <w:noProof/>
        </w:rPr>
        <w:lastRenderedPageBreak/>
        <w:drawing>
          <wp:anchor distT="0" distB="0" distL="114300" distR="114300" simplePos="0" relativeHeight="251791360" behindDoc="0" locked="0" layoutInCell="1" allowOverlap="1" wp14:anchorId="17431384" wp14:editId="5F508AD2">
            <wp:simplePos x="0" y="0"/>
            <wp:positionH relativeFrom="margin">
              <wp:align>right</wp:align>
            </wp:positionH>
            <wp:positionV relativeFrom="paragraph">
              <wp:posOffset>1132764</wp:posOffset>
            </wp:positionV>
            <wp:extent cx="8229600" cy="3682365"/>
            <wp:effectExtent l="0" t="0" r="0" b="0"/>
            <wp:wrapTopAndBottom/>
            <wp:docPr id="91" name="Graphic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Graphic 91"/>
                    <pic:cNvPicPr/>
                  </pic:nvPicPr>
                  <pic:blipFill>
                    <a:blip r:embed="rId162">
                      <a:extLst>
                        <a:ext uri="{28A0092B-C50C-407E-A947-70E740481C1C}">
                          <a14:useLocalDpi xmlns:a14="http://schemas.microsoft.com/office/drawing/2010/main" val="0"/>
                        </a:ext>
                        <a:ext uri="{96DAC541-7B7A-43D3-8B79-37D633B846F1}">
                          <asvg:svgBlip xmlns:asvg="http://schemas.microsoft.com/office/drawing/2016/SVG/main" r:embed="rId163"/>
                        </a:ext>
                      </a:extLst>
                    </a:blip>
                    <a:stretch>
                      <a:fillRect/>
                    </a:stretch>
                  </pic:blipFill>
                  <pic:spPr>
                    <a:xfrm>
                      <a:off x="0" y="0"/>
                      <a:ext cx="8229600" cy="3682365"/>
                    </a:xfrm>
                    <a:prstGeom prst="rect">
                      <a:avLst/>
                    </a:prstGeom>
                  </pic:spPr>
                </pic:pic>
              </a:graphicData>
            </a:graphic>
          </wp:anchor>
        </w:drawing>
      </w:r>
      <w:r w:rsidR="000F03D9" w:rsidRPr="00901194">
        <w:rPr>
          <w:rFonts w:cs="Times New Roman"/>
        </w:rPr>
        <w:br w:type="page"/>
      </w:r>
    </w:p>
    <w:p w14:paraId="780AB2CE" w14:textId="5AEB4FBA" w:rsidR="00445B5B" w:rsidRPr="00901194" w:rsidRDefault="00CA29FA">
      <w:pPr>
        <w:spacing w:line="259" w:lineRule="auto"/>
        <w:rPr>
          <w:rFonts w:cs="Times New Roman"/>
        </w:rPr>
      </w:pPr>
      <w:r w:rsidRPr="00901194">
        <w:rPr>
          <w:rFonts w:cs="Times New Roman"/>
          <w:noProof/>
        </w:rPr>
        <w:lastRenderedPageBreak/>
        <w:drawing>
          <wp:anchor distT="0" distB="0" distL="114300" distR="114300" simplePos="0" relativeHeight="251792384" behindDoc="0" locked="0" layoutInCell="1" allowOverlap="1" wp14:anchorId="590B2289" wp14:editId="2F74B273">
            <wp:simplePos x="0" y="0"/>
            <wp:positionH relativeFrom="margin">
              <wp:align>right</wp:align>
            </wp:positionH>
            <wp:positionV relativeFrom="paragraph">
              <wp:posOffset>1132480</wp:posOffset>
            </wp:positionV>
            <wp:extent cx="8229600" cy="3682365"/>
            <wp:effectExtent l="0" t="0" r="0" b="0"/>
            <wp:wrapTopAndBottom/>
            <wp:docPr id="92" name="Graphic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Graphic 92"/>
                    <pic:cNvPicPr/>
                  </pic:nvPicPr>
                  <pic:blipFill>
                    <a:blip r:embed="rId164">
                      <a:extLst>
                        <a:ext uri="{28A0092B-C50C-407E-A947-70E740481C1C}">
                          <a14:useLocalDpi xmlns:a14="http://schemas.microsoft.com/office/drawing/2010/main" val="0"/>
                        </a:ext>
                        <a:ext uri="{96DAC541-7B7A-43D3-8B79-37D633B846F1}">
                          <asvg:svgBlip xmlns:asvg="http://schemas.microsoft.com/office/drawing/2016/SVG/main" r:embed="rId165"/>
                        </a:ext>
                      </a:extLst>
                    </a:blip>
                    <a:stretch>
                      <a:fillRect/>
                    </a:stretch>
                  </pic:blipFill>
                  <pic:spPr>
                    <a:xfrm>
                      <a:off x="0" y="0"/>
                      <a:ext cx="8229600" cy="3682365"/>
                    </a:xfrm>
                    <a:prstGeom prst="rect">
                      <a:avLst/>
                    </a:prstGeom>
                  </pic:spPr>
                </pic:pic>
              </a:graphicData>
            </a:graphic>
          </wp:anchor>
        </w:drawing>
      </w:r>
      <w:r w:rsidR="00445B5B" w:rsidRPr="00901194">
        <w:rPr>
          <w:rFonts w:cs="Times New Roman"/>
        </w:rPr>
        <w:br w:type="page"/>
      </w:r>
    </w:p>
    <w:p w14:paraId="06B1F69A" w14:textId="76E1F87E" w:rsidR="00CA29FA" w:rsidRPr="00901194" w:rsidRDefault="00CA29FA">
      <w:pPr>
        <w:spacing w:line="259" w:lineRule="auto"/>
        <w:rPr>
          <w:rFonts w:cs="Times New Roman"/>
        </w:rPr>
      </w:pPr>
      <w:r w:rsidRPr="00901194">
        <w:rPr>
          <w:rFonts w:cs="Times New Roman"/>
          <w:noProof/>
        </w:rPr>
        <w:lastRenderedPageBreak/>
        <w:drawing>
          <wp:anchor distT="0" distB="0" distL="114300" distR="114300" simplePos="0" relativeHeight="251793408" behindDoc="0" locked="0" layoutInCell="1" allowOverlap="1" wp14:anchorId="1DF03F5D" wp14:editId="5606E84B">
            <wp:simplePos x="0" y="0"/>
            <wp:positionH relativeFrom="margin">
              <wp:align>right</wp:align>
            </wp:positionH>
            <wp:positionV relativeFrom="paragraph">
              <wp:posOffset>1132765</wp:posOffset>
            </wp:positionV>
            <wp:extent cx="8229600" cy="3682365"/>
            <wp:effectExtent l="0" t="0" r="0" b="0"/>
            <wp:wrapTopAndBottom/>
            <wp:docPr id="93" name="Graphic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Graphic 93"/>
                    <pic:cNvPicPr/>
                  </pic:nvPicPr>
                  <pic:blipFill>
                    <a:blip r:embed="rId166">
                      <a:extLst>
                        <a:ext uri="{28A0092B-C50C-407E-A947-70E740481C1C}">
                          <a14:useLocalDpi xmlns:a14="http://schemas.microsoft.com/office/drawing/2010/main" val="0"/>
                        </a:ext>
                        <a:ext uri="{96DAC541-7B7A-43D3-8B79-37D633B846F1}">
                          <asvg:svgBlip xmlns:asvg="http://schemas.microsoft.com/office/drawing/2016/SVG/main" r:embed="rId167"/>
                        </a:ext>
                      </a:extLst>
                    </a:blip>
                    <a:stretch>
                      <a:fillRect/>
                    </a:stretch>
                  </pic:blipFill>
                  <pic:spPr>
                    <a:xfrm>
                      <a:off x="0" y="0"/>
                      <a:ext cx="8229600" cy="3682365"/>
                    </a:xfrm>
                    <a:prstGeom prst="rect">
                      <a:avLst/>
                    </a:prstGeom>
                  </pic:spPr>
                </pic:pic>
              </a:graphicData>
            </a:graphic>
          </wp:anchor>
        </w:drawing>
      </w:r>
      <w:r w:rsidRPr="00901194">
        <w:rPr>
          <w:rFonts w:cs="Times New Roman"/>
        </w:rPr>
        <w:br w:type="page"/>
      </w:r>
    </w:p>
    <w:p w14:paraId="2322B635" w14:textId="6CEDE4BA" w:rsidR="000E5D04" w:rsidRPr="00901194" w:rsidRDefault="00B72A05">
      <w:pPr>
        <w:spacing w:line="259" w:lineRule="auto"/>
        <w:rPr>
          <w:rFonts w:cs="Times New Roman"/>
          <w:bCs/>
          <w:i/>
          <w:color w:val="auto"/>
          <w:szCs w:val="24"/>
        </w:rPr>
      </w:pPr>
      <w:r w:rsidRPr="00901194">
        <w:rPr>
          <w:rFonts w:cs="Times New Roman"/>
          <w:noProof/>
        </w:rPr>
        <w:lastRenderedPageBreak/>
        <w:drawing>
          <wp:anchor distT="0" distB="0" distL="114300" distR="114300" simplePos="0" relativeHeight="251794432" behindDoc="0" locked="0" layoutInCell="1" allowOverlap="1" wp14:anchorId="377E0F2A" wp14:editId="767A3684">
            <wp:simplePos x="0" y="0"/>
            <wp:positionH relativeFrom="margin">
              <wp:align>right</wp:align>
            </wp:positionH>
            <wp:positionV relativeFrom="paragraph">
              <wp:posOffset>1105469</wp:posOffset>
            </wp:positionV>
            <wp:extent cx="8229600" cy="3723005"/>
            <wp:effectExtent l="0" t="0" r="0" b="0"/>
            <wp:wrapTopAndBottom/>
            <wp:docPr id="94" name="Graphic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ic 94"/>
                    <pic:cNvPicPr/>
                  </pic:nvPicPr>
                  <pic:blipFill>
                    <a:blip r:embed="rId168">
                      <a:extLst>
                        <a:ext uri="{28A0092B-C50C-407E-A947-70E740481C1C}">
                          <a14:useLocalDpi xmlns:a14="http://schemas.microsoft.com/office/drawing/2010/main" val="0"/>
                        </a:ext>
                        <a:ext uri="{96DAC541-7B7A-43D3-8B79-37D633B846F1}">
                          <asvg:svgBlip xmlns:asvg="http://schemas.microsoft.com/office/drawing/2016/SVG/main" r:embed="rId169"/>
                        </a:ext>
                      </a:extLst>
                    </a:blip>
                    <a:stretch>
                      <a:fillRect/>
                    </a:stretch>
                  </pic:blipFill>
                  <pic:spPr>
                    <a:xfrm>
                      <a:off x="0" y="0"/>
                      <a:ext cx="8229600" cy="3723005"/>
                    </a:xfrm>
                    <a:prstGeom prst="rect">
                      <a:avLst/>
                    </a:prstGeom>
                  </pic:spPr>
                </pic:pic>
              </a:graphicData>
            </a:graphic>
          </wp:anchor>
        </w:drawing>
      </w:r>
      <w:r w:rsidR="00CA29FA" w:rsidRPr="00901194">
        <w:rPr>
          <w:rFonts w:cs="Times New Roman"/>
        </w:rPr>
        <w:br w:type="page"/>
      </w:r>
    </w:p>
    <w:p w14:paraId="2B3F7A69" w14:textId="77777777" w:rsidR="00C34F1B" w:rsidRPr="00901194" w:rsidRDefault="00C34F1B">
      <w:pPr>
        <w:spacing w:line="259" w:lineRule="auto"/>
        <w:rPr>
          <w:rFonts w:cs="Times New Roman"/>
        </w:rPr>
        <w:sectPr w:rsidR="00C34F1B" w:rsidRPr="00901194" w:rsidSect="00C34F1B">
          <w:pgSz w:w="15840" w:h="12240" w:orient="landscape"/>
          <w:pgMar w:top="1440" w:right="1440" w:bottom="1440" w:left="1440" w:header="0" w:footer="0" w:gutter="0"/>
          <w:cols w:space="720"/>
          <w:formProt w:val="0"/>
          <w:docGrid w:linePitch="360" w:charSpace="-2049"/>
        </w:sectPr>
      </w:pPr>
    </w:p>
    <w:p w14:paraId="2A608F77" w14:textId="2158D612" w:rsidR="00D06C5E" w:rsidRPr="00901194" w:rsidRDefault="00D06C5E" w:rsidP="000E5D04">
      <w:pPr>
        <w:pStyle w:val="CaptionJH"/>
        <w:spacing w:line="240" w:lineRule="auto"/>
        <w:rPr>
          <w:b/>
          <w:bCs w:val="0"/>
        </w:rPr>
      </w:pPr>
      <w:bookmarkStart w:id="112" w:name="_Toc131186567"/>
      <w:r w:rsidRPr="00901194">
        <w:rPr>
          <w:b/>
          <w:bCs w:val="0"/>
        </w:rPr>
        <w:lastRenderedPageBreak/>
        <w:t>Figure S</w:t>
      </w:r>
      <w:r w:rsidR="00443DA3" w:rsidRPr="00901194">
        <w:rPr>
          <w:b/>
          <w:bCs w:val="0"/>
        </w:rPr>
        <w:t>2.</w:t>
      </w:r>
      <w:r w:rsidRPr="00901194">
        <w:rPr>
          <w:b/>
          <w:bCs w:val="0"/>
        </w:rPr>
        <w:t>4. Authentic standards validating sample annotations.</w:t>
      </w:r>
      <w:bookmarkEnd w:id="112"/>
    </w:p>
    <w:p w14:paraId="4CBB1150" w14:textId="7F08FD1B" w:rsidR="00FA7ED2" w:rsidRPr="00901194" w:rsidRDefault="00D06C5E" w:rsidP="00FA7ED2">
      <w:pPr>
        <w:spacing w:line="240" w:lineRule="auto"/>
        <w:rPr>
          <w:rFonts w:cs="Times New Roman"/>
          <w:i/>
          <w:iCs/>
        </w:rPr>
      </w:pPr>
      <w:r w:rsidRPr="00901194">
        <w:rPr>
          <w:rFonts w:cs="Times New Roman"/>
          <w:i/>
          <w:iCs/>
        </w:rPr>
        <w:t xml:space="preserve">Standards are in black, representative samples are in red, blanks (when displayed) are in green. </w:t>
      </w:r>
      <w:r w:rsidRPr="00901194">
        <w:rPr>
          <w:rFonts w:cs="Times New Roman"/>
          <w:b/>
          <w:i/>
          <w:iCs/>
        </w:rPr>
        <w:t>a</w:t>
      </w:r>
      <w:r w:rsidRPr="00901194">
        <w:rPr>
          <w:rFonts w:cs="Times New Roman"/>
          <w:i/>
          <w:iCs/>
        </w:rPr>
        <w:t xml:space="preserve">, Enoxolone; </w:t>
      </w:r>
      <w:r w:rsidRPr="00901194">
        <w:rPr>
          <w:rFonts w:cs="Times New Roman"/>
          <w:b/>
          <w:i/>
          <w:iCs/>
        </w:rPr>
        <w:t>b</w:t>
      </w:r>
      <w:r w:rsidRPr="00901194">
        <w:rPr>
          <w:rFonts w:cs="Times New Roman"/>
          <w:i/>
          <w:iCs/>
        </w:rPr>
        <w:t xml:space="preserve">, N-acetyl-L-phenylalanine; </w:t>
      </w:r>
      <w:r w:rsidRPr="00901194">
        <w:rPr>
          <w:rFonts w:cs="Times New Roman"/>
          <w:b/>
          <w:i/>
          <w:iCs/>
        </w:rPr>
        <w:t>c</w:t>
      </w:r>
      <w:r w:rsidRPr="00901194">
        <w:rPr>
          <w:rFonts w:cs="Times New Roman"/>
          <w:i/>
          <w:iCs/>
        </w:rPr>
        <w:t xml:space="preserve">, trans-Ferulic acid; </w:t>
      </w:r>
      <w:r w:rsidRPr="00901194">
        <w:rPr>
          <w:rFonts w:cs="Times New Roman"/>
          <w:b/>
          <w:i/>
          <w:iCs/>
        </w:rPr>
        <w:t>d</w:t>
      </w:r>
      <w:r w:rsidRPr="00901194">
        <w:rPr>
          <w:rFonts w:cs="Times New Roman"/>
          <w:i/>
          <w:iCs/>
        </w:rPr>
        <w:t xml:space="preserve">, Lithocholic acid; </w:t>
      </w:r>
      <w:r w:rsidRPr="00901194">
        <w:rPr>
          <w:rFonts w:cs="Times New Roman"/>
          <w:b/>
          <w:i/>
          <w:iCs/>
        </w:rPr>
        <w:t>e</w:t>
      </w:r>
      <w:r w:rsidRPr="00901194">
        <w:rPr>
          <w:rFonts w:cs="Times New Roman"/>
          <w:i/>
          <w:iCs/>
        </w:rPr>
        <w:t xml:space="preserve">, Paraxanthine; </w:t>
      </w:r>
      <w:r w:rsidRPr="00901194">
        <w:rPr>
          <w:rFonts w:cs="Times New Roman"/>
          <w:b/>
          <w:i/>
          <w:iCs/>
        </w:rPr>
        <w:t>f</w:t>
      </w:r>
      <w:r w:rsidRPr="00901194">
        <w:rPr>
          <w:rFonts w:cs="Times New Roman"/>
          <w:i/>
          <w:iCs/>
        </w:rPr>
        <w:t xml:space="preserve">, L-Abrine; </w:t>
      </w:r>
      <w:r w:rsidRPr="00901194">
        <w:rPr>
          <w:rFonts w:cs="Times New Roman"/>
          <w:b/>
          <w:i/>
          <w:iCs/>
        </w:rPr>
        <w:t>g</w:t>
      </w:r>
      <w:r w:rsidRPr="00901194">
        <w:rPr>
          <w:rFonts w:cs="Times New Roman"/>
          <w:i/>
          <w:iCs/>
        </w:rPr>
        <w:t xml:space="preserve">, 13-Docosenamide, (Z)-; </w:t>
      </w:r>
      <w:r w:rsidRPr="00901194">
        <w:rPr>
          <w:rFonts w:cs="Times New Roman"/>
          <w:b/>
          <w:i/>
          <w:iCs/>
        </w:rPr>
        <w:t>h</w:t>
      </w:r>
      <w:r w:rsidRPr="00901194">
        <w:rPr>
          <w:rFonts w:cs="Times New Roman"/>
          <w:i/>
          <w:iCs/>
        </w:rPr>
        <w:t xml:space="preserve">, Hyocholic acid; </w:t>
      </w:r>
      <w:r w:rsidRPr="00901194">
        <w:rPr>
          <w:rFonts w:cs="Times New Roman"/>
          <w:b/>
          <w:i/>
          <w:iCs/>
        </w:rPr>
        <w:t>i</w:t>
      </w:r>
      <w:r w:rsidRPr="00901194">
        <w:rPr>
          <w:rFonts w:cs="Times New Roman"/>
          <w:i/>
          <w:iCs/>
        </w:rPr>
        <w:t xml:space="preserve">, Lenticin; </w:t>
      </w:r>
      <w:r w:rsidRPr="00901194">
        <w:rPr>
          <w:rFonts w:cs="Times New Roman"/>
          <w:b/>
          <w:i/>
          <w:iCs/>
        </w:rPr>
        <w:t>j</w:t>
      </w:r>
      <w:r w:rsidRPr="00901194">
        <w:rPr>
          <w:rFonts w:cs="Times New Roman"/>
          <w:i/>
          <w:iCs/>
        </w:rPr>
        <w:t xml:space="preserve">, Leucine enkephalin; </w:t>
      </w:r>
      <w:r w:rsidRPr="00901194">
        <w:rPr>
          <w:rFonts w:cs="Times New Roman"/>
          <w:b/>
          <w:i/>
          <w:iCs/>
        </w:rPr>
        <w:t>k</w:t>
      </w:r>
      <w:r w:rsidRPr="00901194">
        <w:rPr>
          <w:rFonts w:cs="Times New Roman"/>
          <w:i/>
          <w:iCs/>
        </w:rPr>
        <w:t xml:space="preserve">, L-Saccharopine; </w:t>
      </w:r>
      <w:r w:rsidRPr="00901194">
        <w:rPr>
          <w:rFonts w:cs="Times New Roman"/>
          <w:b/>
          <w:i/>
          <w:iCs/>
        </w:rPr>
        <w:t>l</w:t>
      </w:r>
      <w:r w:rsidRPr="00901194">
        <w:rPr>
          <w:rFonts w:cs="Times New Roman"/>
          <w:i/>
          <w:iCs/>
        </w:rPr>
        <w:t xml:space="preserve">, N-palmitoylglycine; </w:t>
      </w:r>
      <w:r w:rsidRPr="00901194">
        <w:rPr>
          <w:rFonts w:cs="Times New Roman"/>
          <w:b/>
          <w:i/>
          <w:iCs/>
        </w:rPr>
        <w:t>m</w:t>
      </w:r>
      <w:r w:rsidRPr="00901194">
        <w:rPr>
          <w:rFonts w:cs="Times New Roman"/>
          <w:i/>
          <w:iCs/>
        </w:rPr>
        <w:t>, Nicotinamide N-oxide.</w:t>
      </w:r>
    </w:p>
    <w:p w14:paraId="76E67A35" w14:textId="7D6CA409" w:rsidR="00292206" w:rsidRPr="00901194" w:rsidRDefault="00FA7ED2" w:rsidP="00BA119E">
      <w:pPr>
        <w:spacing w:line="259" w:lineRule="auto"/>
        <w:rPr>
          <w:rFonts w:cs="Times New Roman"/>
          <w:i/>
          <w:iCs/>
        </w:rPr>
      </w:pPr>
      <w:r w:rsidRPr="00901194">
        <w:rPr>
          <w:rFonts w:cs="Times New Roman"/>
          <w:i/>
          <w:iCs/>
        </w:rPr>
        <w:br w:type="page"/>
      </w:r>
    </w:p>
    <w:p w14:paraId="2BE4DC87" w14:textId="1134FE68" w:rsidR="00F46DFA" w:rsidRPr="00901194" w:rsidRDefault="00F46DFA" w:rsidP="00D06C5E">
      <w:pPr>
        <w:pStyle w:val="Sub-ChapterHading"/>
      </w:pPr>
      <w:bookmarkStart w:id="113" w:name="_Toc134185998"/>
      <w:r w:rsidRPr="00901194">
        <w:lastRenderedPageBreak/>
        <w:t>Supplementary Tables 2.1-2.4</w:t>
      </w:r>
      <w:bookmarkEnd w:id="113"/>
    </w:p>
    <w:p w14:paraId="7727409C" w14:textId="489710D4" w:rsidR="00274ADB" w:rsidRPr="00901194" w:rsidRDefault="00274ADB" w:rsidP="00F46DFA">
      <w:pPr>
        <w:pStyle w:val="CaptionJH"/>
        <w:rPr>
          <w:b/>
          <w:bCs w:val="0"/>
        </w:rPr>
      </w:pPr>
      <w:bookmarkStart w:id="114" w:name="_Toc131186568"/>
      <w:r w:rsidRPr="00901194">
        <w:rPr>
          <w:b/>
          <w:bCs w:val="0"/>
        </w:rPr>
        <w:t>Table S</w:t>
      </w:r>
      <w:r w:rsidR="00F46DFA" w:rsidRPr="00901194">
        <w:rPr>
          <w:b/>
          <w:bCs w:val="0"/>
        </w:rPr>
        <w:t>2.1:</w:t>
      </w:r>
      <w:r w:rsidRPr="00901194">
        <w:rPr>
          <w:b/>
          <w:bCs w:val="0"/>
        </w:rPr>
        <w:t xml:space="preserve"> Metadata for individual samples.</w:t>
      </w:r>
      <w:bookmarkEnd w:id="114"/>
    </w:p>
    <w:tbl>
      <w:tblPr>
        <w:tblW w:w="6100" w:type="dxa"/>
        <w:tblInd w:w="10" w:type="dxa"/>
        <w:tblCellMar>
          <w:left w:w="10" w:type="dxa"/>
          <w:right w:w="10" w:type="dxa"/>
        </w:tblCellMar>
        <w:tblLook w:val="04A0" w:firstRow="1" w:lastRow="0" w:firstColumn="1" w:lastColumn="0" w:noHBand="0" w:noVBand="1"/>
      </w:tblPr>
      <w:tblGrid>
        <w:gridCol w:w="1120"/>
        <w:gridCol w:w="1220"/>
        <w:gridCol w:w="1840"/>
        <w:gridCol w:w="960"/>
        <w:gridCol w:w="960"/>
      </w:tblGrid>
      <w:tr w:rsidR="00F46DFA" w:rsidRPr="00901194" w14:paraId="6EF8FCB0" w14:textId="77777777" w:rsidTr="00A3769A">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7B6723" w14:textId="77777777" w:rsidR="00F46DFA" w:rsidRPr="00901194" w:rsidRDefault="00F46DF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SampleID</w:t>
            </w:r>
          </w:p>
        </w:tc>
        <w:tc>
          <w:tcPr>
            <w:tcW w:w="1220" w:type="dxa"/>
            <w:tcBorders>
              <w:top w:val="single" w:sz="8" w:space="0" w:color="auto"/>
              <w:left w:val="nil"/>
              <w:bottom w:val="single" w:sz="8" w:space="0" w:color="auto"/>
              <w:right w:val="single" w:sz="8" w:space="0" w:color="auto"/>
            </w:tcBorders>
            <w:shd w:val="clear" w:color="auto" w:fill="auto"/>
            <w:vAlign w:val="center"/>
            <w:hideMark/>
          </w:tcPr>
          <w:p w14:paraId="4830A160" w14:textId="77777777" w:rsidR="00F46DFA" w:rsidRPr="00901194" w:rsidRDefault="00F46DF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Population</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0CABBCDD" w14:textId="77777777" w:rsidR="00F46DFA" w:rsidRPr="00901194" w:rsidRDefault="00F46DF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Industrialization Category</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3792DB9" w14:textId="687D3BEE" w:rsidR="00F46DFA" w:rsidRPr="00901194" w:rsidRDefault="00F46DF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Sex</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ADBD7F7" w14:textId="77777777" w:rsidR="00F46DFA" w:rsidRPr="00901194" w:rsidRDefault="00F46DF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Age</w:t>
            </w:r>
          </w:p>
        </w:tc>
      </w:tr>
      <w:tr w:rsidR="00F46DFA" w:rsidRPr="00901194" w14:paraId="400CEE3D"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102E39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NO01</w:t>
            </w:r>
          </w:p>
        </w:tc>
        <w:tc>
          <w:tcPr>
            <w:tcW w:w="1220" w:type="dxa"/>
            <w:tcBorders>
              <w:top w:val="nil"/>
              <w:left w:val="nil"/>
              <w:bottom w:val="single" w:sz="8" w:space="0" w:color="auto"/>
              <w:right w:val="single" w:sz="8" w:space="0" w:color="auto"/>
            </w:tcBorders>
            <w:shd w:val="clear" w:color="auto" w:fill="auto"/>
            <w:vAlign w:val="center"/>
            <w:hideMark/>
          </w:tcPr>
          <w:p w14:paraId="46E2419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70FA417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4BAEAB1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06E5FC4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23</w:t>
            </w:r>
          </w:p>
        </w:tc>
      </w:tr>
      <w:tr w:rsidR="00F46DFA" w:rsidRPr="00901194" w14:paraId="2E4BB064"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B1C72F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NO02</w:t>
            </w:r>
          </w:p>
        </w:tc>
        <w:tc>
          <w:tcPr>
            <w:tcW w:w="1220" w:type="dxa"/>
            <w:tcBorders>
              <w:top w:val="nil"/>
              <w:left w:val="nil"/>
              <w:bottom w:val="single" w:sz="8" w:space="0" w:color="auto"/>
              <w:right w:val="single" w:sz="8" w:space="0" w:color="auto"/>
            </w:tcBorders>
            <w:shd w:val="clear" w:color="auto" w:fill="auto"/>
            <w:vAlign w:val="center"/>
            <w:hideMark/>
          </w:tcPr>
          <w:p w14:paraId="1D72B77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54F5D66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762F1CC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86F3B8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37</w:t>
            </w:r>
          </w:p>
        </w:tc>
      </w:tr>
      <w:tr w:rsidR="00F46DFA" w:rsidRPr="00901194" w14:paraId="3EEA6510"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8BAB9F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NO03</w:t>
            </w:r>
          </w:p>
        </w:tc>
        <w:tc>
          <w:tcPr>
            <w:tcW w:w="1220" w:type="dxa"/>
            <w:tcBorders>
              <w:top w:val="nil"/>
              <w:left w:val="nil"/>
              <w:bottom w:val="single" w:sz="8" w:space="0" w:color="auto"/>
              <w:right w:val="single" w:sz="8" w:space="0" w:color="auto"/>
            </w:tcBorders>
            <w:shd w:val="clear" w:color="auto" w:fill="auto"/>
            <w:vAlign w:val="center"/>
            <w:hideMark/>
          </w:tcPr>
          <w:p w14:paraId="1E7CA66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2F07777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4C7EA16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310243A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40</w:t>
            </w:r>
          </w:p>
        </w:tc>
      </w:tr>
      <w:tr w:rsidR="00F46DFA" w:rsidRPr="00901194" w14:paraId="6110EA25"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133F94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NO04</w:t>
            </w:r>
          </w:p>
        </w:tc>
        <w:tc>
          <w:tcPr>
            <w:tcW w:w="1220" w:type="dxa"/>
            <w:tcBorders>
              <w:top w:val="nil"/>
              <w:left w:val="nil"/>
              <w:bottom w:val="single" w:sz="8" w:space="0" w:color="auto"/>
              <w:right w:val="single" w:sz="8" w:space="0" w:color="auto"/>
            </w:tcBorders>
            <w:shd w:val="clear" w:color="auto" w:fill="auto"/>
            <w:vAlign w:val="center"/>
            <w:hideMark/>
          </w:tcPr>
          <w:p w14:paraId="01EE997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39825C6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59206E2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4C2FCE7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26</w:t>
            </w:r>
          </w:p>
        </w:tc>
      </w:tr>
      <w:tr w:rsidR="00F46DFA" w:rsidRPr="00901194" w14:paraId="0F87A143"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0F386C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NO05</w:t>
            </w:r>
          </w:p>
        </w:tc>
        <w:tc>
          <w:tcPr>
            <w:tcW w:w="1220" w:type="dxa"/>
            <w:tcBorders>
              <w:top w:val="nil"/>
              <w:left w:val="nil"/>
              <w:bottom w:val="single" w:sz="8" w:space="0" w:color="auto"/>
              <w:right w:val="single" w:sz="8" w:space="0" w:color="auto"/>
            </w:tcBorders>
            <w:shd w:val="clear" w:color="auto" w:fill="auto"/>
            <w:vAlign w:val="center"/>
            <w:hideMark/>
          </w:tcPr>
          <w:p w14:paraId="7985508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0A6E867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4D2A153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627DCF5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28</w:t>
            </w:r>
          </w:p>
        </w:tc>
      </w:tr>
      <w:tr w:rsidR="00F46DFA" w:rsidRPr="00901194" w14:paraId="50CDE7CF"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1422F5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NO06</w:t>
            </w:r>
          </w:p>
        </w:tc>
        <w:tc>
          <w:tcPr>
            <w:tcW w:w="1220" w:type="dxa"/>
            <w:tcBorders>
              <w:top w:val="nil"/>
              <w:left w:val="nil"/>
              <w:bottom w:val="single" w:sz="8" w:space="0" w:color="auto"/>
              <w:right w:val="single" w:sz="8" w:space="0" w:color="auto"/>
            </w:tcBorders>
            <w:shd w:val="clear" w:color="auto" w:fill="auto"/>
            <w:vAlign w:val="center"/>
            <w:hideMark/>
          </w:tcPr>
          <w:p w14:paraId="431F696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271ABEB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4812BAA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118FB2E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28</w:t>
            </w:r>
          </w:p>
        </w:tc>
      </w:tr>
      <w:tr w:rsidR="00F46DFA" w:rsidRPr="00901194" w14:paraId="7FA3ED03"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642BF0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NO07</w:t>
            </w:r>
          </w:p>
        </w:tc>
        <w:tc>
          <w:tcPr>
            <w:tcW w:w="1220" w:type="dxa"/>
            <w:tcBorders>
              <w:top w:val="nil"/>
              <w:left w:val="nil"/>
              <w:bottom w:val="single" w:sz="8" w:space="0" w:color="auto"/>
              <w:right w:val="single" w:sz="8" w:space="0" w:color="auto"/>
            </w:tcBorders>
            <w:shd w:val="clear" w:color="auto" w:fill="auto"/>
            <w:vAlign w:val="center"/>
            <w:hideMark/>
          </w:tcPr>
          <w:p w14:paraId="49A7265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2C75C2C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3CBEEFF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4099BA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32</w:t>
            </w:r>
          </w:p>
        </w:tc>
      </w:tr>
      <w:tr w:rsidR="00F46DFA" w:rsidRPr="00901194" w14:paraId="3D0835AD"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EC88C8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NO08</w:t>
            </w:r>
          </w:p>
        </w:tc>
        <w:tc>
          <w:tcPr>
            <w:tcW w:w="1220" w:type="dxa"/>
            <w:tcBorders>
              <w:top w:val="nil"/>
              <w:left w:val="nil"/>
              <w:bottom w:val="single" w:sz="8" w:space="0" w:color="auto"/>
              <w:right w:val="single" w:sz="8" w:space="0" w:color="auto"/>
            </w:tcBorders>
            <w:shd w:val="clear" w:color="auto" w:fill="auto"/>
            <w:vAlign w:val="center"/>
            <w:hideMark/>
          </w:tcPr>
          <w:p w14:paraId="7EC38AA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2EAC102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19F5559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73E1EB2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32</w:t>
            </w:r>
          </w:p>
        </w:tc>
      </w:tr>
      <w:tr w:rsidR="00F46DFA" w:rsidRPr="00901194" w14:paraId="08616FA9"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F00125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NO09</w:t>
            </w:r>
          </w:p>
        </w:tc>
        <w:tc>
          <w:tcPr>
            <w:tcW w:w="1220" w:type="dxa"/>
            <w:tcBorders>
              <w:top w:val="nil"/>
              <w:left w:val="nil"/>
              <w:bottom w:val="single" w:sz="8" w:space="0" w:color="auto"/>
              <w:right w:val="single" w:sz="8" w:space="0" w:color="auto"/>
            </w:tcBorders>
            <w:shd w:val="clear" w:color="auto" w:fill="auto"/>
            <w:vAlign w:val="center"/>
            <w:hideMark/>
          </w:tcPr>
          <w:p w14:paraId="40CBEA3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69E6428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41935ED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4DA9DBC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34</w:t>
            </w:r>
          </w:p>
        </w:tc>
      </w:tr>
      <w:tr w:rsidR="00F46DFA" w:rsidRPr="00901194" w14:paraId="442004BB"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D055E5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NO10</w:t>
            </w:r>
          </w:p>
        </w:tc>
        <w:tc>
          <w:tcPr>
            <w:tcW w:w="1220" w:type="dxa"/>
            <w:tcBorders>
              <w:top w:val="nil"/>
              <w:left w:val="nil"/>
              <w:bottom w:val="single" w:sz="8" w:space="0" w:color="auto"/>
              <w:right w:val="single" w:sz="8" w:space="0" w:color="auto"/>
            </w:tcBorders>
            <w:shd w:val="clear" w:color="auto" w:fill="auto"/>
            <w:vAlign w:val="center"/>
            <w:hideMark/>
          </w:tcPr>
          <w:p w14:paraId="720209E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5343916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622E013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19F0C0C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41</w:t>
            </w:r>
          </w:p>
        </w:tc>
      </w:tr>
      <w:tr w:rsidR="00F46DFA" w:rsidRPr="00901194" w14:paraId="74AA4248"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B62587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NO11</w:t>
            </w:r>
          </w:p>
        </w:tc>
        <w:tc>
          <w:tcPr>
            <w:tcW w:w="1220" w:type="dxa"/>
            <w:tcBorders>
              <w:top w:val="nil"/>
              <w:left w:val="nil"/>
              <w:bottom w:val="single" w:sz="8" w:space="0" w:color="auto"/>
              <w:right w:val="single" w:sz="8" w:space="0" w:color="auto"/>
            </w:tcBorders>
            <w:shd w:val="clear" w:color="auto" w:fill="auto"/>
            <w:vAlign w:val="center"/>
            <w:hideMark/>
          </w:tcPr>
          <w:p w14:paraId="26E9BC7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6FEF907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54854B3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18A45DA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26</w:t>
            </w:r>
          </w:p>
        </w:tc>
      </w:tr>
      <w:tr w:rsidR="00F46DFA" w:rsidRPr="00901194" w14:paraId="6B8F8865"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2BDCA3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NO12</w:t>
            </w:r>
          </w:p>
        </w:tc>
        <w:tc>
          <w:tcPr>
            <w:tcW w:w="1220" w:type="dxa"/>
            <w:tcBorders>
              <w:top w:val="nil"/>
              <w:left w:val="nil"/>
              <w:bottom w:val="single" w:sz="8" w:space="0" w:color="auto"/>
              <w:right w:val="single" w:sz="8" w:space="0" w:color="auto"/>
            </w:tcBorders>
            <w:shd w:val="clear" w:color="auto" w:fill="auto"/>
            <w:vAlign w:val="center"/>
            <w:hideMark/>
          </w:tcPr>
          <w:p w14:paraId="0603051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3CE6C87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7CA4CB1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591090C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27</w:t>
            </w:r>
          </w:p>
        </w:tc>
      </w:tr>
      <w:tr w:rsidR="00F46DFA" w:rsidRPr="00901194" w14:paraId="079A67A7"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C7083E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NO13</w:t>
            </w:r>
          </w:p>
        </w:tc>
        <w:tc>
          <w:tcPr>
            <w:tcW w:w="1220" w:type="dxa"/>
            <w:tcBorders>
              <w:top w:val="nil"/>
              <w:left w:val="nil"/>
              <w:bottom w:val="single" w:sz="8" w:space="0" w:color="auto"/>
              <w:right w:val="single" w:sz="8" w:space="0" w:color="auto"/>
            </w:tcBorders>
            <w:shd w:val="clear" w:color="auto" w:fill="auto"/>
            <w:vAlign w:val="center"/>
            <w:hideMark/>
          </w:tcPr>
          <w:p w14:paraId="0381F10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2B08F3A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11786AD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53A8A3A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35</w:t>
            </w:r>
          </w:p>
        </w:tc>
      </w:tr>
      <w:tr w:rsidR="00F46DFA" w:rsidRPr="00901194" w14:paraId="545E496E"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987376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NO19</w:t>
            </w:r>
          </w:p>
        </w:tc>
        <w:tc>
          <w:tcPr>
            <w:tcW w:w="1220" w:type="dxa"/>
            <w:tcBorders>
              <w:top w:val="nil"/>
              <w:left w:val="nil"/>
              <w:bottom w:val="single" w:sz="8" w:space="0" w:color="auto"/>
              <w:right w:val="single" w:sz="8" w:space="0" w:color="auto"/>
            </w:tcBorders>
            <w:shd w:val="clear" w:color="auto" w:fill="auto"/>
            <w:vAlign w:val="center"/>
            <w:hideMark/>
          </w:tcPr>
          <w:p w14:paraId="63662E8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6214F53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59114EC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808CAF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32</w:t>
            </w:r>
          </w:p>
        </w:tc>
      </w:tr>
      <w:tr w:rsidR="00F46DFA" w:rsidRPr="00901194" w14:paraId="4A5B221D"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033DE8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NO20</w:t>
            </w:r>
          </w:p>
        </w:tc>
        <w:tc>
          <w:tcPr>
            <w:tcW w:w="1220" w:type="dxa"/>
            <w:tcBorders>
              <w:top w:val="nil"/>
              <w:left w:val="nil"/>
              <w:bottom w:val="single" w:sz="8" w:space="0" w:color="auto"/>
              <w:right w:val="single" w:sz="8" w:space="0" w:color="auto"/>
            </w:tcBorders>
            <w:shd w:val="clear" w:color="auto" w:fill="auto"/>
            <w:vAlign w:val="center"/>
            <w:hideMark/>
          </w:tcPr>
          <w:p w14:paraId="20ED75A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50C85F5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31FF53B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2B3C7B8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26</w:t>
            </w:r>
          </w:p>
        </w:tc>
      </w:tr>
      <w:tr w:rsidR="00F46DFA" w:rsidRPr="00901194" w14:paraId="59CCB44A"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5387DF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NO21</w:t>
            </w:r>
          </w:p>
        </w:tc>
        <w:tc>
          <w:tcPr>
            <w:tcW w:w="1220" w:type="dxa"/>
            <w:tcBorders>
              <w:top w:val="nil"/>
              <w:left w:val="nil"/>
              <w:bottom w:val="single" w:sz="8" w:space="0" w:color="auto"/>
              <w:right w:val="single" w:sz="8" w:space="0" w:color="auto"/>
            </w:tcBorders>
            <w:shd w:val="clear" w:color="auto" w:fill="auto"/>
            <w:vAlign w:val="center"/>
            <w:hideMark/>
          </w:tcPr>
          <w:p w14:paraId="0346296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35AE393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77D6D28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0758193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23</w:t>
            </w:r>
          </w:p>
        </w:tc>
      </w:tr>
      <w:tr w:rsidR="00F46DFA" w:rsidRPr="00901194" w14:paraId="38D52003"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D2D5C2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NO22</w:t>
            </w:r>
          </w:p>
        </w:tc>
        <w:tc>
          <w:tcPr>
            <w:tcW w:w="1220" w:type="dxa"/>
            <w:tcBorders>
              <w:top w:val="nil"/>
              <w:left w:val="nil"/>
              <w:bottom w:val="single" w:sz="8" w:space="0" w:color="auto"/>
              <w:right w:val="single" w:sz="8" w:space="0" w:color="auto"/>
            </w:tcBorders>
            <w:shd w:val="clear" w:color="auto" w:fill="auto"/>
            <w:vAlign w:val="center"/>
            <w:hideMark/>
          </w:tcPr>
          <w:p w14:paraId="7034A21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2E3A9A4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193E6F4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0B40324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26</w:t>
            </w:r>
          </w:p>
        </w:tc>
      </w:tr>
      <w:tr w:rsidR="00F46DFA" w:rsidRPr="00901194" w14:paraId="47576F80"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339ED9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NO23</w:t>
            </w:r>
          </w:p>
        </w:tc>
        <w:tc>
          <w:tcPr>
            <w:tcW w:w="1220" w:type="dxa"/>
            <w:tcBorders>
              <w:top w:val="nil"/>
              <w:left w:val="nil"/>
              <w:bottom w:val="single" w:sz="8" w:space="0" w:color="auto"/>
              <w:right w:val="single" w:sz="8" w:space="0" w:color="auto"/>
            </w:tcBorders>
            <w:shd w:val="clear" w:color="auto" w:fill="auto"/>
            <w:vAlign w:val="center"/>
            <w:hideMark/>
          </w:tcPr>
          <w:p w14:paraId="405D16F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Norman</w:t>
            </w:r>
          </w:p>
        </w:tc>
        <w:tc>
          <w:tcPr>
            <w:tcW w:w="1840" w:type="dxa"/>
            <w:tcBorders>
              <w:top w:val="nil"/>
              <w:left w:val="nil"/>
              <w:bottom w:val="single" w:sz="8" w:space="0" w:color="auto"/>
              <w:right w:val="single" w:sz="8" w:space="0" w:color="auto"/>
            </w:tcBorders>
            <w:shd w:val="clear" w:color="auto" w:fill="auto"/>
            <w:vAlign w:val="center"/>
            <w:hideMark/>
          </w:tcPr>
          <w:p w14:paraId="4E4702C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Urban Industrial</w:t>
            </w:r>
          </w:p>
        </w:tc>
        <w:tc>
          <w:tcPr>
            <w:tcW w:w="960" w:type="dxa"/>
            <w:tcBorders>
              <w:top w:val="nil"/>
              <w:left w:val="nil"/>
              <w:bottom w:val="single" w:sz="8" w:space="0" w:color="auto"/>
              <w:right w:val="single" w:sz="8" w:space="0" w:color="auto"/>
            </w:tcBorders>
            <w:shd w:val="clear" w:color="auto" w:fill="auto"/>
            <w:vAlign w:val="center"/>
            <w:hideMark/>
          </w:tcPr>
          <w:p w14:paraId="15419E1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115A115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26</w:t>
            </w:r>
          </w:p>
        </w:tc>
      </w:tr>
      <w:tr w:rsidR="00F46DFA" w:rsidRPr="00901194" w14:paraId="7325801B"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05D4CE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GU1</w:t>
            </w:r>
          </w:p>
        </w:tc>
        <w:tc>
          <w:tcPr>
            <w:tcW w:w="1220" w:type="dxa"/>
            <w:tcBorders>
              <w:top w:val="nil"/>
              <w:left w:val="nil"/>
              <w:bottom w:val="single" w:sz="8" w:space="0" w:color="auto"/>
              <w:right w:val="single" w:sz="8" w:space="0" w:color="auto"/>
            </w:tcBorders>
            <w:shd w:val="clear" w:color="auto" w:fill="auto"/>
            <w:vAlign w:val="center"/>
            <w:hideMark/>
          </w:tcPr>
          <w:p w14:paraId="165B233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4163AA4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2788938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3D90B2B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52</w:t>
            </w:r>
          </w:p>
        </w:tc>
      </w:tr>
      <w:tr w:rsidR="00F46DFA" w:rsidRPr="00901194" w14:paraId="66B0DE47"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0B0734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GU2</w:t>
            </w:r>
          </w:p>
        </w:tc>
        <w:tc>
          <w:tcPr>
            <w:tcW w:w="1220" w:type="dxa"/>
            <w:tcBorders>
              <w:top w:val="nil"/>
              <w:left w:val="nil"/>
              <w:bottom w:val="single" w:sz="8" w:space="0" w:color="auto"/>
              <w:right w:val="single" w:sz="8" w:space="0" w:color="auto"/>
            </w:tcBorders>
            <w:shd w:val="clear" w:color="auto" w:fill="auto"/>
            <w:vAlign w:val="center"/>
            <w:hideMark/>
          </w:tcPr>
          <w:p w14:paraId="0C438B8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164C122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7F62622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7C5BBEB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19</w:t>
            </w:r>
          </w:p>
        </w:tc>
      </w:tr>
      <w:tr w:rsidR="00F46DFA" w:rsidRPr="00901194" w14:paraId="49F38C0B"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A4C3B9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GU4</w:t>
            </w:r>
          </w:p>
        </w:tc>
        <w:tc>
          <w:tcPr>
            <w:tcW w:w="1220" w:type="dxa"/>
            <w:tcBorders>
              <w:top w:val="nil"/>
              <w:left w:val="nil"/>
              <w:bottom w:val="single" w:sz="8" w:space="0" w:color="auto"/>
              <w:right w:val="single" w:sz="8" w:space="0" w:color="auto"/>
            </w:tcBorders>
            <w:shd w:val="clear" w:color="auto" w:fill="auto"/>
            <w:vAlign w:val="center"/>
            <w:hideMark/>
          </w:tcPr>
          <w:p w14:paraId="4997A62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59CD7E1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3B6ABEA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920CA0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40</w:t>
            </w:r>
          </w:p>
        </w:tc>
      </w:tr>
      <w:tr w:rsidR="00F46DFA" w:rsidRPr="00901194" w14:paraId="6880854A"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F50547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GU6</w:t>
            </w:r>
          </w:p>
        </w:tc>
        <w:tc>
          <w:tcPr>
            <w:tcW w:w="1220" w:type="dxa"/>
            <w:tcBorders>
              <w:top w:val="nil"/>
              <w:left w:val="nil"/>
              <w:bottom w:val="single" w:sz="8" w:space="0" w:color="auto"/>
              <w:right w:val="single" w:sz="8" w:space="0" w:color="auto"/>
            </w:tcBorders>
            <w:shd w:val="clear" w:color="auto" w:fill="auto"/>
            <w:vAlign w:val="center"/>
            <w:hideMark/>
          </w:tcPr>
          <w:p w14:paraId="67C63F1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3B6F1C9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30A982E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720FF03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w:t>
            </w:r>
          </w:p>
        </w:tc>
      </w:tr>
      <w:tr w:rsidR="00F46DFA" w:rsidRPr="00901194" w14:paraId="0925FA44"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586510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GU7</w:t>
            </w:r>
          </w:p>
        </w:tc>
        <w:tc>
          <w:tcPr>
            <w:tcW w:w="1220" w:type="dxa"/>
            <w:tcBorders>
              <w:top w:val="nil"/>
              <w:left w:val="nil"/>
              <w:bottom w:val="single" w:sz="8" w:space="0" w:color="auto"/>
              <w:right w:val="single" w:sz="8" w:space="0" w:color="auto"/>
            </w:tcBorders>
            <w:shd w:val="clear" w:color="auto" w:fill="auto"/>
            <w:vAlign w:val="center"/>
            <w:hideMark/>
          </w:tcPr>
          <w:p w14:paraId="2CDE8D7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70E71DD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6D6FF59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7B2D050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9</w:t>
            </w:r>
          </w:p>
        </w:tc>
      </w:tr>
      <w:tr w:rsidR="00F46DFA" w:rsidRPr="00901194" w14:paraId="2B544DE0"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0FEC2C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GU10</w:t>
            </w:r>
          </w:p>
        </w:tc>
        <w:tc>
          <w:tcPr>
            <w:tcW w:w="1220" w:type="dxa"/>
            <w:tcBorders>
              <w:top w:val="nil"/>
              <w:left w:val="nil"/>
              <w:bottom w:val="single" w:sz="8" w:space="0" w:color="auto"/>
              <w:right w:val="single" w:sz="8" w:space="0" w:color="auto"/>
            </w:tcBorders>
            <w:shd w:val="clear" w:color="auto" w:fill="auto"/>
            <w:vAlign w:val="center"/>
            <w:hideMark/>
          </w:tcPr>
          <w:p w14:paraId="1882BEA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6AD90A9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23795C9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1E0E23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58</w:t>
            </w:r>
          </w:p>
        </w:tc>
      </w:tr>
      <w:tr w:rsidR="00F46DFA" w:rsidRPr="00901194" w14:paraId="54B63574"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C3C4CB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GU11</w:t>
            </w:r>
          </w:p>
        </w:tc>
        <w:tc>
          <w:tcPr>
            <w:tcW w:w="1220" w:type="dxa"/>
            <w:tcBorders>
              <w:top w:val="nil"/>
              <w:left w:val="nil"/>
              <w:bottom w:val="single" w:sz="8" w:space="0" w:color="auto"/>
              <w:right w:val="single" w:sz="8" w:space="0" w:color="auto"/>
            </w:tcBorders>
            <w:shd w:val="clear" w:color="auto" w:fill="auto"/>
            <w:vAlign w:val="center"/>
            <w:hideMark/>
          </w:tcPr>
          <w:p w14:paraId="1056E34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70596DA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31D1C57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5790450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7</w:t>
            </w:r>
          </w:p>
        </w:tc>
      </w:tr>
      <w:tr w:rsidR="00F46DFA" w:rsidRPr="00901194" w14:paraId="0E17C0E5"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D2D774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GU12</w:t>
            </w:r>
          </w:p>
        </w:tc>
        <w:tc>
          <w:tcPr>
            <w:tcW w:w="1220" w:type="dxa"/>
            <w:tcBorders>
              <w:top w:val="nil"/>
              <w:left w:val="nil"/>
              <w:bottom w:val="single" w:sz="8" w:space="0" w:color="auto"/>
              <w:right w:val="single" w:sz="8" w:space="0" w:color="auto"/>
            </w:tcBorders>
            <w:shd w:val="clear" w:color="auto" w:fill="auto"/>
            <w:vAlign w:val="center"/>
            <w:hideMark/>
          </w:tcPr>
          <w:p w14:paraId="044604B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0D2E8D6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4DF3B4D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196D385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16</w:t>
            </w:r>
          </w:p>
        </w:tc>
      </w:tr>
      <w:tr w:rsidR="00F46DFA" w:rsidRPr="00901194" w14:paraId="6DFB498A"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04FCFC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GU13</w:t>
            </w:r>
          </w:p>
        </w:tc>
        <w:tc>
          <w:tcPr>
            <w:tcW w:w="1220" w:type="dxa"/>
            <w:tcBorders>
              <w:top w:val="nil"/>
              <w:left w:val="nil"/>
              <w:bottom w:val="single" w:sz="8" w:space="0" w:color="auto"/>
              <w:right w:val="single" w:sz="8" w:space="0" w:color="auto"/>
            </w:tcBorders>
            <w:shd w:val="clear" w:color="auto" w:fill="auto"/>
            <w:vAlign w:val="center"/>
            <w:hideMark/>
          </w:tcPr>
          <w:p w14:paraId="50E212A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0BF26DF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6E7108F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1712DE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41</w:t>
            </w:r>
          </w:p>
        </w:tc>
      </w:tr>
      <w:tr w:rsidR="00F46DFA" w:rsidRPr="00901194" w14:paraId="43249300"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C4123A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GU17</w:t>
            </w:r>
          </w:p>
        </w:tc>
        <w:tc>
          <w:tcPr>
            <w:tcW w:w="1220" w:type="dxa"/>
            <w:tcBorders>
              <w:top w:val="nil"/>
              <w:left w:val="nil"/>
              <w:bottom w:val="single" w:sz="8" w:space="0" w:color="auto"/>
              <w:right w:val="single" w:sz="8" w:space="0" w:color="auto"/>
            </w:tcBorders>
            <w:shd w:val="clear" w:color="auto" w:fill="auto"/>
            <w:vAlign w:val="center"/>
            <w:hideMark/>
          </w:tcPr>
          <w:p w14:paraId="4A02827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5D54925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107EA51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658F3D0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51</w:t>
            </w:r>
          </w:p>
        </w:tc>
      </w:tr>
      <w:tr w:rsidR="00F46DFA" w:rsidRPr="00901194" w14:paraId="5599789E"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D284AF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GU19</w:t>
            </w:r>
          </w:p>
        </w:tc>
        <w:tc>
          <w:tcPr>
            <w:tcW w:w="1220" w:type="dxa"/>
            <w:tcBorders>
              <w:top w:val="nil"/>
              <w:left w:val="nil"/>
              <w:bottom w:val="single" w:sz="8" w:space="0" w:color="auto"/>
              <w:right w:val="single" w:sz="8" w:space="0" w:color="auto"/>
            </w:tcBorders>
            <w:shd w:val="clear" w:color="auto" w:fill="auto"/>
            <w:vAlign w:val="center"/>
            <w:hideMark/>
          </w:tcPr>
          <w:p w14:paraId="3DD0585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7CD907F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2D14A30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BBFBBE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24</w:t>
            </w:r>
          </w:p>
        </w:tc>
      </w:tr>
      <w:tr w:rsidR="00F46DFA" w:rsidRPr="00901194" w14:paraId="09896F7F"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BB5397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GU20</w:t>
            </w:r>
          </w:p>
        </w:tc>
        <w:tc>
          <w:tcPr>
            <w:tcW w:w="1220" w:type="dxa"/>
            <w:tcBorders>
              <w:top w:val="nil"/>
              <w:left w:val="nil"/>
              <w:bottom w:val="single" w:sz="8" w:space="0" w:color="auto"/>
              <w:right w:val="single" w:sz="8" w:space="0" w:color="auto"/>
            </w:tcBorders>
            <w:shd w:val="clear" w:color="auto" w:fill="auto"/>
            <w:vAlign w:val="center"/>
            <w:hideMark/>
          </w:tcPr>
          <w:p w14:paraId="726A4B9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Guayabo</w:t>
            </w:r>
          </w:p>
        </w:tc>
        <w:tc>
          <w:tcPr>
            <w:tcW w:w="1840" w:type="dxa"/>
            <w:tcBorders>
              <w:top w:val="nil"/>
              <w:left w:val="nil"/>
              <w:bottom w:val="single" w:sz="8" w:space="0" w:color="auto"/>
              <w:right w:val="single" w:sz="8" w:space="0" w:color="auto"/>
            </w:tcBorders>
            <w:shd w:val="clear" w:color="auto" w:fill="auto"/>
            <w:vAlign w:val="center"/>
            <w:hideMark/>
          </w:tcPr>
          <w:p w14:paraId="72E1E27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5EBB26D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4CCDAD9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63</w:t>
            </w:r>
          </w:p>
        </w:tc>
      </w:tr>
      <w:tr w:rsidR="00F46DFA" w:rsidRPr="00901194" w14:paraId="4F0FB7D2"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887155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1TM</w:t>
            </w:r>
          </w:p>
        </w:tc>
        <w:tc>
          <w:tcPr>
            <w:tcW w:w="1220" w:type="dxa"/>
            <w:tcBorders>
              <w:top w:val="nil"/>
              <w:left w:val="nil"/>
              <w:bottom w:val="single" w:sz="8" w:space="0" w:color="auto"/>
              <w:right w:val="single" w:sz="8" w:space="0" w:color="auto"/>
            </w:tcBorders>
            <w:shd w:val="clear" w:color="auto" w:fill="auto"/>
            <w:vAlign w:val="center"/>
            <w:hideMark/>
          </w:tcPr>
          <w:p w14:paraId="714B231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6A8D294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44765EF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C26FEF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61</w:t>
            </w:r>
          </w:p>
        </w:tc>
      </w:tr>
      <w:tr w:rsidR="00F46DFA" w:rsidRPr="00901194" w14:paraId="7597C364"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90BE3A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2TM</w:t>
            </w:r>
          </w:p>
        </w:tc>
        <w:tc>
          <w:tcPr>
            <w:tcW w:w="1220" w:type="dxa"/>
            <w:tcBorders>
              <w:top w:val="nil"/>
              <w:left w:val="nil"/>
              <w:bottom w:val="single" w:sz="8" w:space="0" w:color="auto"/>
              <w:right w:val="single" w:sz="8" w:space="0" w:color="auto"/>
            </w:tcBorders>
            <w:shd w:val="clear" w:color="auto" w:fill="auto"/>
            <w:vAlign w:val="center"/>
            <w:hideMark/>
          </w:tcPr>
          <w:p w14:paraId="482A75B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1FF379E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5A97524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7A3C47B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40</w:t>
            </w:r>
          </w:p>
        </w:tc>
      </w:tr>
      <w:tr w:rsidR="00F46DFA" w:rsidRPr="00901194" w14:paraId="34A0A6AD"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A2FCF0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3TM</w:t>
            </w:r>
          </w:p>
        </w:tc>
        <w:tc>
          <w:tcPr>
            <w:tcW w:w="1220" w:type="dxa"/>
            <w:tcBorders>
              <w:top w:val="nil"/>
              <w:left w:val="nil"/>
              <w:bottom w:val="single" w:sz="8" w:space="0" w:color="auto"/>
              <w:right w:val="single" w:sz="8" w:space="0" w:color="auto"/>
            </w:tcBorders>
            <w:shd w:val="clear" w:color="auto" w:fill="auto"/>
            <w:vAlign w:val="center"/>
            <w:hideMark/>
          </w:tcPr>
          <w:p w14:paraId="772661E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1687191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57DA3B2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6A1B4E8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w:t>
            </w:r>
          </w:p>
        </w:tc>
      </w:tr>
      <w:tr w:rsidR="00F46DFA" w:rsidRPr="00901194" w14:paraId="4CFAE75A"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2270A9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4TM</w:t>
            </w:r>
          </w:p>
        </w:tc>
        <w:tc>
          <w:tcPr>
            <w:tcW w:w="1220" w:type="dxa"/>
            <w:tcBorders>
              <w:top w:val="nil"/>
              <w:left w:val="nil"/>
              <w:bottom w:val="single" w:sz="8" w:space="0" w:color="auto"/>
              <w:right w:val="single" w:sz="8" w:space="0" w:color="auto"/>
            </w:tcBorders>
            <w:shd w:val="clear" w:color="auto" w:fill="auto"/>
            <w:vAlign w:val="center"/>
            <w:hideMark/>
          </w:tcPr>
          <w:p w14:paraId="7ECD671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28F7E3D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48EBD7D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1AC32F5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40</w:t>
            </w:r>
          </w:p>
        </w:tc>
      </w:tr>
      <w:tr w:rsidR="00F46DFA" w:rsidRPr="00901194" w14:paraId="4EA10A8D"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08A58F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6TM</w:t>
            </w:r>
          </w:p>
        </w:tc>
        <w:tc>
          <w:tcPr>
            <w:tcW w:w="1220" w:type="dxa"/>
            <w:tcBorders>
              <w:top w:val="nil"/>
              <w:left w:val="nil"/>
              <w:bottom w:val="single" w:sz="8" w:space="0" w:color="auto"/>
              <w:right w:val="single" w:sz="8" w:space="0" w:color="auto"/>
            </w:tcBorders>
            <w:shd w:val="clear" w:color="auto" w:fill="auto"/>
            <w:vAlign w:val="center"/>
            <w:hideMark/>
          </w:tcPr>
          <w:p w14:paraId="6684ADF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0B129E3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644C9AB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69D9410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31</w:t>
            </w:r>
          </w:p>
        </w:tc>
      </w:tr>
      <w:tr w:rsidR="00F46DFA" w:rsidRPr="00901194" w14:paraId="74639374"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31EAEF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10TM</w:t>
            </w:r>
          </w:p>
        </w:tc>
        <w:tc>
          <w:tcPr>
            <w:tcW w:w="1220" w:type="dxa"/>
            <w:tcBorders>
              <w:top w:val="nil"/>
              <w:left w:val="nil"/>
              <w:bottom w:val="single" w:sz="8" w:space="0" w:color="auto"/>
              <w:right w:val="single" w:sz="8" w:space="0" w:color="auto"/>
            </w:tcBorders>
            <w:shd w:val="clear" w:color="auto" w:fill="auto"/>
            <w:vAlign w:val="center"/>
            <w:hideMark/>
          </w:tcPr>
          <w:p w14:paraId="1B2B419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657F8A4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68E9AD5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67AD09F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8</w:t>
            </w:r>
          </w:p>
        </w:tc>
      </w:tr>
      <w:tr w:rsidR="00F46DFA" w:rsidRPr="00901194" w14:paraId="66B9617D"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B1CC3B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11TM</w:t>
            </w:r>
          </w:p>
        </w:tc>
        <w:tc>
          <w:tcPr>
            <w:tcW w:w="1220" w:type="dxa"/>
            <w:tcBorders>
              <w:top w:val="nil"/>
              <w:left w:val="nil"/>
              <w:bottom w:val="single" w:sz="8" w:space="0" w:color="auto"/>
              <w:right w:val="single" w:sz="8" w:space="0" w:color="auto"/>
            </w:tcBorders>
            <w:shd w:val="clear" w:color="auto" w:fill="auto"/>
            <w:vAlign w:val="center"/>
            <w:hideMark/>
          </w:tcPr>
          <w:p w14:paraId="098D705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121B952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47366B1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0DB7FED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39</w:t>
            </w:r>
          </w:p>
        </w:tc>
      </w:tr>
      <w:tr w:rsidR="00F46DFA" w:rsidRPr="00901194" w14:paraId="6E92B279"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0DDE64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14TM</w:t>
            </w:r>
          </w:p>
        </w:tc>
        <w:tc>
          <w:tcPr>
            <w:tcW w:w="1220" w:type="dxa"/>
            <w:tcBorders>
              <w:top w:val="nil"/>
              <w:left w:val="nil"/>
              <w:bottom w:val="single" w:sz="8" w:space="0" w:color="auto"/>
              <w:right w:val="single" w:sz="8" w:space="0" w:color="auto"/>
            </w:tcBorders>
            <w:shd w:val="clear" w:color="auto" w:fill="auto"/>
            <w:vAlign w:val="center"/>
            <w:hideMark/>
          </w:tcPr>
          <w:p w14:paraId="0BD7306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5968520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121EDCD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450BBE5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77</w:t>
            </w:r>
          </w:p>
        </w:tc>
      </w:tr>
      <w:tr w:rsidR="00F46DFA" w:rsidRPr="00901194" w14:paraId="2286A274"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CD5D11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16TM</w:t>
            </w:r>
          </w:p>
        </w:tc>
        <w:tc>
          <w:tcPr>
            <w:tcW w:w="1220" w:type="dxa"/>
            <w:tcBorders>
              <w:top w:val="nil"/>
              <w:left w:val="nil"/>
              <w:bottom w:val="single" w:sz="8" w:space="0" w:color="auto"/>
              <w:right w:val="single" w:sz="8" w:space="0" w:color="auto"/>
            </w:tcBorders>
            <w:shd w:val="clear" w:color="auto" w:fill="auto"/>
            <w:vAlign w:val="center"/>
            <w:hideMark/>
          </w:tcPr>
          <w:p w14:paraId="01C3CA1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4F2D4AB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179857A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4A6868B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38</w:t>
            </w:r>
          </w:p>
        </w:tc>
      </w:tr>
      <w:tr w:rsidR="00F46DFA" w:rsidRPr="00901194" w14:paraId="4266FF9E"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21311C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17TM</w:t>
            </w:r>
          </w:p>
        </w:tc>
        <w:tc>
          <w:tcPr>
            <w:tcW w:w="1220" w:type="dxa"/>
            <w:tcBorders>
              <w:top w:val="nil"/>
              <w:left w:val="nil"/>
              <w:bottom w:val="single" w:sz="8" w:space="0" w:color="auto"/>
              <w:right w:val="single" w:sz="8" w:space="0" w:color="auto"/>
            </w:tcBorders>
            <w:shd w:val="clear" w:color="auto" w:fill="auto"/>
            <w:vAlign w:val="center"/>
            <w:hideMark/>
          </w:tcPr>
          <w:p w14:paraId="509E171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5BE8F41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12E8362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717220F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7</w:t>
            </w:r>
          </w:p>
        </w:tc>
      </w:tr>
      <w:tr w:rsidR="00F46DFA" w:rsidRPr="00901194" w14:paraId="3059ADAD"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469154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18TM</w:t>
            </w:r>
          </w:p>
        </w:tc>
        <w:tc>
          <w:tcPr>
            <w:tcW w:w="1220" w:type="dxa"/>
            <w:tcBorders>
              <w:top w:val="nil"/>
              <w:left w:val="nil"/>
              <w:bottom w:val="single" w:sz="8" w:space="0" w:color="auto"/>
              <w:right w:val="single" w:sz="8" w:space="0" w:color="auto"/>
            </w:tcBorders>
            <w:shd w:val="clear" w:color="auto" w:fill="auto"/>
            <w:vAlign w:val="center"/>
            <w:hideMark/>
          </w:tcPr>
          <w:p w14:paraId="4E615C0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0814EE6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2609FE0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6862C62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13</w:t>
            </w:r>
          </w:p>
        </w:tc>
      </w:tr>
      <w:tr w:rsidR="00F46DFA" w:rsidRPr="00901194" w14:paraId="66861E38"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B688CF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26TM</w:t>
            </w:r>
          </w:p>
        </w:tc>
        <w:tc>
          <w:tcPr>
            <w:tcW w:w="1220" w:type="dxa"/>
            <w:tcBorders>
              <w:top w:val="nil"/>
              <w:left w:val="nil"/>
              <w:bottom w:val="single" w:sz="8" w:space="0" w:color="auto"/>
              <w:right w:val="single" w:sz="8" w:space="0" w:color="auto"/>
            </w:tcBorders>
            <w:shd w:val="clear" w:color="auto" w:fill="auto"/>
            <w:vAlign w:val="center"/>
            <w:hideMark/>
          </w:tcPr>
          <w:p w14:paraId="74F454F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5C6B756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2183876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4DEF0B0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36</w:t>
            </w:r>
          </w:p>
        </w:tc>
      </w:tr>
      <w:tr w:rsidR="00F46DFA" w:rsidRPr="00901194" w14:paraId="1FD5F445"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2424A0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27TM</w:t>
            </w:r>
          </w:p>
        </w:tc>
        <w:tc>
          <w:tcPr>
            <w:tcW w:w="1220" w:type="dxa"/>
            <w:tcBorders>
              <w:top w:val="nil"/>
              <w:left w:val="nil"/>
              <w:bottom w:val="single" w:sz="8" w:space="0" w:color="auto"/>
              <w:right w:val="single" w:sz="8" w:space="0" w:color="auto"/>
            </w:tcBorders>
            <w:shd w:val="clear" w:color="auto" w:fill="auto"/>
            <w:vAlign w:val="center"/>
            <w:hideMark/>
          </w:tcPr>
          <w:p w14:paraId="041E8F7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23718B9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5603DEE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6D8B9B6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13</w:t>
            </w:r>
          </w:p>
        </w:tc>
      </w:tr>
      <w:tr w:rsidR="00F46DFA" w:rsidRPr="00901194" w14:paraId="3C3727AD"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E08CEE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31TM</w:t>
            </w:r>
          </w:p>
        </w:tc>
        <w:tc>
          <w:tcPr>
            <w:tcW w:w="1220" w:type="dxa"/>
            <w:tcBorders>
              <w:top w:val="nil"/>
              <w:left w:val="nil"/>
              <w:bottom w:val="single" w:sz="8" w:space="0" w:color="auto"/>
              <w:right w:val="single" w:sz="8" w:space="0" w:color="auto"/>
            </w:tcBorders>
            <w:shd w:val="clear" w:color="auto" w:fill="auto"/>
            <w:vAlign w:val="center"/>
            <w:hideMark/>
          </w:tcPr>
          <w:p w14:paraId="62F6A44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Tambo de Mora</w:t>
            </w:r>
          </w:p>
        </w:tc>
        <w:tc>
          <w:tcPr>
            <w:tcW w:w="1840" w:type="dxa"/>
            <w:tcBorders>
              <w:top w:val="nil"/>
              <w:left w:val="nil"/>
              <w:bottom w:val="single" w:sz="8" w:space="0" w:color="auto"/>
              <w:right w:val="single" w:sz="8" w:space="0" w:color="auto"/>
            </w:tcBorders>
            <w:shd w:val="clear" w:color="auto" w:fill="auto"/>
            <w:vAlign w:val="center"/>
            <w:hideMark/>
          </w:tcPr>
          <w:p w14:paraId="2B09E7E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Industrial</w:t>
            </w:r>
          </w:p>
        </w:tc>
        <w:tc>
          <w:tcPr>
            <w:tcW w:w="960" w:type="dxa"/>
            <w:tcBorders>
              <w:top w:val="nil"/>
              <w:left w:val="nil"/>
              <w:bottom w:val="single" w:sz="8" w:space="0" w:color="auto"/>
              <w:right w:val="single" w:sz="8" w:space="0" w:color="auto"/>
            </w:tcBorders>
            <w:shd w:val="clear" w:color="auto" w:fill="auto"/>
            <w:vAlign w:val="center"/>
            <w:hideMark/>
          </w:tcPr>
          <w:p w14:paraId="361353A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1E7CFE5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28</w:t>
            </w:r>
          </w:p>
        </w:tc>
      </w:tr>
      <w:tr w:rsidR="00F46DFA" w:rsidRPr="00901194" w14:paraId="3D0A8074"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AF9F54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TM10_01</w:t>
            </w:r>
          </w:p>
        </w:tc>
        <w:tc>
          <w:tcPr>
            <w:tcW w:w="1220" w:type="dxa"/>
            <w:tcBorders>
              <w:top w:val="nil"/>
              <w:left w:val="nil"/>
              <w:bottom w:val="single" w:sz="8" w:space="0" w:color="auto"/>
              <w:right w:val="single" w:sz="8" w:space="0" w:color="auto"/>
            </w:tcBorders>
            <w:shd w:val="clear" w:color="auto" w:fill="auto"/>
            <w:vAlign w:val="center"/>
            <w:hideMark/>
          </w:tcPr>
          <w:p w14:paraId="5243B86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0B061AD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043F7DC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12C8D11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55</w:t>
            </w:r>
          </w:p>
        </w:tc>
      </w:tr>
      <w:tr w:rsidR="00F46DFA" w:rsidRPr="00901194" w14:paraId="395B1105"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6EEA9D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TM13_01</w:t>
            </w:r>
          </w:p>
        </w:tc>
        <w:tc>
          <w:tcPr>
            <w:tcW w:w="1220" w:type="dxa"/>
            <w:tcBorders>
              <w:top w:val="nil"/>
              <w:left w:val="nil"/>
              <w:bottom w:val="single" w:sz="8" w:space="0" w:color="auto"/>
              <w:right w:val="single" w:sz="8" w:space="0" w:color="auto"/>
            </w:tcBorders>
            <w:shd w:val="clear" w:color="auto" w:fill="auto"/>
            <w:vAlign w:val="center"/>
            <w:hideMark/>
          </w:tcPr>
          <w:p w14:paraId="1CF6BD2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40C35A6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21702E6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67B22C5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53</w:t>
            </w:r>
          </w:p>
        </w:tc>
      </w:tr>
      <w:tr w:rsidR="00F46DFA" w:rsidRPr="00901194" w14:paraId="4FDB3154"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5A8AE6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TM23_02</w:t>
            </w:r>
          </w:p>
        </w:tc>
        <w:tc>
          <w:tcPr>
            <w:tcW w:w="1220" w:type="dxa"/>
            <w:tcBorders>
              <w:top w:val="nil"/>
              <w:left w:val="nil"/>
              <w:bottom w:val="single" w:sz="8" w:space="0" w:color="auto"/>
              <w:right w:val="single" w:sz="8" w:space="0" w:color="auto"/>
            </w:tcBorders>
            <w:shd w:val="clear" w:color="auto" w:fill="auto"/>
            <w:vAlign w:val="center"/>
            <w:hideMark/>
          </w:tcPr>
          <w:p w14:paraId="6336969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403C8A5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6D949AE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7908561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51</w:t>
            </w:r>
          </w:p>
        </w:tc>
      </w:tr>
      <w:tr w:rsidR="00F46DFA" w:rsidRPr="00901194" w14:paraId="0ECA32DA"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7004B4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TM01_01</w:t>
            </w:r>
          </w:p>
        </w:tc>
        <w:tc>
          <w:tcPr>
            <w:tcW w:w="1220" w:type="dxa"/>
            <w:tcBorders>
              <w:top w:val="nil"/>
              <w:left w:val="nil"/>
              <w:bottom w:val="single" w:sz="8" w:space="0" w:color="auto"/>
              <w:right w:val="single" w:sz="8" w:space="0" w:color="auto"/>
            </w:tcBorders>
            <w:shd w:val="clear" w:color="auto" w:fill="auto"/>
            <w:vAlign w:val="center"/>
            <w:hideMark/>
          </w:tcPr>
          <w:p w14:paraId="515545A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4F5ED7F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0490CC1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41F27DA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55</w:t>
            </w:r>
          </w:p>
        </w:tc>
      </w:tr>
      <w:tr w:rsidR="00F46DFA" w:rsidRPr="00901194" w14:paraId="0E15F7ED"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E0D92D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TM09_02</w:t>
            </w:r>
          </w:p>
        </w:tc>
        <w:tc>
          <w:tcPr>
            <w:tcW w:w="1220" w:type="dxa"/>
            <w:tcBorders>
              <w:top w:val="nil"/>
              <w:left w:val="nil"/>
              <w:bottom w:val="single" w:sz="8" w:space="0" w:color="auto"/>
              <w:right w:val="single" w:sz="8" w:space="0" w:color="auto"/>
            </w:tcBorders>
            <w:shd w:val="clear" w:color="auto" w:fill="auto"/>
            <w:vAlign w:val="center"/>
            <w:hideMark/>
          </w:tcPr>
          <w:p w14:paraId="69C7EE9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3618193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558BA24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68DD551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32</w:t>
            </w:r>
          </w:p>
        </w:tc>
      </w:tr>
      <w:tr w:rsidR="00F46DFA" w:rsidRPr="00901194" w14:paraId="13A704B8"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BD4E4C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TM11_04</w:t>
            </w:r>
          </w:p>
        </w:tc>
        <w:tc>
          <w:tcPr>
            <w:tcW w:w="1220" w:type="dxa"/>
            <w:tcBorders>
              <w:top w:val="nil"/>
              <w:left w:val="nil"/>
              <w:bottom w:val="single" w:sz="8" w:space="0" w:color="auto"/>
              <w:right w:val="single" w:sz="8" w:space="0" w:color="auto"/>
            </w:tcBorders>
            <w:shd w:val="clear" w:color="auto" w:fill="auto"/>
            <w:vAlign w:val="center"/>
            <w:hideMark/>
          </w:tcPr>
          <w:p w14:paraId="3159DAD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5F2E6D8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132DEAE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6399859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40</w:t>
            </w:r>
          </w:p>
        </w:tc>
      </w:tr>
      <w:tr w:rsidR="00F46DFA" w:rsidRPr="00901194" w14:paraId="28C6C23F"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96CBAE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TM17_02</w:t>
            </w:r>
          </w:p>
        </w:tc>
        <w:tc>
          <w:tcPr>
            <w:tcW w:w="1220" w:type="dxa"/>
            <w:tcBorders>
              <w:top w:val="nil"/>
              <w:left w:val="nil"/>
              <w:bottom w:val="single" w:sz="8" w:space="0" w:color="auto"/>
              <w:right w:val="single" w:sz="8" w:space="0" w:color="auto"/>
            </w:tcBorders>
            <w:shd w:val="clear" w:color="auto" w:fill="auto"/>
            <w:vAlign w:val="center"/>
            <w:hideMark/>
          </w:tcPr>
          <w:p w14:paraId="2B4BAC6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1122B06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7AD570D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6956249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35</w:t>
            </w:r>
          </w:p>
        </w:tc>
      </w:tr>
      <w:tr w:rsidR="00F46DFA" w:rsidRPr="00901194" w14:paraId="40B2522C"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C16BB5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TM20_03</w:t>
            </w:r>
          </w:p>
        </w:tc>
        <w:tc>
          <w:tcPr>
            <w:tcW w:w="1220" w:type="dxa"/>
            <w:tcBorders>
              <w:top w:val="nil"/>
              <w:left w:val="nil"/>
              <w:bottom w:val="single" w:sz="8" w:space="0" w:color="auto"/>
              <w:right w:val="single" w:sz="8" w:space="0" w:color="auto"/>
            </w:tcBorders>
            <w:shd w:val="clear" w:color="auto" w:fill="auto"/>
            <w:vAlign w:val="center"/>
            <w:hideMark/>
          </w:tcPr>
          <w:p w14:paraId="3F1E956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1356A0A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7D5E19C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1E0F015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37</w:t>
            </w:r>
          </w:p>
        </w:tc>
      </w:tr>
      <w:tr w:rsidR="00F46DFA" w:rsidRPr="00901194" w14:paraId="0F280835"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407425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TM22_03</w:t>
            </w:r>
          </w:p>
        </w:tc>
        <w:tc>
          <w:tcPr>
            <w:tcW w:w="1220" w:type="dxa"/>
            <w:tcBorders>
              <w:top w:val="nil"/>
              <w:left w:val="nil"/>
              <w:bottom w:val="single" w:sz="8" w:space="0" w:color="auto"/>
              <w:right w:val="single" w:sz="8" w:space="0" w:color="auto"/>
            </w:tcBorders>
            <w:shd w:val="clear" w:color="auto" w:fill="auto"/>
            <w:vAlign w:val="center"/>
            <w:hideMark/>
          </w:tcPr>
          <w:p w14:paraId="7588F41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2208490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32E6805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4FD73C1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29</w:t>
            </w:r>
          </w:p>
        </w:tc>
      </w:tr>
      <w:tr w:rsidR="00F46DFA" w:rsidRPr="00901194" w14:paraId="10C9283C"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DCF9D4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TM25_03</w:t>
            </w:r>
          </w:p>
        </w:tc>
        <w:tc>
          <w:tcPr>
            <w:tcW w:w="1220" w:type="dxa"/>
            <w:tcBorders>
              <w:top w:val="nil"/>
              <w:left w:val="nil"/>
              <w:bottom w:val="single" w:sz="8" w:space="0" w:color="auto"/>
              <w:right w:val="single" w:sz="8" w:space="0" w:color="auto"/>
            </w:tcBorders>
            <w:shd w:val="clear" w:color="auto" w:fill="auto"/>
            <w:vAlign w:val="center"/>
            <w:hideMark/>
          </w:tcPr>
          <w:p w14:paraId="70D1F70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41FE848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5C2F503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1E251CA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38</w:t>
            </w:r>
          </w:p>
        </w:tc>
      </w:tr>
      <w:tr w:rsidR="00F46DFA" w:rsidRPr="00901194" w14:paraId="25269A18"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019390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TM29_01</w:t>
            </w:r>
          </w:p>
        </w:tc>
        <w:tc>
          <w:tcPr>
            <w:tcW w:w="1220" w:type="dxa"/>
            <w:tcBorders>
              <w:top w:val="nil"/>
              <w:left w:val="nil"/>
              <w:bottom w:val="single" w:sz="8" w:space="0" w:color="auto"/>
              <w:right w:val="single" w:sz="8" w:space="0" w:color="auto"/>
            </w:tcBorders>
            <w:shd w:val="clear" w:color="auto" w:fill="auto"/>
            <w:vAlign w:val="center"/>
            <w:hideMark/>
          </w:tcPr>
          <w:p w14:paraId="32AE647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Burkina Faso</w:t>
            </w:r>
          </w:p>
        </w:tc>
        <w:tc>
          <w:tcPr>
            <w:tcW w:w="1840" w:type="dxa"/>
            <w:tcBorders>
              <w:top w:val="nil"/>
              <w:left w:val="nil"/>
              <w:bottom w:val="single" w:sz="8" w:space="0" w:color="auto"/>
              <w:right w:val="single" w:sz="8" w:space="0" w:color="auto"/>
            </w:tcBorders>
            <w:shd w:val="clear" w:color="auto" w:fill="auto"/>
            <w:vAlign w:val="center"/>
            <w:hideMark/>
          </w:tcPr>
          <w:p w14:paraId="6751F52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4E37195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32D4B4B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73</w:t>
            </w:r>
          </w:p>
        </w:tc>
      </w:tr>
      <w:tr w:rsidR="00F46DFA" w:rsidRPr="00901194" w14:paraId="3EE21863"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4F23F9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HCO01</w:t>
            </w:r>
          </w:p>
        </w:tc>
        <w:tc>
          <w:tcPr>
            <w:tcW w:w="1220" w:type="dxa"/>
            <w:tcBorders>
              <w:top w:val="nil"/>
              <w:left w:val="nil"/>
              <w:bottom w:val="single" w:sz="8" w:space="0" w:color="auto"/>
              <w:right w:val="single" w:sz="8" w:space="0" w:color="auto"/>
            </w:tcBorders>
            <w:shd w:val="clear" w:color="auto" w:fill="auto"/>
            <w:vAlign w:val="center"/>
            <w:hideMark/>
          </w:tcPr>
          <w:p w14:paraId="6C7F736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707A280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195F766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7E4F2F9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36</w:t>
            </w:r>
          </w:p>
        </w:tc>
      </w:tr>
      <w:tr w:rsidR="00F46DFA" w:rsidRPr="00901194" w14:paraId="46BB5EC6"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2CE681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HCO03</w:t>
            </w:r>
          </w:p>
        </w:tc>
        <w:tc>
          <w:tcPr>
            <w:tcW w:w="1220" w:type="dxa"/>
            <w:tcBorders>
              <w:top w:val="nil"/>
              <w:left w:val="nil"/>
              <w:bottom w:val="single" w:sz="8" w:space="0" w:color="auto"/>
              <w:right w:val="single" w:sz="8" w:space="0" w:color="auto"/>
            </w:tcBorders>
            <w:shd w:val="clear" w:color="auto" w:fill="auto"/>
            <w:vAlign w:val="center"/>
            <w:hideMark/>
          </w:tcPr>
          <w:p w14:paraId="437C9AF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1E52CB2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69498A6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4550C5A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w:t>
            </w:r>
          </w:p>
        </w:tc>
      </w:tr>
      <w:tr w:rsidR="00F46DFA" w:rsidRPr="00901194" w14:paraId="3EA11754"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D2FBA3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HCO09</w:t>
            </w:r>
          </w:p>
        </w:tc>
        <w:tc>
          <w:tcPr>
            <w:tcW w:w="1220" w:type="dxa"/>
            <w:tcBorders>
              <w:top w:val="nil"/>
              <w:left w:val="nil"/>
              <w:bottom w:val="single" w:sz="8" w:space="0" w:color="auto"/>
              <w:right w:val="single" w:sz="8" w:space="0" w:color="auto"/>
            </w:tcBorders>
            <w:shd w:val="clear" w:color="auto" w:fill="auto"/>
            <w:vAlign w:val="center"/>
            <w:hideMark/>
          </w:tcPr>
          <w:p w14:paraId="4B083D4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1623B07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7234F59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74BE2BB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13</w:t>
            </w:r>
          </w:p>
        </w:tc>
      </w:tr>
      <w:tr w:rsidR="00F46DFA" w:rsidRPr="00901194" w14:paraId="6D1330DA"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508BC5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HCO10</w:t>
            </w:r>
          </w:p>
        </w:tc>
        <w:tc>
          <w:tcPr>
            <w:tcW w:w="1220" w:type="dxa"/>
            <w:tcBorders>
              <w:top w:val="nil"/>
              <w:left w:val="nil"/>
              <w:bottom w:val="single" w:sz="8" w:space="0" w:color="auto"/>
              <w:right w:val="single" w:sz="8" w:space="0" w:color="auto"/>
            </w:tcBorders>
            <w:shd w:val="clear" w:color="auto" w:fill="auto"/>
            <w:vAlign w:val="center"/>
            <w:hideMark/>
          </w:tcPr>
          <w:p w14:paraId="7B2F4D9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60C0AC3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5A9AA3E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798E8F0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10</w:t>
            </w:r>
          </w:p>
        </w:tc>
      </w:tr>
      <w:tr w:rsidR="00F46DFA" w:rsidRPr="00901194" w14:paraId="15B2C120"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446058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HCO11</w:t>
            </w:r>
          </w:p>
        </w:tc>
        <w:tc>
          <w:tcPr>
            <w:tcW w:w="1220" w:type="dxa"/>
            <w:tcBorders>
              <w:top w:val="nil"/>
              <w:left w:val="nil"/>
              <w:bottom w:val="single" w:sz="8" w:space="0" w:color="auto"/>
              <w:right w:val="single" w:sz="8" w:space="0" w:color="auto"/>
            </w:tcBorders>
            <w:shd w:val="clear" w:color="auto" w:fill="auto"/>
            <w:vAlign w:val="center"/>
            <w:hideMark/>
          </w:tcPr>
          <w:p w14:paraId="5D4E8F9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29E675C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0940634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062D5F6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36</w:t>
            </w:r>
          </w:p>
        </w:tc>
      </w:tr>
      <w:tr w:rsidR="00F46DFA" w:rsidRPr="00901194" w14:paraId="2B549375"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5A7AB0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HCO12</w:t>
            </w:r>
          </w:p>
        </w:tc>
        <w:tc>
          <w:tcPr>
            <w:tcW w:w="1220" w:type="dxa"/>
            <w:tcBorders>
              <w:top w:val="nil"/>
              <w:left w:val="nil"/>
              <w:bottom w:val="single" w:sz="8" w:space="0" w:color="auto"/>
              <w:right w:val="single" w:sz="8" w:space="0" w:color="auto"/>
            </w:tcBorders>
            <w:shd w:val="clear" w:color="auto" w:fill="auto"/>
            <w:vAlign w:val="center"/>
            <w:hideMark/>
          </w:tcPr>
          <w:p w14:paraId="0C58696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36CF9F8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5627F07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5540A05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35</w:t>
            </w:r>
          </w:p>
        </w:tc>
      </w:tr>
      <w:tr w:rsidR="00F46DFA" w:rsidRPr="00901194" w14:paraId="5DD8A73E"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6A9C58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HCO13</w:t>
            </w:r>
          </w:p>
        </w:tc>
        <w:tc>
          <w:tcPr>
            <w:tcW w:w="1220" w:type="dxa"/>
            <w:tcBorders>
              <w:top w:val="nil"/>
              <w:left w:val="nil"/>
              <w:bottom w:val="single" w:sz="8" w:space="0" w:color="auto"/>
              <w:right w:val="single" w:sz="8" w:space="0" w:color="auto"/>
            </w:tcBorders>
            <w:shd w:val="clear" w:color="auto" w:fill="auto"/>
            <w:vAlign w:val="center"/>
            <w:hideMark/>
          </w:tcPr>
          <w:p w14:paraId="1A0B6D3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436A828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681EEFF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5E92FB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9</w:t>
            </w:r>
          </w:p>
        </w:tc>
      </w:tr>
      <w:tr w:rsidR="00F46DFA" w:rsidRPr="00901194" w14:paraId="626D01E3"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B94E9F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HCO14</w:t>
            </w:r>
          </w:p>
        </w:tc>
        <w:tc>
          <w:tcPr>
            <w:tcW w:w="1220" w:type="dxa"/>
            <w:tcBorders>
              <w:top w:val="nil"/>
              <w:left w:val="nil"/>
              <w:bottom w:val="single" w:sz="8" w:space="0" w:color="auto"/>
              <w:right w:val="single" w:sz="8" w:space="0" w:color="auto"/>
            </w:tcBorders>
            <w:shd w:val="clear" w:color="auto" w:fill="auto"/>
            <w:vAlign w:val="center"/>
            <w:hideMark/>
          </w:tcPr>
          <w:p w14:paraId="7AE0668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0DCADD1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3A90286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476AAC9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34</w:t>
            </w:r>
          </w:p>
        </w:tc>
      </w:tr>
      <w:tr w:rsidR="00F46DFA" w:rsidRPr="00901194" w14:paraId="5AE23A34"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AEE4F2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HCO15</w:t>
            </w:r>
          </w:p>
        </w:tc>
        <w:tc>
          <w:tcPr>
            <w:tcW w:w="1220" w:type="dxa"/>
            <w:tcBorders>
              <w:top w:val="nil"/>
              <w:left w:val="nil"/>
              <w:bottom w:val="single" w:sz="8" w:space="0" w:color="auto"/>
              <w:right w:val="single" w:sz="8" w:space="0" w:color="auto"/>
            </w:tcBorders>
            <w:shd w:val="clear" w:color="auto" w:fill="auto"/>
            <w:vAlign w:val="center"/>
            <w:hideMark/>
          </w:tcPr>
          <w:p w14:paraId="735FAEB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38BF502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1E725A0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23F3CBE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63</w:t>
            </w:r>
          </w:p>
        </w:tc>
      </w:tr>
      <w:tr w:rsidR="00F46DFA" w:rsidRPr="00901194" w14:paraId="00EC884D"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33DFBC3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HCO16</w:t>
            </w:r>
          </w:p>
        </w:tc>
        <w:tc>
          <w:tcPr>
            <w:tcW w:w="1220" w:type="dxa"/>
            <w:tcBorders>
              <w:top w:val="nil"/>
              <w:left w:val="nil"/>
              <w:bottom w:val="single" w:sz="8" w:space="0" w:color="auto"/>
              <w:right w:val="single" w:sz="8" w:space="0" w:color="auto"/>
            </w:tcBorders>
            <w:shd w:val="clear" w:color="auto" w:fill="auto"/>
            <w:vAlign w:val="center"/>
            <w:hideMark/>
          </w:tcPr>
          <w:p w14:paraId="2943CC2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28FC46B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7131C40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1D3B244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11</w:t>
            </w:r>
          </w:p>
        </w:tc>
      </w:tr>
      <w:tr w:rsidR="00F46DFA" w:rsidRPr="00901194" w14:paraId="2C4D7F76"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D359BC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HCO17</w:t>
            </w:r>
          </w:p>
        </w:tc>
        <w:tc>
          <w:tcPr>
            <w:tcW w:w="1220" w:type="dxa"/>
            <w:tcBorders>
              <w:top w:val="nil"/>
              <w:left w:val="nil"/>
              <w:bottom w:val="single" w:sz="8" w:space="0" w:color="auto"/>
              <w:right w:val="single" w:sz="8" w:space="0" w:color="auto"/>
            </w:tcBorders>
            <w:shd w:val="clear" w:color="auto" w:fill="auto"/>
            <w:vAlign w:val="center"/>
            <w:hideMark/>
          </w:tcPr>
          <w:p w14:paraId="5CA62F2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6E6B0AC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1B8920C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76BC2E6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7</w:t>
            </w:r>
          </w:p>
        </w:tc>
      </w:tr>
      <w:tr w:rsidR="00F46DFA" w:rsidRPr="00901194" w14:paraId="748463C7"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341F9B8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HCO18</w:t>
            </w:r>
          </w:p>
        </w:tc>
        <w:tc>
          <w:tcPr>
            <w:tcW w:w="1220" w:type="dxa"/>
            <w:tcBorders>
              <w:top w:val="nil"/>
              <w:left w:val="nil"/>
              <w:bottom w:val="single" w:sz="8" w:space="0" w:color="auto"/>
              <w:right w:val="single" w:sz="8" w:space="0" w:color="auto"/>
            </w:tcBorders>
            <w:shd w:val="clear" w:color="auto" w:fill="auto"/>
            <w:vAlign w:val="center"/>
            <w:hideMark/>
          </w:tcPr>
          <w:p w14:paraId="3B9E2C5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3E18A69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52BC525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1DAF98C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11</w:t>
            </w:r>
          </w:p>
        </w:tc>
      </w:tr>
      <w:tr w:rsidR="00F46DFA" w:rsidRPr="00901194" w14:paraId="149CDE39"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5F4BB9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HCO21</w:t>
            </w:r>
          </w:p>
        </w:tc>
        <w:tc>
          <w:tcPr>
            <w:tcW w:w="1220" w:type="dxa"/>
            <w:tcBorders>
              <w:top w:val="nil"/>
              <w:left w:val="nil"/>
              <w:bottom w:val="single" w:sz="8" w:space="0" w:color="auto"/>
              <w:right w:val="single" w:sz="8" w:space="0" w:color="auto"/>
            </w:tcBorders>
            <w:shd w:val="clear" w:color="auto" w:fill="auto"/>
            <w:vAlign w:val="center"/>
            <w:hideMark/>
          </w:tcPr>
          <w:p w14:paraId="68CC36F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7D6474C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11E1874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140EBE0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10</w:t>
            </w:r>
          </w:p>
        </w:tc>
      </w:tr>
      <w:tr w:rsidR="00F46DFA" w:rsidRPr="00901194" w14:paraId="37CDE0A0"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105F5B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HCO41</w:t>
            </w:r>
          </w:p>
        </w:tc>
        <w:tc>
          <w:tcPr>
            <w:tcW w:w="1220" w:type="dxa"/>
            <w:tcBorders>
              <w:top w:val="nil"/>
              <w:left w:val="nil"/>
              <w:bottom w:val="single" w:sz="8" w:space="0" w:color="auto"/>
              <w:right w:val="single" w:sz="8" w:space="0" w:color="auto"/>
            </w:tcBorders>
            <w:shd w:val="clear" w:color="auto" w:fill="auto"/>
            <w:vAlign w:val="center"/>
            <w:hideMark/>
          </w:tcPr>
          <w:p w14:paraId="3CB0527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5359333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200DB7F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49575E6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54</w:t>
            </w:r>
          </w:p>
        </w:tc>
      </w:tr>
      <w:tr w:rsidR="00F46DFA" w:rsidRPr="00901194" w14:paraId="62CECFCA"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02F24F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HCO53</w:t>
            </w:r>
          </w:p>
        </w:tc>
        <w:tc>
          <w:tcPr>
            <w:tcW w:w="1220" w:type="dxa"/>
            <w:tcBorders>
              <w:top w:val="nil"/>
              <w:left w:val="nil"/>
              <w:bottom w:val="single" w:sz="8" w:space="0" w:color="auto"/>
              <w:right w:val="single" w:sz="8" w:space="0" w:color="auto"/>
            </w:tcBorders>
            <w:shd w:val="clear" w:color="auto" w:fill="auto"/>
            <w:vAlign w:val="center"/>
            <w:hideMark/>
          </w:tcPr>
          <w:p w14:paraId="5BAA764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3587FAD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3CAE4E9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60AAE5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44</w:t>
            </w:r>
          </w:p>
        </w:tc>
      </w:tr>
      <w:tr w:rsidR="00F46DFA" w:rsidRPr="00901194" w14:paraId="0A454C8D"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33065B3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HCO61</w:t>
            </w:r>
          </w:p>
        </w:tc>
        <w:tc>
          <w:tcPr>
            <w:tcW w:w="1220" w:type="dxa"/>
            <w:tcBorders>
              <w:top w:val="nil"/>
              <w:left w:val="nil"/>
              <w:bottom w:val="single" w:sz="8" w:space="0" w:color="auto"/>
              <w:right w:val="single" w:sz="8" w:space="0" w:color="auto"/>
            </w:tcBorders>
            <w:shd w:val="clear" w:color="auto" w:fill="auto"/>
            <w:vAlign w:val="center"/>
            <w:hideMark/>
          </w:tcPr>
          <w:p w14:paraId="15E616D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3707D38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4249F70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2A97528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20</w:t>
            </w:r>
          </w:p>
        </w:tc>
      </w:tr>
      <w:tr w:rsidR="00F46DFA" w:rsidRPr="00901194" w14:paraId="5BD97EA9"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1F96725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HCO63</w:t>
            </w:r>
          </w:p>
        </w:tc>
        <w:tc>
          <w:tcPr>
            <w:tcW w:w="1220" w:type="dxa"/>
            <w:tcBorders>
              <w:top w:val="nil"/>
              <w:left w:val="nil"/>
              <w:bottom w:val="single" w:sz="8" w:space="0" w:color="auto"/>
              <w:right w:val="single" w:sz="8" w:space="0" w:color="auto"/>
            </w:tcBorders>
            <w:shd w:val="clear" w:color="auto" w:fill="auto"/>
            <w:vAlign w:val="center"/>
            <w:hideMark/>
          </w:tcPr>
          <w:p w14:paraId="69AD91D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42C14A0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0C412B9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3B30D7F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w:t>
            </w:r>
          </w:p>
        </w:tc>
      </w:tr>
      <w:tr w:rsidR="00F46DFA" w:rsidRPr="00901194" w14:paraId="7D0BB333"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1DCFD2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HCO66</w:t>
            </w:r>
          </w:p>
        </w:tc>
        <w:tc>
          <w:tcPr>
            <w:tcW w:w="1220" w:type="dxa"/>
            <w:tcBorders>
              <w:top w:val="nil"/>
              <w:left w:val="nil"/>
              <w:bottom w:val="single" w:sz="8" w:space="0" w:color="auto"/>
              <w:right w:val="single" w:sz="8" w:space="0" w:color="auto"/>
            </w:tcBorders>
            <w:shd w:val="clear" w:color="auto" w:fill="auto"/>
            <w:vAlign w:val="center"/>
            <w:hideMark/>
          </w:tcPr>
          <w:p w14:paraId="55E7856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2DF56C8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3B52368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5C03136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11</w:t>
            </w:r>
          </w:p>
        </w:tc>
      </w:tr>
      <w:tr w:rsidR="00F46DFA" w:rsidRPr="00901194" w14:paraId="0BDB7446"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4E69D7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HCO67</w:t>
            </w:r>
          </w:p>
        </w:tc>
        <w:tc>
          <w:tcPr>
            <w:tcW w:w="1220" w:type="dxa"/>
            <w:tcBorders>
              <w:top w:val="nil"/>
              <w:left w:val="nil"/>
              <w:bottom w:val="single" w:sz="8" w:space="0" w:color="auto"/>
              <w:right w:val="single" w:sz="8" w:space="0" w:color="auto"/>
            </w:tcBorders>
            <w:shd w:val="clear" w:color="auto" w:fill="auto"/>
            <w:vAlign w:val="center"/>
            <w:hideMark/>
          </w:tcPr>
          <w:p w14:paraId="5E34CF4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2AFFBA5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2F9C919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248B377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26</w:t>
            </w:r>
          </w:p>
        </w:tc>
      </w:tr>
      <w:tr w:rsidR="00F46DFA" w:rsidRPr="00901194" w14:paraId="50EE650C"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D08631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HCO68</w:t>
            </w:r>
          </w:p>
        </w:tc>
        <w:tc>
          <w:tcPr>
            <w:tcW w:w="1220" w:type="dxa"/>
            <w:tcBorders>
              <w:top w:val="nil"/>
              <w:left w:val="nil"/>
              <w:bottom w:val="single" w:sz="8" w:space="0" w:color="auto"/>
              <w:right w:val="single" w:sz="8" w:space="0" w:color="auto"/>
            </w:tcBorders>
            <w:shd w:val="clear" w:color="auto" w:fill="auto"/>
            <w:vAlign w:val="center"/>
            <w:hideMark/>
          </w:tcPr>
          <w:p w14:paraId="45CD618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7322AC7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143E3A5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325062E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7</w:t>
            </w:r>
          </w:p>
        </w:tc>
      </w:tr>
      <w:tr w:rsidR="00F46DFA" w:rsidRPr="00901194" w14:paraId="6D8D403D"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4A75B3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HCO69</w:t>
            </w:r>
          </w:p>
        </w:tc>
        <w:tc>
          <w:tcPr>
            <w:tcW w:w="1220" w:type="dxa"/>
            <w:tcBorders>
              <w:top w:val="nil"/>
              <w:left w:val="nil"/>
              <w:bottom w:val="single" w:sz="8" w:space="0" w:color="auto"/>
              <w:right w:val="single" w:sz="8" w:space="0" w:color="auto"/>
            </w:tcBorders>
            <w:shd w:val="clear" w:color="auto" w:fill="auto"/>
            <w:vAlign w:val="center"/>
            <w:hideMark/>
          </w:tcPr>
          <w:p w14:paraId="03644A3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3980010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7EB3B28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960" w:type="dxa"/>
            <w:tcBorders>
              <w:top w:val="nil"/>
              <w:left w:val="nil"/>
              <w:bottom w:val="single" w:sz="8" w:space="0" w:color="auto"/>
              <w:right w:val="single" w:sz="8" w:space="0" w:color="auto"/>
            </w:tcBorders>
            <w:shd w:val="clear" w:color="auto" w:fill="auto"/>
            <w:vAlign w:val="center"/>
            <w:hideMark/>
          </w:tcPr>
          <w:p w14:paraId="4ED5724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9</w:t>
            </w:r>
          </w:p>
        </w:tc>
      </w:tr>
      <w:tr w:rsidR="00F46DFA" w:rsidRPr="00901194" w14:paraId="06F76E03"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EE6647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HCO70</w:t>
            </w:r>
          </w:p>
        </w:tc>
        <w:tc>
          <w:tcPr>
            <w:tcW w:w="1220" w:type="dxa"/>
            <w:tcBorders>
              <w:top w:val="nil"/>
              <w:left w:val="nil"/>
              <w:bottom w:val="single" w:sz="8" w:space="0" w:color="auto"/>
              <w:right w:val="single" w:sz="8" w:space="0" w:color="auto"/>
            </w:tcBorders>
            <w:shd w:val="clear" w:color="auto" w:fill="auto"/>
            <w:vAlign w:val="center"/>
            <w:hideMark/>
          </w:tcPr>
          <w:p w14:paraId="47A7F554"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117B6CC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4709299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458E80F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40</w:t>
            </w:r>
          </w:p>
        </w:tc>
      </w:tr>
      <w:tr w:rsidR="00F46DFA" w:rsidRPr="00901194" w14:paraId="1D7BFD1D"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D44257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HCO72</w:t>
            </w:r>
          </w:p>
        </w:tc>
        <w:tc>
          <w:tcPr>
            <w:tcW w:w="1220" w:type="dxa"/>
            <w:tcBorders>
              <w:top w:val="nil"/>
              <w:left w:val="nil"/>
              <w:bottom w:val="single" w:sz="8" w:space="0" w:color="auto"/>
              <w:right w:val="single" w:sz="8" w:space="0" w:color="auto"/>
            </w:tcBorders>
            <w:shd w:val="clear" w:color="auto" w:fill="auto"/>
            <w:vAlign w:val="center"/>
            <w:hideMark/>
          </w:tcPr>
          <w:p w14:paraId="1A5EC8F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415040B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3ECF5A9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33D214F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w:t>
            </w:r>
          </w:p>
        </w:tc>
      </w:tr>
      <w:tr w:rsidR="00F46DFA" w:rsidRPr="00901194" w14:paraId="710607D7" w14:textId="77777777" w:rsidTr="00A3769A">
        <w:trPr>
          <w:trHeight w:val="3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38A9F4C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HCO74</w:t>
            </w:r>
          </w:p>
        </w:tc>
        <w:tc>
          <w:tcPr>
            <w:tcW w:w="1220" w:type="dxa"/>
            <w:tcBorders>
              <w:top w:val="nil"/>
              <w:left w:val="nil"/>
              <w:bottom w:val="single" w:sz="8" w:space="0" w:color="auto"/>
              <w:right w:val="single" w:sz="8" w:space="0" w:color="auto"/>
            </w:tcBorders>
            <w:shd w:val="clear" w:color="auto" w:fill="auto"/>
            <w:vAlign w:val="center"/>
            <w:hideMark/>
          </w:tcPr>
          <w:p w14:paraId="6B20A62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Tunapuco</w:t>
            </w:r>
          </w:p>
        </w:tc>
        <w:tc>
          <w:tcPr>
            <w:tcW w:w="1840" w:type="dxa"/>
            <w:tcBorders>
              <w:top w:val="nil"/>
              <w:left w:val="nil"/>
              <w:bottom w:val="single" w:sz="8" w:space="0" w:color="auto"/>
              <w:right w:val="single" w:sz="8" w:space="0" w:color="auto"/>
            </w:tcBorders>
            <w:shd w:val="clear" w:color="auto" w:fill="auto"/>
            <w:vAlign w:val="center"/>
            <w:hideMark/>
          </w:tcPr>
          <w:p w14:paraId="5E92E58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Rural Traditional</w:t>
            </w:r>
          </w:p>
        </w:tc>
        <w:tc>
          <w:tcPr>
            <w:tcW w:w="960" w:type="dxa"/>
            <w:tcBorders>
              <w:top w:val="nil"/>
              <w:left w:val="nil"/>
              <w:bottom w:val="single" w:sz="8" w:space="0" w:color="auto"/>
              <w:right w:val="single" w:sz="8" w:space="0" w:color="auto"/>
            </w:tcBorders>
            <w:shd w:val="clear" w:color="auto" w:fill="auto"/>
            <w:vAlign w:val="center"/>
            <w:hideMark/>
          </w:tcPr>
          <w:p w14:paraId="447D6C33"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1AACC4C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36</w:t>
            </w:r>
          </w:p>
        </w:tc>
      </w:tr>
      <w:tr w:rsidR="00F46DFA" w:rsidRPr="00901194" w14:paraId="56215D6D"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0F67C57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SM01</w:t>
            </w:r>
          </w:p>
        </w:tc>
        <w:tc>
          <w:tcPr>
            <w:tcW w:w="1220" w:type="dxa"/>
            <w:tcBorders>
              <w:top w:val="nil"/>
              <w:left w:val="nil"/>
              <w:bottom w:val="single" w:sz="8" w:space="0" w:color="auto"/>
              <w:right w:val="single" w:sz="8" w:space="0" w:color="auto"/>
            </w:tcBorders>
            <w:shd w:val="clear" w:color="auto" w:fill="auto"/>
            <w:vAlign w:val="center"/>
            <w:hideMark/>
          </w:tcPr>
          <w:p w14:paraId="1B0FDBA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4A6937B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418BDA0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2D37F0E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30</w:t>
            </w:r>
          </w:p>
        </w:tc>
      </w:tr>
      <w:tr w:rsidR="00F46DFA" w:rsidRPr="00901194" w14:paraId="3CCB70F8"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90A0F7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SM02</w:t>
            </w:r>
          </w:p>
        </w:tc>
        <w:tc>
          <w:tcPr>
            <w:tcW w:w="1220" w:type="dxa"/>
            <w:tcBorders>
              <w:top w:val="nil"/>
              <w:left w:val="nil"/>
              <w:bottom w:val="single" w:sz="8" w:space="0" w:color="auto"/>
              <w:right w:val="single" w:sz="8" w:space="0" w:color="auto"/>
            </w:tcBorders>
            <w:shd w:val="clear" w:color="auto" w:fill="auto"/>
            <w:vAlign w:val="center"/>
            <w:hideMark/>
          </w:tcPr>
          <w:p w14:paraId="71FF2AA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6514493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564AC40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D4F786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25</w:t>
            </w:r>
          </w:p>
        </w:tc>
      </w:tr>
      <w:tr w:rsidR="00F46DFA" w:rsidRPr="00901194" w14:paraId="376D2FD0"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63B9BA9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SM03</w:t>
            </w:r>
          </w:p>
        </w:tc>
        <w:tc>
          <w:tcPr>
            <w:tcW w:w="1220" w:type="dxa"/>
            <w:tcBorders>
              <w:top w:val="nil"/>
              <w:left w:val="nil"/>
              <w:bottom w:val="single" w:sz="8" w:space="0" w:color="auto"/>
              <w:right w:val="single" w:sz="8" w:space="0" w:color="auto"/>
            </w:tcBorders>
            <w:shd w:val="clear" w:color="auto" w:fill="auto"/>
            <w:vAlign w:val="center"/>
            <w:hideMark/>
          </w:tcPr>
          <w:p w14:paraId="67387DF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7D4616C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04E5595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6DA03DB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10</w:t>
            </w:r>
          </w:p>
        </w:tc>
      </w:tr>
      <w:tr w:rsidR="00F46DFA" w:rsidRPr="00901194" w14:paraId="074B7477"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2D0023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SM10</w:t>
            </w:r>
          </w:p>
        </w:tc>
        <w:tc>
          <w:tcPr>
            <w:tcW w:w="1220" w:type="dxa"/>
            <w:tcBorders>
              <w:top w:val="nil"/>
              <w:left w:val="nil"/>
              <w:bottom w:val="single" w:sz="8" w:space="0" w:color="auto"/>
              <w:right w:val="single" w:sz="8" w:space="0" w:color="auto"/>
            </w:tcBorders>
            <w:shd w:val="clear" w:color="auto" w:fill="auto"/>
            <w:vAlign w:val="center"/>
            <w:hideMark/>
          </w:tcPr>
          <w:p w14:paraId="30F21F5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53AA514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47FC315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30FD7A5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w:t>
            </w:r>
          </w:p>
        </w:tc>
      </w:tr>
      <w:tr w:rsidR="00F46DFA" w:rsidRPr="00901194" w14:paraId="65DF0C71"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74BF9B5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SM23</w:t>
            </w:r>
          </w:p>
        </w:tc>
        <w:tc>
          <w:tcPr>
            <w:tcW w:w="1220" w:type="dxa"/>
            <w:tcBorders>
              <w:top w:val="nil"/>
              <w:left w:val="nil"/>
              <w:bottom w:val="single" w:sz="8" w:space="0" w:color="auto"/>
              <w:right w:val="single" w:sz="8" w:space="0" w:color="auto"/>
            </w:tcBorders>
            <w:shd w:val="clear" w:color="auto" w:fill="auto"/>
            <w:vAlign w:val="center"/>
            <w:hideMark/>
          </w:tcPr>
          <w:p w14:paraId="75B68B6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770FD18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34E513E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5339A79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7</w:t>
            </w:r>
          </w:p>
        </w:tc>
      </w:tr>
      <w:tr w:rsidR="00F46DFA" w:rsidRPr="00901194" w14:paraId="42ADCC78"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38ED3AEB"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SM28</w:t>
            </w:r>
          </w:p>
        </w:tc>
        <w:tc>
          <w:tcPr>
            <w:tcW w:w="1220" w:type="dxa"/>
            <w:tcBorders>
              <w:top w:val="nil"/>
              <w:left w:val="nil"/>
              <w:bottom w:val="single" w:sz="8" w:space="0" w:color="auto"/>
              <w:right w:val="single" w:sz="8" w:space="0" w:color="auto"/>
            </w:tcBorders>
            <w:shd w:val="clear" w:color="auto" w:fill="auto"/>
            <w:vAlign w:val="center"/>
            <w:hideMark/>
          </w:tcPr>
          <w:p w14:paraId="7FFA2A7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3B3C73B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19312FB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F015F3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52</w:t>
            </w:r>
          </w:p>
        </w:tc>
      </w:tr>
      <w:tr w:rsidR="00F46DFA" w:rsidRPr="00901194" w14:paraId="3E899D61"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2089E02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SM29</w:t>
            </w:r>
          </w:p>
        </w:tc>
        <w:tc>
          <w:tcPr>
            <w:tcW w:w="1220" w:type="dxa"/>
            <w:tcBorders>
              <w:top w:val="nil"/>
              <w:left w:val="nil"/>
              <w:bottom w:val="single" w:sz="8" w:space="0" w:color="auto"/>
              <w:right w:val="single" w:sz="8" w:space="0" w:color="auto"/>
            </w:tcBorders>
            <w:shd w:val="clear" w:color="auto" w:fill="auto"/>
            <w:vAlign w:val="center"/>
            <w:hideMark/>
          </w:tcPr>
          <w:p w14:paraId="6467FED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04A9834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761E4BE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0353BD16"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50</w:t>
            </w:r>
          </w:p>
        </w:tc>
      </w:tr>
      <w:tr w:rsidR="00F46DFA" w:rsidRPr="00901194" w14:paraId="11612B64"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40676869"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SM33</w:t>
            </w:r>
          </w:p>
        </w:tc>
        <w:tc>
          <w:tcPr>
            <w:tcW w:w="1220" w:type="dxa"/>
            <w:tcBorders>
              <w:top w:val="nil"/>
              <w:left w:val="nil"/>
              <w:bottom w:val="single" w:sz="8" w:space="0" w:color="auto"/>
              <w:right w:val="single" w:sz="8" w:space="0" w:color="auto"/>
            </w:tcBorders>
            <w:shd w:val="clear" w:color="auto" w:fill="auto"/>
            <w:vAlign w:val="center"/>
            <w:hideMark/>
          </w:tcPr>
          <w:p w14:paraId="5A1D4A47"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30B7603C"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05F39A7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6D7A8C31"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5</w:t>
            </w:r>
          </w:p>
        </w:tc>
      </w:tr>
      <w:tr w:rsidR="00F46DFA" w:rsidRPr="00901194" w14:paraId="5EC49A94"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7CA4AE8"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SM37</w:t>
            </w:r>
          </w:p>
        </w:tc>
        <w:tc>
          <w:tcPr>
            <w:tcW w:w="1220" w:type="dxa"/>
            <w:tcBorders>
              <w:top w:val="nil"/>
              <w:left w:val="nil"/>
              <w:bottom w:val="single" w:sz="8" w:space="0" w:color="auto"/>
              <w:right w:val="single" w:sz="8" w:space="0" w:color="auto"/>
            </w:tcBorders>
            <w:shd w:val="clear" w:color="auto" w:fill="auto"/>
            <w:vAlign w:val="center"/>
            <w:hideMark/>
          </w:tcPr>
          <w:p w14:paraId="06A88D3D"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0B3F004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0AFB6B1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6A47C7B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12</w:t>
            </w:r>
          </w:p>
        </w:tc>
      </w:tr>
      <w:tr w:rsidR="00F46DFA" w:rsidRPr="00901194" w14:paraId="10DF1CA1"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376B1255"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SM39</w:t>
            </w:r>
          </w:p>
        </w:tc>
        <w:tc>
          <w:tcPr>
            <w:tcW w:w="1220" w:type="dxa"/>
            <w:tcBorders>
              <w:top w:val="nil"/>
              <w:left w:val="nil"/>
              <w:bottom w:val="single" w:sz="8" w:space="0" w:color="auto"/>
              <w:right w:val="single" w:sz="8" w:space="0" w:color="auto"/>
            </w:tcBorders>
            <w:shd w:val="clear" w:color="auto" w:fill="auto"/>
            <w:vAlign w:val="center"/>
            <w:hideMark/>
          </w:tcPr>
          <w:p w14:paraId="21AB164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3B83767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3D65968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F</w:t>
            </w:r>
          </w:p>
        </w:tc>
        <w:tc>
          <w:tcPr>
            <w:tcW w:w="960" w:type="dxa"/>
            <w:tcBorders>
              <w:top w:val="nil"/>
              <w:left w:val="nil"/>
              <w:bottom w:val="single" w:sz="8" w:space="0" w:color="auto"/>
              <w:right w:val="single" w:sz="8" w:space="0" w:color="auto"/>
            </w:tcBorders>
            <w:shd w:val="clear" w:color="auto" w:fill="auto"/>
            <w:vAlign w:val="center"/>
            <w:hideMark/>
          </w:tcPr>
          <w:p w14:paraId="7D4D1302"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40</w:t>
            </w:r>
          </w:p>
        </w:tc>
      </w:tr>
      <w:tr w:rsidR="00F46DFA" w:rsidRPr="00901194" w14:paraId="48410A87" w14:textId="77777777" w:rsidTr="00A3769A">
        <w:trPr>
          <w:trHeight w:val="615"/>
        </w:trPr>
        <w:tc>
          <w:tcPr>
            <w:tcW w:w="1120" w:type="dxa"/>
            <w:tcBorders>
              <w:top w:val="nil"/>
              <w:left w:val="single" w:sz="8" w:space="0" w:color="auto"/>
              <w:bottom w:val="single" w:sz="8" w:space="0" w:color="auto"/>
              <w:right w:val="single" w:sz="8" w:space="0" w:color="auto"/>
            </w:tcBorders>
            <w:shd w:val="clear" w:color="auto" w:fill="auto"/>
            <w:vAlign w:val="center"/>
            <w:hideMark/>
          </w:tcPr>
          <w:p w14:paraId="5A5A0B5A"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SM41</w:t>
            </w:r>
          </w:p>
        </w:tc>
        <w:tc>
          <w:tcPr>
            <w:tcW w:w="1220" w:type="dxa"/>
            <w:tcBorders>
              <w:top w:val="nil"/>
              <w:left w:val="nil"/>
              <w:bottom w:val="single" w:sz="8" w:space="0" w:color="auto"/>
              <w:right w:val="single" w:sz="8" w:space="0" w:color="auto"/>
            </w:tcBorders>
            <w:shd w:val="clear" w:color="auto" w:fill="auto"/>
            <w:vAlign w:val="center"/>
            <w:hideMark/>
          </w:tcPr>
          <w:p w14:paraId="4B7264B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Matses</w:t>
            </w:r>
          </w:p>
        </w:tc>
        <w:tc>
          <w:tcPr>
            <w:tcW w:w="1840" w:type="dxa"/>
            <w:tcBorders>
              <w:top w:val="nil"/>
              <w:left w:val="nil"/>
              <w:bottom w:val="single" w:sz="8" w:space="0" w:color="auto"/>
              <w:right w:val="single" w:sz="8" w:space="0" w:color="auto"/>
            </w:tcBorders>
            <w:shd w:val="clear" w:color="auto" w:fill="auto"/>
            <w:vAlign w:val="center"/>
            <w:hideMark/>
          </w:tcPr>
          <w:p w14:paraId="7E8FC02F"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Isolated Traditional</w:t>
            </w:r>
          </w:p>
        </w:tc>
        <w:tc>
          <w:tcPr>
            <w:tcW w:w="960" w:type="dxa"/>
            <w:tcBorders>
              <w:top w:val="nil"/>
              <w:left w:val="nil"/>
              <w:bottom w:val="single" w:sz="8" w:space="0" w:color="auto"/>
              <w:right w:val="single" w:sz="8" w:space="0" w:color="auto"/>
            </w:tcBorders>
            <w:shd w:val="clear" w:color="auto" w:fill="auto"/>
            <w:vAlign w:val="center"/>
            <w:hideMark/>
          </w:tcPr>
          <w:p w14:paraId="6BCCD23E"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M</w:t>
            </w:r>
          </w:p>
        </w:tc>
        <w:tc>
          <w:tcPr>
            <w:tcW w:w="960" w:type="dxa"/>
            <w:tcBorders>
              <w:top w:val="nil"/>
              <w:left w:val="nil"/>
              <w:bottom w:val="single" w:sz="8" w:space="0" w:color="auto"/>
              <w:right w:val="single" w:sz="8" w:space="0" w:color="auto"/>
            </w:tcBorders>
            <w:shd w:val="clear" w:color="auto" w:fill="auto"/>
            <w:vAlign w:val="center"/>
            <w:hideMark/>
          </w:tcPr>
          <w:p w14:paraId="2BAA8870" w14:textId="77777777" w:rsidR="00F46DFA" w:rsidRPr="00901194" w:rsidRDefault="00F46DFA" w:rsidP="00A3769A">
            <w:pPr>
              <w:spacing w:after="0" w:line="240" w:lineRule="auto"/>
              <w:jc w:val="center"/>
              <w:rPr>
                <w:rFonts w:eastAsia="Times New Roman" w:cs="Times New Roman"/>
                <w:color w:val="000000"/>
              </w:rPr>
            </w:pPr>
            <w:r w:rsidRPr="00901194">
              <w:rPr>
                <w:rFonts w:eastAsia="Times New Roman" w:cs="Times New Roman"/>
                <w:color w:val="000000"/>
              </w:rPr>
              <w:t>6</w:t>
            </w:r>
          </w:p>
        </w:tc>
      </w:tr>
    </w:tbl>
    <w:p w14:paraId="31A3FF06" w14:textId="77777777" w:rsidR="00F46DFA" w:rsidRPr="00901194" w:rsidRDefault="00F46DFA" w:rsidP="00274ADB">
      <w:pPr>
        <w:spacing w:after="0" w:line="240" w:lineRule="auto"/>
        <w:rPr>
          <w:rFonts w:cs="Times New Roman"/>
          <w:b/>
          <w:bCs/>
          <w:szCs w:val="24"/>
        </w:rPr>
      </w:pPr>
    </w:p>
    <w:p w14:paraId="37E69184" w14:textId="77777777" w:rsidR="00274ADB" w:rsidRPr="00901194" w:rsidRDefault="00274ADB" w:rsidP="00274ADB">
      <w:pPr>
        <w:spacing w:after="0" w:line="240" w:lineRule="auto"/>
        <w:rPr>
          <w:rFonts w:cs="Times New Roman"/>
          <w:b/>
          <w:bCs/>
          <w:szCs w:val="24"/>
        </w:rPr>
      </w:pPr>
    </w:p>
    <w:p w14:paraId="324BF0A2" w14:textId="77777777" w:rsidR="00C53819" w:rsidRPr="00901194" w:rsidRDefault="00C53819" w:rsidP="00274ADB">
      <w:pPr>
        <w:spacing w:after="0" w:line="240" w:lineRule="auto"/>
        <w:rPr>
          <w:rFonts w:cs="Times New Roman"/>
          <w:b/>
          <w:bCs/>
          <w:szCs w:val="24"/>
        </w:rPr>
        <w:sectPr w:rsidR="00C53819" w:rsidRPr="00901194" w:rsidSect="00C34F1B">
          <w:pgSz w:w="12240" w:h="15840"/>
          <w:pgMar w:top="1440" w:right="1440" w:bottom="1440" w:left="1440" w:header="0" w:footer="0" w:gutter="0"/>
          <w:cols w:space="720"/>
          <w:formProt w:val="0"/>
          <w:docGrid w:linePitch="360" w:charSpace="-2049"/>
        </w:sectPr>
      </w:pPr>
    </w:p>
    <w:p w14:paraId="23693DB6" w14:textId="01AD3D3A" w:rsidR="00274ADB" w:rsidRPr="00901194" w:rsidRDefault="00274ADB" w:rsidP="00FC2908">
      <w:pPr>
        <w:pStyle w:val="CaptionJH"/>
        <w:spacing w:line="240" w:lineRule="auto"/>
        <w:rPr>
          <w:b/>
          <w:bCs w:val="0"/>
        </w:rPr>
      </w:pPr>
      <w:bookmarkStart w:id="115" w:name="_Toc131186569"/>
      <w:r w:rsidRPr="00901194">
        <w:rPr>
          <w:b/>
          <w:bCs w:val="0"/>
        </w:rPr>
        <w:lastRenderedPageBreak/>
        <w:t>Table S2</w:t>
      </w:r>
      <w:r w:rsidR="00AC1FAA" w:rsidRPr="00901194">
        <w:rPr>
          <w:b/>
          <w:bCs w:val="0"/>
        </w:rPr>
        <w:t>.2:</w:t>
      </w:r>
      <w:r w:rsidRPr="00901194">
        <w:rPr>
          <w:b/>
          <w:bCs w:val="0"/>
        </w:rPr>
        <w:t xml:space="preserve"> The shared human fecal metabolome.</w:t>
      </w:r>
      <w:bookmarkEnd w:id="115"/>
      <w:r w:rsidRPr="00901194">
        <w:rPr>
          <w:b/>
          <w:bCs w:val="0"/>
        </w:rPr>
        <w:t xml:space="preserve"> </w:t>
      </w:r>
    </w:p>
    <w:p w14:paraId="177130E8" w14:textId="4CF05E96" w:rsidR="00274ADB" w:rsidRPr="00901194" w:rsidRDefault="00274ADB" w:rsidP="00FA7ED2">
      <w:pPr>
        <w:spacing w:line="240" w:lineRule="auto"/>
        <w:rPr>
          <w:rFonts w:cs="Times New Roman"/>
          <w:i/>
          <w:iCs/>
        </w:rPr>
      </w:pPr>
      <w:r w:rsidRPr="00901194">
        <w:rPr>
          <w:rFonts w:cs="Times New Roman"/>
          <w:i/>
          <w:iCs/>
        </w:rPr>
        <w:t>Results are derived from both gap-filled and non-gap-filled analyses. All annotations had a mass difference of 0 to library reference. Listed m/z and RT values are derived from gap-filled analyses, but all annotations were present in both gap-filled and non-gap-filled analyses. Bolded rows represent features detected in all ReDU datasets. For predicted ClassyFire</w:t>
      </w:r>
      <w:r w:rsidRPr="00901194">
        <w:rPr>
          <w:rFonts w:cs="Times New Roman"/>
          <w:i/>
          <w:iCs/>
        </w:rPr>
        <w:fldChar w:fldCharType="begin" w:fldLock="1"/>
      </w:r>
      <w:r w:rsidR="000A1931" w:rsidRPr="00901194">
        <w:rPr>
          <w:rFonts w:cs="Times New Roman"/>
          <w:i/>
          <w:iCs/>
        </w:rPr>
        <w:instrText>ADDIN CSL_CITATION {"citationItems":[{"id":"ITEM-1","itemData":{"DOI":"10.1186/s13321-016-0174-y","ISSN":"17582946","abstract":"Background: Scientists have long been driven by the desire to describe, organize, classify, and compare objects using taxonomies and/or ontologies. In contrast to biology, geology, and many other scientific disciplines, the world of chemistry still lacks a standardized chemical ontology or taxonomy. Several attempts at chemical classification have been made; but they have mostly been limited to either manual, or semi-automated proof-of-principle applications. This is regrettable as comprehensive chemical classification and description tools could not only improve our understanding of chemistry but also improve the linkage between chemistry and many other fields. For instance, the chemical classification of a compound could help predict its metabolic fate in humans, its druggability or potential hazards associated with it, among others. However, the sheer number (tens of millions of compounds) and complexity of chemical structures is such that any manual classification effort would prove to be near impossible. Results: We have developed a comprehensive, flexible, and computable, purely structure-based chemical taxonomy (ChemOnt), along with a computer program (ClassyFire) that uses only chemical structures and structural features to automatically assign all known chemical compounds to a taxonomy consisting of &gt;4800 different categories. This new chemical taxonomy consists of up to 11 different levels (Kingdom, SuperClass, Class, SubClass, etc.) with each of the categories defined by unambiguous, computable structural rules. Furthermore each category is named using a consensus-based nomenclature and described (in English) based on the characteristic common structural properties of the compounds it contains. The ClassyFire webserver is freely accessible at http://classyfire.wishartlab.com/ . Moreover, a Ruby API version is available at https://bitbucket.org/wishartlab/classyfire_api , which provides programmatic access to the ClassyFire server and database. ClassyFire has been used to annotate over 77 million compounds and has already been integrated into other software packages to automatically generate textual descriptions for, and/or infer biological properties of over 100,000 compounds. Additional examples and applications are provided in this paper. Conclusion: ClassyFire, in combination with ChemOnt (ClassyFire's comprehensive chemical taxonomy), now allows chemists and cheminformaticians to perform large-scale, rapid and automated chemical classific…","author":[{"dropping-particle":"","family":"Djoumbou Feunang","given":"Yannick","non-dropping-particle":"","parse-names":false,"suffix":""},{"dropping-particle":"","family":"Eisner","given":"Roman","non-dropping-particle":"","parse-names":false,"suffix":""},{"dropping-particle":"","family":"Knox","given":"Craig","non-dropping-particle":"","parse-names":false,"suffix":""},{"dropping-particle":"","family":"Chepelev","given":"Leonid","non-dropping-particle":"","parse-names":false,"suffix":""},{"dropping-particle":"","family":"Hastings","given":"Janna","non-dropping-particle":"","parse-names":false,"suffix":""},{"dropping-particle":"","family":"Owen","given":"Gareth","non-dropping-particle":"","parse-names":false,"suffix":""},{"dropping-particle":"","family":"Fahy","given":"Eoin","non-dropping-particle":"","parse-names":false,"suffix":""},{"dropping-particle":"","family":"Steinbeck","given":"Christoph","non-dropping-particle":"","parse-names":false,"suffix":""},{"dropping-particle":"","family":"Subramanian","given":"Shankar","non-dropping-particle":"","parse-names":false,"suffix":""},{"dropping-particle":"","family":"Bolton","given":"Evan","non-dropping-particle":"","parse-names":false,"suffix":""},{"dropping-particle":"","family":"Greiner","given":"Russell","non-dropping-particle":"","parse-names":false,"suffix":""},{"dropping-particle":"","family":"Wishart","given":"David S.","non-dropping-particle":"","parse-names":false,"suffix":""}],"container-title":"Journal of Cheminformatics","id":"ITEM-1","issue":"1","issued":{"date-parts":[["2016"]]},"page":"1-20","publisher":"Springer International Publishing","title":"ClassyFire: automated chemical classification with a comprehensive, computable taxonomy","type":"article-journal","volume":"8"},"uris":["http://www.mendeley.com/documents/?uuid=d55f0c48-9474-4c41-a9bf-4b7a92dc6877"]}],"mendeley":{"formattedCitation":"&lt;sup&gt;104&lt;/sup&gt;","plainTextFormattedCitation":"104","previouslyFormattedCitation":"&lt;sup&gt;104&lt;/sup&gt;"},"properties":{"noteIndex":0},"schema":"https://github.com/citation-style-language/schema/raw/master/csl-citation.json"}</w:instrText>
      </w:r>
      <w:r w:rsidRPr="00901194">
        <w:rPr>
          <w:rFonts w:cs="Times New Roman"/>
          <w:i/>
          <w:iCs/>
        </w:rPr>
        <w:fldChar w:fldCharType="separate"/>
      </w:r>
      <w:r w:rsidR="00AB5632" w:rsidRPr="00901194">
        <w:rPr>
          <w:rFonts w:cs="Times New Roman"/>
          <w:i/>
          <w:iCs/>
          <w:noProof/>
          <w:vertAlign w:val="superscript"/>
        </w:rPr>
        <w:t>104</w:t>
      </w:r>
      <w:r w:rsidRPr="00901194">
        <w:rPr>
          <w:rFonts w:cs="Times New Roman"/>
          <w:i/>
          <w:iCs/>
        </w:rPr>
        <w:fldChar w:fldCharType="end"/>
      </w:r>
      <w:r w:rsidRPr="00901194">
        <w:rPr>
          <w:rFonts w:cs="Times New Roman"/>
          <w:i/>
          <w:iCs/>
        </w:rPr>
        <w:t xml:space="preserve"> classes column, percentages represent a chemical classification score reporting the percentage of nodes assigned to the specified chemical class within the molecular network cluster.</w:t>
      </w:r>
    </w:p>
    <w:tbl>
      <w:tblPr>
        <w:tblW w:w="12855" w:type="dxa"/>
        <w:tblInd w:w="10" w:type="dxa"/>
        <w:tblLayout w:type="fixed"/>
        <w:tblCellMar>
          <w:left w:w="10" w:type="dxa"/>
          <w:right w:w="10" w:type="dxa"/>
        </w:tblCellMar>
        <w:tblLook w:val="04A0" w:firstRow="1" w:lastRow="0" w:firstColumn="1" w:lastColumn="0" w:noHBand="0" w:noVBand="1"/>
      </w:tblPr>
      <w:tblGrid>
        <w:gridCol w:w="1605"/>
        <w:gridCol w:w="810"/>
        <w:gridCol w:w="630"/>
        <w:gridCol w:w="810"/>
        <w:gridCol w:w="1170"/>
        <w:gridCol w:w="1170"/>
        <w:gridCol w:w="990"/>
        <w:gridCol w:w="1350"/>
        <w:gridCol w:w="1350"/>
        <w:gridCol w:w="1440"/>
        <w:gridCol w:w="1530"/>
      </w:tblGrid>
      <w:tr w:rsidR="00C53819" w:rsidRPr="00901194" w14:paraId="201550F8" w14:textId="77777777" w:rsidTr="00C53819">
        <w:trPr>
          <w:trHeight w:val="1322"/>
        </w:trPr>
        <w:tc>
          <w:tcPr>
            <w:tcW w:w="1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67F9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Compound Name</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1CA18E0" w14:textId="77777777" w:rsidR="00C53819" w:rsidRPr="00901194" w:rsidRDefault="00C53819" w:rsidP="00A3769A">
            <w:pPr>
              <w:spacing w:after="0" w:line="240" w:lineRule="auto"/>
              <w:jc w:val="center"/>
              <w:rPr>
                <w:rFonts w:eastAsia="Times New Roman" w:cs="Times New Roman"/>
                <w:b/>
                <w:bCs/>
                <w:i/>
                <w:iCs/>
                <w:color w:val="000000"/>
              </w:rPr>
            </w:pPr>
            <w:r w:rsidRPr="00901194">
              <w:rPr>
                <w:rFonts w:eastAsia="Times New Roman" w:cs="Times New Roman"/>
                <w:b/>
                <w:bCs/>
                <w:i/>
                <w:iCs/>
                <w:color w:val="000000"/>
              </w:rPr>
              <w:t>m/z</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012932BA"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RT (min)</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248BCBE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Cosine Score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2196D6E"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Detected in 6-sample filtering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487C92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Detected in half-sample filtering</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83C912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Detected in all-sample filtering</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6988AB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Predicted ClassyFire Class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50F2FC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Description derived from PubChem and HMDB</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02A8CB3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Present in Human Fecal Metabolome Database</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088183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ReDU Chemical Explorer Associations</w:t>
            </w:r>
          </w:p>
        </w:tc>
      </w:tr>
      <w:tr w:rsidR="00C53819" w:rsidRPr="00901194" w14:paraId="1C6EE685" w14:textId="77777777" w:rsidTr="00C53819">
        <w:trPr>
          <w:trHeight w:val="881"/>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CD00EE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Hypoxanthine</w:t>
            </w:r>
          </w:p>
        </w:tc>
        <w:tc>
          <w:tcPr>
            <w:tcW w:w="810" w:type="dxa"/>
            <w:tcBorders>
              <w:top w:val="nil"/>
              <w:left w:val="nil"/>
              <w:bottom w:val="single" w:sz="4" w:space="0" w:color="auto"/>
              <w:right w:val="single" w:sz="4" w:space="0" w:color="auto"/>
            </w:tcBorders>
            <w:shd w:val="clear" w:color="auto" w:fill="auto"/>
            <w:vAlign w:val="center"/>
            <w:hideMark/>
          </w:tcPr>
          <w:p w14:paraId="04D8F22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137.046</w:t>
            </w:r>
          </w:p>
        </w:tc>
        <w:tc>
          <w:tcPr>
            <w:tcW w:w="630" w:type="dxa"/>
            <w:tcBorders>
              <w:top w:val="nil"/>
              <w:left w:val="nil"/>
              <w:bottom w:val="single" w:sz="4" w:space="0" w:color="auto"/>
              <w:right w:val="single" w:sz="4" w:space="0" w:color="auto"/>
            </w:tcBorders>
            <w:shd w:val="clear" w:color="auto" w:fill="auto"/>
            <w:vAlign w:val="center"/>
            <w:hideMark/>
          </w:tcPr>
          <w:p w14:paraId="11CEEFE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0.39</w:t>
            </w:r>
          </w:p>
        </w:tc>
        <w:tc>
          <w:tcPr>
            <w:tcW w:w="810" w:type="dxa"/>
            <w:tcBorders>
              <w:top w:val="nil"/>
              <w:left w:val="nil"/>
              <w:bottom w:val="single" w:sz="4" w:space="0" w:color="auto"/>
              <w:right w:val="single" w:sz="4" w:space="0" w:color="auto"/>
            </w:tcBorders>
            <w:shd w:val="clear" w:color="auto" w:fill="auto"/>
            <w:vAlign w:val="center"/>
            <w:hideMark/>
          </w:tcPr>
          <w:p w14:paraId="4AD7398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0.98</w:t>
            </w:r>
          </w:p>
        </w:tc>
        <w:tc>
          <w:tcPr>
            <w:tcW w:w="1170" w:type="dxa"/>
            <w:tcBorders>
              <w:top w:val="nil"/>
              <w:left w:val="nil"/>
              <w:bottom w:val="single" w:sz="4" w:space="0" w:color="auto"/>
              <w:right w:val="single" w:sz="4" w:space="0" w:color="auto"/>
            </w:tcBorders>
            <w:shd w:val="clear" w:color="auto" w:fill="auto"/>
            <w:vAlign w:val="center"/>
            <w:hideMark/>
          </w:tcPr>
          <w:p w14:paraId="3DC7C9F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49CBAB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BB4B79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5EF4921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6794919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Purine derivative associated with inosine and uric acid in humans</w:t>
            </w:r>
          </w:p>
        </w:tc>
        <w:tc>
          <w:tcPr>
            <w:tcW w:w="1440" w:type="dxa"/>
            <w:tcBorders>
              <w:top w:val="nil"/>
              <w:left w:val="nil"/>
              <w:bottom w:val="single" w:sz="4" w:space="0" w:color="auto"/>
              <w:right w:val="single" w:sz="4" w:space="0" w:color="auto"/>
            </w:tcBorders>
            <w:shd w:val="clear" w:color="auto" w:fill="auto"/>
            <w:vAlign w:val="center"/>
            <w:hideMark/>
          </w:tcPr>
          <w:p w14:paraId="49A1E13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6248C30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bacterial cultures (</w:t>
            </w:r>
            <w:r w:rsidRPr="00901194">
              <w:rPr>
                <w:rFonts w:eastAsia="Times New Roman" w:cs="Times New Roman"/>
                <w:i/>
                <w:iCs/>
                <w:color w:val="000000"/>
              </w:rPr>
              <w:t>Clostridium orbiscindens</w:t>
            </w:r>
            <w:r w:rsidRPr="00901194">
              <w:rPr>
                <w:rFonts w:eastAsia="Times New Roman" w:cs="Times New Roman"/>
                <w:color w:val="000000"/>
              </w:rPr>
              <w:t xml:space="preserve"> CC43_001K)</w:t>
            </w:r>
          </w:p>
        </w:tc>
      </w:tr>
      <w:tr w:rsidR="00C53819" w:rsidRPr="00901194" w14:paraId="45C4B32E" w14:textId="77777777" w:rsidTr="00C53819">
        <w:trPr>
          <w:trHeight w:val="71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58E434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Nicotinamide N-oxide</w:t>
            </w:r>
          </w:p>
        </w:tc>
        <w:tc>
          <w:tcPr>
            <w:tcW w:w="810" w:type="dxa"/>
            <w:tcBorders>
              <w:top w:val="nil"/>
              <w:left w:val="nil"/>
              <w:bottom w:val="single" w:sz="4" w:space="0" w:color="auto"/>
              <w:right w:val="single" w:sz="4" w:space="0" w:color="auto"/>
            </w:tcBorders>
            <w:shd w:val="clear" w:color="auto" w:fill="auto"/>
            <w:vAlign w:val="center"/>
            <w:hideMark/>
          </w:tcPr>
          <w:p w14:paraId="1DB7AEC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139.05</w:t>
            </w:r>
          </w:p>
        </w:tc>
        <w:tc>
          <w:tcPr>
            <w:tcW w:w="630" w:type="dxa"/>
            <w:tcBorders>
              <w:top w:val="nil"/>
              <w:left w:val="nil"/>
              <w:bottom w:val="single" w:sz="4" w:space="0" w:color="auto"/>
              <w:right w:val="single" w:sz="4" w:space="0" w:color="auto"/>
            </w:tcBorders>
            <w:shd w:val="clear" w:color="auto" w:fill="auto"/>
            <w:vAlign w:val="center"/>
            <w:hideMark/>
          </w:tcPr>
          <w:p w14:paraId="2AB97DD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0.31</w:t>
            </w:r>
          </w:p>
        </w:tc>
        <w:tc>
          <w:tcPr>
            <w:tcW w:w="810" w:type="dxa"/>
            <w:tcBorders>
              <w:top w:val="nil"/>
              <w:left w:val="nil"/>
              <w:bottom w:val="single" w:sz="4" w:space="0" w:color="auto"/>
              <w:right w:val="single" w:sz="4" w:space="0" w:color="auto"/>
            </w:tcBorders>
            <w:shd w:val="clear" w:color="auto" w:fill="auto"/>
            <w:vAlign w:val="center"/>
            <w:hideMark/>
          </w:tcPr>
          <w:p w14:paraId="291D374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w:t>
            </w:r>
          </w:p>
        </w:tc>
        <w:tc>
          <w:tcPr>
            <w:tcW w:w="1170" w:type="dxa"/>
            <w:tcBorders>
              <w:top w:val="nil"/>
              <w:left w:val="nil"/>
              <w:bottom w:val="single" w:sz="4" w:space="0" w:color="auto"/>
              <w:right w:val="single" w:sz="4" w:space="0" w:color="auto"/>
            </w:tcBorders>
            <w:shd w:val="clear" w:color="auto" w:fill="auto"/>
            <w:vAlign w:val="center"/>
            <w:hideMark/>
          </w:tcPr>
          <w:p w14:paraId="60DEBC5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5BED3B9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3714CB3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33C55E1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35B67E8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Precursor to nicotinamide-adenine dinucleotide (NAD+) in animals</w:t>
            </w:r>
          </w:p>
        </w:tc>
        <w:tc>
          <w:tcPr>
            <w:tcW w:w="1440" w:type="dxa"/>
            <w:tcBorders>
              <w:top w:val="nil"/>
              <w:left w:val="nil"/>
              <w:bottom w:val="single" w:sz="4" w:space="0" w:color="auto"/>
              <w:right w:val="single" w:sz="4" w:space="0" w:color="auto"/>
            </w:tcBorders>
            <w:shd w:val="clear" w:color="auto" w:fill="auto"/>
            <w:vAlign w:val="center"/>
            <w:hideMark/>
          </w:tcPr>
          <w:p w14:paraId="3520DE6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 (found in blood)</w:t>
            </w:r>
          </w:p>
        </w:tc>
        <w:tc>
          <w:tcPr>
            <w:tcW w:w="1530" w:type="dxa"/>
            <w:tcBorders>
              <w:top w:val="nil"/>
              <w:left w:val="nil"/>
              <w:bottom w:val="single" w:sz="4" w:space="0" w:color="auto"/>
              <w:right w:val="single" w:sz="4" w:space="0" w:color="auto"/>
            </w:tcBorders>
            <w:shd w:val="clear" w:color="auto" w:fill="auto"/>
            <w:vAlign w:val="center"/>
            <w:hideMark/>
          </w:tcPr>
          <w:p w14:paraId="4900FBB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Associated with </w:t>
            </w:r>
            <w:r w:rsidRPr="00901194">
              <w:rPr>
                <w:rFonts w:eastAsia="Times New Roman" w:cs="Times New Roman"/>
                <w:i/>
                <w:iCs/>
                <w:color w:val="000000"/>
              </w:rPr>
              <w:t>Staphylococcus lugdunensis</w:t>
            </w:r>
            <w:r w:rsidRPr="00901194">
              <w:rPr>
                <w:rFonts w:eastAsia="Times New Roman" w:cs="Times New Roman"/>
                <w:color w:val="000000"/>
              </w:rPr>
              <w:t>. Found in human skin, saliva, and fecal samples</w:t>
            </w:r>
          </w:p>
        </w:tc>
      </w:tr>
      <w:tr w:rsidR="00C53819" w:rsidRPr="00901194" w14:paraId="069005A7" w14:textId="77777777" w:rsidTr="00C53819">
        <w:trPr>
          <w:trHeight w:val="881"/>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261ACB8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3-methyl-2-oxindole (3-Methyloxindole)</w:t>
            </w:r>
          </w:p>
        </w:tc>
        <w:tc>
          <w:tcPr>
            <w:tcW w:w="810" w:type="dxa"/>
            <w:tcBorders>
              <w:top w:val="nil"/>
              <w:left w:val="nil"/>
              <w:bottom w:val="single" w:sz="4" w:space="0" w:color="auto"/>
              <w:right w:val="single" w:sz="4" w:space="0" w:color="auto"/>
            </w:tcBorders>
            <w:shd w:val="clear" w:color="auto" w:fill="auto"/>
            <w:vAlign w:val="center"/>
            <w:hideMark/>
          </w:tcPr>
          <w:p w14:paraId="6CFF798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148.076</w:t>
            </w:r>
          </w:p>
        </w:tc>
        <w:tc>
          <w:tcPr>
            <w:tcW w:w="630" w:type="dxa"/>
            <w:tcBorders>
              <w:top w:val="nil"/>
              <w:left w:val="nil"/>
              <w:bottom w:val="single" w:sz="4" w:space="0" w:color="auto"/>
              <w:right w:val="single" w:sz="4" w:space="0" w:color="auto"/>
            </w:tcBorders>
            <w:shd w:val="clear" w:color="auto" w:fill="auto"/>
            <w:vAlign w:val="center"/>
            <w:hideMark/>
          </w:tcPr>
          <w:p w14:paraId="1FE6D8D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3.22</w:t>
            </w:r>
          </w:p>
        </w:tc>
        <w:tc>
          <w:tcPr>
            <w:tcW w:w="810" w:type="dxa"/>
            <w:tcBorders>
              <w:top w:val="nil"/>
              <w:left w:val="nil"/>
              <w:bottom w:val="single" w:sz="4" w:space="0" w:color="auto"/>
              <w:right w:val="single" w:sz="4" w:space="0" w:color="auto"/>
            </w:tcBorders>
            <w:shd w:val="clear" w:color="auto" w:fill="auto"/>
            <w:vAlign w:val="center"/>
            <w:hideMark/>
          </w:tcPr>
          <w:p w14:paraId="76194FA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0.93</w:t>
            </w:r>
          </w:p>
        </w:tc>
        <w:tc>
          <w:tcPr>
            <w:tcW w:w="1170" w:type="dxa"/>
            <w:tcBorders>
              <w:top w:val="nil"/>
              <w:left w:val="nil"/>
              <w:bottom w:val="single" w:sz="4" w:space="0" w:color="auto"/>
              <w:right w:val="single" w:sz="4" w:space="0" w:color="auto"/>
            </w:tcBorders>
            <w:shd w:val="clear" w:color="auto" w:fill="auto"/>
            <w:vAlign w:val="center"/>
            <w:hideMark/>
          </w:tcPr>
          <w:p w14:paraId="44117F3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E49B6F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1CFC3F9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141FC65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Indoles and derivatives (55.56%)</w:t>
            </w:r>
          </w:p>
        </w:tc>
        <w:tc>
          <w:tcPr>
            <w:tcW w:w="1350" w:type="dxa"/>
            <w:tcBorders>
              <w:top w:val="nil"/>
              <w:left w:val="nil"/>
              <w:bottom w:val="single" w:sz="4" w:space="0" w:color="auto"/>
              <w:right w:val="single" w:sz="4" w:space="0" w:color="auto"/>
            </w:tcBorders>
            <w:shd w:val="clear" w:color="auto" w:fill="auto"/>
            <w:vAlign w:val="center"/>
            <w:hideMark/>
          </w:tcPr>
          <w:p w14:paraId="2208CC9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Endogenous product of 3-methylindole</w:t>
            </w:r>
          </w:p>
        </w:tc>
        <w:tc>
          <w:tcPr>
            <w:tcW w:w="1440" w:type="dxa"/>
            <w:tcBorders>
              <w:top w:val="nil"/>
              <w:left w:val="nil"/>
              <w:bottom w:val="single" w:sz="4" w:space="0" w:color="auto"/>
              <w:right w:val="single" w:sz="4" w:space="0" w:color="auto"/>
            </w:tcBorders>
            <w:shd w:val="clear" w:color="auto" w:fill="auto"/>
            <w:vAlign w:val="center"/>
            <w:hideMark/>
          </w:tcPr>
          <w:p w14:paraId="469CFC7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0F8F467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bacterial cultures (</w:t>
            </w:r>
            <w:r w:rsidRPr="00901194">
              <w:rPr>
                <w:rFonts w:eastAsia="Times New Roman" w:cs="Times New Roman"/>
                <w:i/>
                <w:iCs/>
                <w:color w:val="000000"/>
              </w:rPr>
              <w:t>Gardnerella vaginalis</w:t>
            </w:r>
            <w:r w:rsidRPr="00901194">
              <w:rPr>
                <w:rFonts w:eastAsia="Times New Roman" w:cs="Times New Roman"/>
                <w:color w:val="000000"/>
              </w:rPr>
              <w:t xml:space="preserve"> and </w:t>
            </w:r>
            <w:r w:rsidRPr="00901194">
              <w:rPr>
                <w:rFonts w:eastAsia="Times New Roman" w:cs="Times New Roman"/>
                <w:i/>
                <w:iCs/>
                <w:color w:val="000000"/>
              </w:rPr>
              <w:t>Collinsella</w:t>
            </w:r>
            <w:r w:rsidRPr="00901194">
              <w:rPr>
                <w:rFonts w:eastAsia="Times New Roman" w:cs="Times New Roman"/>
                <w:color w:val="000000"/>
              </w:rPr>
              <w:t xml:space="preserve"> sp. 4_8_47FAA)</w:t>
            </w:r>
          </w:p>
        </w:tc>
      </w:tr>
      <w:tr w:rsidR="00C53819" w:rsidRPr="00901194" w14:paraId="3AB2D471" w14:textId="77777777" w:rsidTr="00C53819">
        <w:trPr>
          <w:trHeight w:val="8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E357BC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Hyocholic acid</w:t>
            </w:r>
          </w:p>
        </w:tc>
        <w:tc>
          <w:tcPr>
            <w:tcW w:w="810" w:type="dxa"/>
            <w:tcBorders>
              <w:top w:val="nil"/>
              <w:left w:val="nil"/>
              <w:bottom w:val="single" w:sz="4" w:space="0" w:color="auto"/>
              <w:right w:val="single" w:sz="4" w:space="0" w:color="auto"/>
            </w:tcBorders>
            <w:shd w:val="clear" w:color="auto" w:fill="auto"/>
            <w:vAlign w:val="center"/>
            <w:hideMark/>
          </w:tcPr>
          <w:p w14:paraId="44DA96A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158.154</w:t>
            </w:r>
          </w:p>
        </w:tc>
        <w:tc>
          <w:tcPr>
            <w:tcW w:w="630" w:type="dxa"/>
            <w:tcBorders>
              <w:top w:val="nil"/>
              <w:left w:val="nil"/>
              <w:bottom w:val="single" w:sz="4" w:space="0" w:color="auto"/>
              <w:right w:val="single" w:sz="4" w:space="0" w:color="auto"/>
            </w:tcBorders>
            <w:shd w:val="clear" w:color="auto" w:fill="auto"/>
            <w:vAlign w:val="center"/>
            <w:hideMark/>
          </w:tcPr>
          <w:p w14:paraId="10D1525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4.78</w:t>
            </w:r>
          </w:p>
        </w:tc>
        <w:tc>
          <w:tcPr>
            <w:tcW w:w="810" w:type="dxa"/>
            <w:tcBorders>
              <w:top w:val="nil"/>
              <w:left w:val="nil"/>
              <w:bottom w:val="single" w:sz="4" w:space="0" w:color="auto"/>
              <w:right w:val="single" w:sz="4" w:space="0" w:color="auto"/>
            </w:tcBorders>
            <w:shd w:val="clear" w:color="auto" w:fill="auto"/>
            <w:vAlign w:val="center"/>
            <w:hideMark/>
          </w:tcPr>
          <w:p w14:paraId="4950A1C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0.83</w:t>
            </w:r>
          </w:p>
        </w:tc>
        <w:tc>
          <w:tcPr>
            <w:tcW w:w="1170" w:type="dxa"/>
            <w:tcBorders>
              <w:top w:val="nil"/>
              <w:left w:val="nil"/>
              <w:bottom w:val="single" w:sz="4" w:space="0" w:color="auto"/>
              <w:right w:val="single" w:sz="4" w:space="0" w:color="auto"/>
            </w:tcBorders>
            <w:shd w:val="clear" w:color="auto" w:fill="auto"/>
            <w:vAlign w:val="center"/>
            <w:hideMark/>
          </w:tcPr>
          <w:p w14:paraId="355A544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55F5E7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16B6CF3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7E37893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Steroids and steroid derivatives (100%)</w:t>
            </w:r>
          </w:p>
        </w:tc>
        <w:tc>
          <w:tcPr>
            <w:tcW w:w="1350" w:type="dxa"/>
            <w:tcBorders>
              <w:top w:val="nil"/>
              <w:left w:val="nil"/>
              <w:bottom w:val="single" w:sz="4" w:space="0" w:color="auto"/>
              <w:right w:val="single" w:sz="4" w:space="0" w:color="auto"/>
            </w:tcBorders>
            <w:shd w:val="clear" w:color="auto" w:fill="auto"/>
            <w:vAlign w:val="center"/>
            <w:hideMark/>
          </w:tcPr>
          <w:p w14:paraId="33977A2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Mammalian bile acid</w:t>
            </w:r>
          </w:p>
        </w:tc>
        <w:tc>
          <w:tcPr>
            <w:tcW w:w="1440" w:type="dxa"/>
            <w:tcBorders>
              <w:top w:val="nil"/>
              <w:left w:val="nil"/>
              <w:bottom w:val="single" w:sz="4" w:space="0" w:color="auto"/>
              <w:right w:val="single" w:sz="4" w:space="0" w:color="auto"/>
            </w:tcBorders>
            <w:shd w:val="clear" w:color="auto" w:fill="auto"/>
            <w:vAlign w:val="center"/>
            <w:hideMark/>
          </w:tcPr>
          <w:p w14:paraId="5535806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008CF58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Largely found in bacterial culture and humans</w:t>
            </w:r>
          </w:p>
        </w:tc>
      </w:tr>
      <w:tr w:rsidR="00C53819" w:rsidRPr="00901194" w14:paraId="27852DF5" w14:textId="77777777" w:rsidTr="00C53819">
        <w:trPr>
          <w:trHeight w:val="233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98CBB9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Gly-Val (Glycylvaline)</w:t>
            </w:r>
          </w:p>
        </w:tc>
        <w:tc>
          <w:tcPr>
            <w:tcW w:w="810" w:type="dxa"/>
            <w:tcBorders>
              <w:top w:val="nil"/>
              <w:left w:val="nil"/>
              <w:bottom w:val="single" w:sz="4" w:space="0" w:color="auto"/>
              <w:right w:val="single" w:sz="4" w:space="0" w:color="auto"/>
            </w:tcBorders>
            <w:shd w:val="clear" w:color="auto" w:fill="auto"/>
            <w:vAlign w:val="center"/>
            <w:hideMark/>
          </w:tcPr>
          <w:p w14:paraId="270521D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175.107</w:t>
            </w:r>
          </w:p>
        </w:tc>
        <w:tc>
          <w:tcPr>
            <w:tcW w:w="630" w:type="dxa"/>
            <w:tcBorders>
              <w:top w:val="nil"/>
              <w:left w:val="nil"/>
              <w:bottom w:val="single" w:sz="4" w:space="0" w:color="auto"/>
              <w:right w:val="single" w:sz="4" w:space="0" w:color="auto"/>
            </w:tcBorders>
            <w:shd w:val="clear" w:color="auto" w:fill="auto"/>
            <w:vAlign w:val="center"/>
            <w:hideMark/>
          </w:tcPr>
          <w:p w14:paraId="0AEFFF5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0.36</w:t>
            </w:r>
          </w:p>
        </w:tc>
        <w:tc>
          <w:tcPr>
            <w:tcW w:w="810" w:type="dxa"/>
            <w:tcBorders>
              <w:top w:val="nil"/>
              <w:left w:val="nil"/>
              <w:bottom w:val="single" w:sz="4" w:space="0" w:color="auto"/>
              <w:right w:val="single" w:sz="4" w:space="0" w:color="auto"/>
            </w:tcBorders>
            <w:shd w:val="clear" w:color="auto" w:fill="auto"/>
            <w:vAlign w:val="center"/>
            <w:hideMark/>
          </w:tcPr>
          <w:p w14:paraId="3424467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0.91</w:t>
            </w:r>
          </w:p>
        </w:tc>
        <w:tc>
          <w:tcPr>
            <w:tcW w:w="1170" w:type="dxa"/>
            <w:tcBorders>
              <w:top w:val="nil"/>
              <w:left w:val="nil"/>
              <w:bottom w:val="single" w:sz="4" w:space="0" w:color="auto"/>
              <w:right w:val="single" w:sz="4" w:space="0" w:color="auto"/>
            </w:tcBorders>
            <w:shd w:val="clear" w:color="auto" w:fill="auto"/>
            <w:vAlign w:val="center"/>
            <w:hideMark/>
          </w:tcPr>
          <w:p w14:paraId="6EB0E99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13FF6C2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48E4E38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0FF9268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6446FDC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Glycine and valine dipeptide</w:t>
            </w:r>
          </w:p>
        </w:tc>
        <w:tc>
          <w:tcPr>
            <w:tcW w:w="1440" w:type="dxa"/>
            <w:tcBorders>
              <w:top w:val="nil"/>
              <w:left w:val="nil"/>
              <w:bottom w:val="single" w:sz="4" w:space="0" w:color="auto"/>
              <w:right w:val="single" w:sz="4" w:space="0" w:color="auto"/>
            </w:tcBorders>
            <w:shd w:val="clear" w:color="auto" w:fill="auto"/>
            <w:vAlign w:val="center"/>
            <w:hideMark/>
          </w:tcPr>
          <w:p w14:paraId="1281954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047A4A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bacterial cultures, associated with </w:t>
            </w:r>
            <w:r w:rsidRPr="00901194">
              <w:rPr>
                <w:rFonts w:eastAsia="Times New Roman" w:cs="Times New Roman"/>
                <w:i/>
                <w:iCs/>
                <w:color w:val="000000"/>
              </w:rPr>
              <w:t>Staphylococcus aureus</w:t>
            </w:r>
            <w:r w:rsidRPr="00901194">
              <w:rPr>
                <w:rFonts w:eastAsia="Times New Roman" w:cs="Times New Roman"/>
                <w:color w:val="000000"/>
              </w:rPr>
              <w:t>. Also associated with inflammatory bowel disease.</w:t>
            </w:r>
          </w:p>
        </w:tc>
      </w:tr>
      <w:tr w:rsidR="00C53819" w:rsidRPr="00901194" w14:paraId="51B68F9A" w14:textId="77777777" w:rsidTr="00C53819">
        <w:trPr>
          <w:trHeight w:val="2438"/>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3B40D0D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3-Hydroxy-4-methoxycinnamic acid (Isoferulic acid)</w:t>
            </w:r>
          </w:p>
        </w:tc>
        <w:tc>
          <w:tcPr>
            <w:tcW w:w="810" w:type="dxa"/>
            <w:tcBorders>
              <w:top w:val="nil"/>
              <w:left w:val="nil"/>
              <w:bottom w:val="single" w:sz="4" w:space="0" w:color="auto"/>
              <w:right w:val="single" w:sz="4" w:space="0" w:color="auto"/>
            </w:tcBorders>
            <w:shd w:val="clear" w:color="auto" w:fill="auto"/>
            <w:vAlign w:val="center"/>
            <w:hideMark/>
          </w:tcPr>
          <w:p w14:paraId="4097C05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177.055</w:t>
            </w:r>
          </w:p>
        </w:tc>
        <w:tc>
          <w:tcPr>
            <w:tcW w:w="630" w:type="dxa"/>
            <w:tcBorders>
              <w:top w:val="nil"/>
              <w:left w:val="nil"/>
              <w:bottom w:val="single" w:sz="4" w:space="0" w:color="auto"/>
              <w:right w:val="single" w:sz="4" w:space="0" w:color="auto"/>
            </w:tcBorders>
            <w:shd w:val="clear" w:color="auto" w:fill="auto"/>
            <w:vAlign w:val="center"/>
            <w:hideMark/>
          </w:tcPr>
          <w:p w14:paraId="18BA77F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4.13</w:t>
            </w:r>
          </w:p>
        </w:tc>
        <w:tc>
          <w:tcPr>
            <w:tcW w:w="810" w:type="dxa"/>
            <w:tcBorders>
              <w:top w:val="nil"/>
              <w:left w:val="nil"/>
              <w:bottom w:val="single" w:sz="4" w:space="0" w:color="auto"/>
              <w:right w:val="single" w:sz="4" w:space="0" w:color="auto"/>
            </w:tcBorders>
            <w:shd w:val="clear" w:color="auto" w:fill="auto"/>
            <w:vAlign w:val="center"/>
            <w:hideMark/>
          </w:tcPr>
          <w:p w14:paraId="4499E91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0.97</w:t>
            </w:r>
          </w:p>
        </w:tc>
        <w:tc>
          <w:tcPr>
            <w:tcW w:w="1170" w:type="dxa"/>
            <w:tcBorders>
              <w:top w:val="nil"/>
              <w:left w:val="nil"/>
              <w:bottom w:val="single" w:sz="4" w:space="0" w:color="auto"/>
              <w:right w:val="single" w:sz="4" w:space="0" w:color="auto"/>
            </w:tcBorders>
            <w:shd w:val="clear" w:color="auto" w:fill="auto"/>
            <w:vAlign w:val="center"/>
            <w:hideMark/>
          </w:tcPr>
          <w:p w14:paraId="5F9022C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793C73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3B4EAAC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53F967C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Cinnamic acids and derivatives (9.09%)</w:t>
            </w:r>
          </w:p>
        </w:tc>
        <w:tc>
          <w:tcPr>
            <w:tcW w:w="1350" w:type="dxa"/>
            <w:tcBorders>
              <w:top w:val="nil"/>
              <w:left w:val="nil"/>
              <w:bottom w:val="single" w:sz="4" w:space="0" w:color="auto"/>
              <w:right w:val="single" w:sz="4" w:space="0" w:color="auto"/>
            </w:tcBorders>
            <w:shd w:val="clear" w:color="auto" w:fill="auto"/>
            <w:vAlign w:val="center"/>
            <w:hideMark/>
          </w:tcPr>
          <w:p w14:paraId="221044C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Endogenous human metabolite; Also potential biomarker for coffee, wheat, sunflowers, etc.</w:t>
            </w:r>
          </w:p>
        </w:tc>
        <w:tc>
          <w:tcPr>
            <w:tcW w:w="1440" w:type="dxa"/>
            <w:tcBorders>
              <w:top w:val="nil"/>
              <w:left w:val="nil"/>
              <w:bottom w:val="single" w:sz="4" w:space="0" w:color="auto"/>
              <w:right w:val="single" w:sz="4" w:space="0" w:color="auto"/>
            </w:tcBorders>
            <w:shd w:val="clear" w:color="auto" w:fill="auto"/>
            <w:vAlign w:val="center"/>
            <w:hideMark/>
          </w:tcPr>
          <w:p w14:paraId="652BFC5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637D1C6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Predominantly found in plant, food (such as fruits), and beverage samples. Also found in human caecum and fecal samples.</w:t>
            </w:r>
          </w:p>
        </w:tc>
      </w:tr>
      <w:tr w:rsidR="00C53819" w:rsidRPr="00901194" w14:paraId="5BC77206" w14:textId="77777777" w:rsidTr="00C53819">
        <w:trPr>
          <w:trHeight w:val="30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3AFE30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lastRenderedPageBreak/>
              <w:t>2-Butanone, 4-(2,6,6-trimethyl-2-cyclohexen-1-yl)</w:t>
            </w:r>
          </w:p>
        </w:tc>
        <w:tc>
          <w:tcPr>
            <w:tcW w:w="810" w:type="dxa"/>
            <w:tcBorders>
              <w:top w:val="nil"/>
              <w:left w:val="nil"/>
              <w:bottom w:val="single" w:sz="4" w:space="0" w:color="auto"/>
              <w:right w:val="single" w:sz="4" w:space="0" w:color="auto"/>
            </w:tcBorders>
            <w:shd w:val="clear" w:color="auto" w:fill="auto"/>
            <w:vAlign w:val="center"/>
            <w:hideMark/>
          </w:tcPr>
          <w:p w14:paraId="6DA58CC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177.164</w:t>
            </w:r>
          </w:p>
        </w:tc>
        <w:tc>
          <w:tcPr>
            <w:tcW w:w="630" w:type="dxa"/>
            <w:tcBorders>
              <w:top w:val="nil"/>
              <w:left w:val="nil"/>
              <w:bottom w:val="single" w:sz="4" w:space="0" w:color="auto"/>
              <w:right w:val="single" w:sz="4" w:space="0" w:color="auto"/>
            </w:tcBorders>
            <w:shd w:val="clear" w:color="auto" w:fill="auto"/>
            <w:vAlign w:val="center"/>
            <w:hideMark/>
          </w:tcPr>
          <w:p w14:paraId="0317D86A"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3.15</w:t>
            </w:r>
          </w:p>
        </w:tc>
        <w:tc>
          <w:tcPr>
            <w:tcW w:w="810" w:type="dxa"/>
            <w:tcBorders>
              <w:top w:val="nil"/>
              <w:left w:val="nil"/>
              <w:bottom w:val="single" w:sz="4" w:space="0" w:color="auto"/>
              <w:right w:val="single" w:sz="4" w:space="0" w:color="auto"/>
            </w:tcBorders>
            <w:shd w:val="clear" w:color="auto" w:fill="auto"/>
            <w:vAlign w:val="center"/>
            <w:hideMark/>
          </w:tcPr>
          <w:p w14:paraId="44D60DA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0.83</w:t>
            </w:r>
          </w:p>
        </w:tc>
        <w:tc>
          <w:tcPr>
            <w:tcW w:w="1170" w:type="dxa"/>
            <w:tcBorders>
              <w:top w:val="nil"/>
              <w:left w:val="nil"/>
              <w:bottom w:val="single" w:sz="4" w:space="0" w:color="auto"/>
              <w:right w:val="single" w:sz="4" w:space="0" w:color="auto"/>
            </w:tcBorders>
            <w:shd w:val="clear" w:color="auto" w:fill="auto"/>
            <w:vAlign w:val="center"/>
            <w:hideMark/>
          </w:tcPr>
          <w:p w14:paraId="62D7CEB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0C23032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363D990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7423BC6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19FF19E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 xml:space="preserve">Also known as 3α,7α,12α-trihydroxycholestanoic acid (THCA); Intermediate bile acid associated with metabolic disorders </w:t>
            </w:r>
          </w:p>
        </w:tc>
        <w:tc>
          <w:tcPr>
            <w:tcW w:w="1440" w:type="dxa"/>
            <w:tcBorders>
              <w:top w:val="nil"/>
              <w:left w:val="nil"/>
              <w:bottom w:val="single" w:sz="4" w:space="0" w:color="auto"/>
              <w:right w:val="single" w:sz="4" w:space="0" w:color="auto"/>
            </w:tcBorders>
            <w:shd w:val="clear" w:color="auto" w:fill="auto"/>
            <w:vAlign w:val="center"/>
            <w:hideMark/>
          </w:tcPr>
          <w:p w14:paraId="6A926B9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0E367F8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Predominantly found in plant samples (</w:t>
            </w:r>
            <w:r w:rsidRPr="00901194">
              <w:rPr>
                <w:rFonts w:eastAsia="Times New Roman" w:cs="Times New Roman"/>
                <w:b/>
                <w:bCs/>
                <w:i/>
                <w:iCs/>
                <w:color w:val="000000"/>
              </w:rPr>
              <w:t>Cucumis melo</w:t>
            </w:r>
            <w:r w:rsidRPr="00901194">
              <w:rPr>
                <w:rFonts w:eastAsia="Times New Roman" w:cs="Times New Roman"/>
                <w:b/>
                <w:bCs/>
                <w:color w:val="000000"/>
              </w:rPr>
              <w:t>), bacterial culture (</w:t>
            </w:r>
            <w:r w:rsidRPr="00901194">
              <w:rPr>
                <w:rFonts w:eastAsia="Times New Roman" w:cs="Times New Roman"/>
                <w:b/>
                <w:bCs/>
                <w:i/>
                <w:iCs/>
                <w:color w:val="000000"/>
              </w:rPr>
              <w:t>Bacteroides dorei</w:t>
            </w:r>
            <w:r w:rsidRPr="00901194">
              <w:rPr>
                <w:rFonts w:eastAsia="Times New Roman" w:cs="Times New Roman"/>
                <w:b/>
                <w:bCs/>
                <w:color w:val="000000"/>
              </w:rPr>
              <w:t xml:space="preserve">; </w:t>
            </w:r>
            <w:r w:rsidRPr="00901194">
              <w:rPr>
                <w:rFonts w:eastAsia="Times New Roman" w:cs="Times New Roman"/>
                <w:b/>
                <w:bCs/>
                <w:i/>
                <w:iCs/>
                <w:color w:val="000000"/>
              </w:rPr>
              <w:t>Propionibacterium acnes</w:t>
            </w:r>
            <w:r w:rsidRPr="00901194">
              <w:rPr>
                <w:rFonts w:eastAsia="Times New Roman" w:cs="Times New Roman"/>
                <w:b/>
                <w:bCs/>
                <w:color w:val="000000"/>
              </w:rPr>
              <w:t>), and fungal cultures.</w:t>
            </w:r>
          </w:p>
        </w:tc>
      </w:tr>
      <w:tr w:rsidR="00C53819" w:rsidRPr="00901194" w14:paraId="4EDFAB46" w14:textId="77777777" w:rsidTr="00C53819">
        <w:trPr>
          <w:trHeight w:val="197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D6E466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Paraxanthine</w:t>
            </w:r>
          </w:p>
        </w:tc>
        <w:tc>
          <w:tcPr>
            <w:tcW w:w="810" w:type="dxa"/>
            <w:tcBorders>
              <w:top w:val="nil"/>
              <w:left w:val="nil"/>
              <w:bottom w:val="single" w:sz="4" w:space="0" w:color="auto"/>
              <w:right w:val="single" w:sz="4" w:space="0" w:color="auto"/>
            </w:tcBorders>
            <w:shd w:val="clear" w:color="auto" w:fill="auto"/>
            <w:vAlign w:val="center"/>
            <w:hideMark/>
          </w:tcPr>
          <w:p w14:paraId="5A90427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181.072</w:t>
            </w:r>
          </w:p>
        </w:tc>
        <w:tc>
          <w:tcPr>
            <w:tcW w:w="630" w:type="dxa"/>
            <w:tcBorders>
              <w:top w:val="nil"/>
              <w:left w:val="nil"/>
              <w:bottom w:val="single" w:sz="4" w:space="0" w:color="auto"/>
              <w:right w:val="single" w:sz="4" w:space="0" w:color="auto"/>
            </w:tcBorders>
            <w:shd w:val="clear" w:color="auto" w:fill="auto"/>
            <w:vAlign w:val="center"/>
            <w:hideMark/>
          </w:tcPr>
          <w:p w14:paraId="6B53005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0.81</w:t>
            </w:r>
          </w:p>
        </w:tc>
        <w:tc>
          <w:tcPr>
            <w:tcW w:w="810" w:type="dxa"/>
            <w:tcBorders>
              <w:top w:val="nil"/>
              <w:left w:val="nil"/>
              <w:bottom w:val="single" w:sz="4" w:space="0" w:color="auto"/>
              <w:right w:val="single" w:sz="4" w:space="0" w:color="auto"/>
            </w:tcBorders>
            <w:shd w:val="clear" w:color="auto" w:fill="auto"/>
            <w:vAlign w:val="center"/>
            <w:hideMark/>
          </w:tcPr>
          <w:p w14:paraId="6A41B28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0.94</w:t>
            </w:r>
          </w:p>
        </w:tc>
        <w:tc>
          <w:tcPr>
            <w:tcW w:w="1170" w:type="dxa"/>
            <w:tcBorders>
              <w:top w:val="nil"/>
              <w:left w:val="nil"/>
              <w:bottom w:val="single" w:sz="4" w:space="0" w:color="auto"/>
              <w:right w:val="single" w:sz="4" w:space="0" w:color="auto"/>
            </w:tcBorders>
            <w:shd w:val="clear" w:color="auto" w:fill="auto"/>
            <w:vAlign w:val="center"/>
            <w:hideMark/>
          </w:tcPr>
          <w:p w14:paraId="756B78B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702750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451175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65F83C9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Imidazopyrimidines (21.74%)</w:t>
            </w:r>
          </w:p>
        </w:tc>
        <w:tc>
          <w:tcPr>
            <w:tcW w:w="1350" w:type="dxa"/>
            <w:tcBorders>
              <w:top w:val="nil"/>
              <w:left w:val="nil"/>
              <w:bottom w:val="single" w:sz="4" w:space="0" w:color="auto"/>
              <w:right w:val="single" w:sz="4" w:space="0" w:color="auto"/>
            </w:tcBorders>
            <w:shd w:val="clear" w:color="auto" w:fill="auto"/>
            <w:vAlign w:val="center"/>
            <w:hideMark/>
          </w:tcPr>
          <w:p w14:paraId="7F3A4A3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Primary metabolite of caffeine; Found in animals and some bacteria</w:t>
            </w:r>
          </w:p>
        </w:tc>
        <w:tc>
          <w:tcPr>
            <w:tcW w:w="1440" w:type="dxa"/>
            <w:tcBorders>
              <w:top w:val="nil"/>
              <w:left w:val="nil"/>
              <w:bottom w:val="single" w:sz="4" w:space="0" w:color="auto"/>
              <w:right w:val="single" w:sz="4" w:space="0" w:color="auto"/>
            </w:tcBorders>
            <w:shd w:val="clear" w:color="auto" w:fill="auto"/>
            <w:vAlign w:val="center"/>
            <w:hideMark/>
          </w:tcPr>
          <w:p w14:paraId="7A3F2C5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64954E0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Not in Chemical Explorer</w:t>
            </w:r>
          </w:p>
        </w:tc>
      </w:tr>
      <w:tr w:rsidR="00C53819" w:rsidRPr="00901194" w14:paraId="554855D0" w14:textId="77777777" w:rsidTr="00C53819">
        <w:trPr>
          <w:trHeight w:val="2708"/>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5BA8DD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trans-Ferulic acid</w:t>
            </w:r>
          </w:p>
        </w:tc>
        <w:tc>
          <w:tcPr>
            <w:tcW w:w="810" w:type="dxa"/>
            <w:tcBorders>
              <w:top w:val="nil"/>
              <w:left w:val="nil"/>
              <w:bottom w:val="single" w:sz="4" w:space="0" w:color="auto"/>
              <w:right w:val="single" w:sz="4" w:space="0" w:color="auto"/>
            </w:tcBorders>
            <w:shd w:val="clear" w:color="auto" w:fill="auto"/>
            <w:vAlign w:val="center"/>
            <w:hideMark/>
          </w:tcPr>
          <w:p w14:paraId="10E17E0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195.065</w:t>
            </w:r>
          </w:p>
        </w:tc>
        <w:tc>
          <w:tcPr>
            <w:tcW w:w="630" w:type="dxa"/>
            <w:tcBorders>
              <w:top w:val="nil"/>
              <w:left w:val="nil"/>
              <w:bottom w:val="single" w:sz="4" w:space="0" w:color="auto"/>
              <w:right w:val="single" w:sz="4" w:space="0" w:color="auto"/>
            </w:tcBorders>
            <w:shd w:val="clear" w:color="auto" w:fill="auto"/>
            <w:vAlign w:val="center"/>
            <w:hideMark/>
          </w:tcPr>
          <w:p w14:paraId="35ABA5A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3.01</w:t>
            </w:r>
          </w:p>
        </w:tc>
        <w:tc>
          <w:tcPr>
            <w:tcW w:w="810" w:type="dxa"/>
            <w:tcBorders>
              <w:top w:val="nil"/>
              <w:left w:val="nil"/>
              <w:bottom w:val="single" w:sz="4" w:space="0" w:color="auto"/>
              <w:right w:val="single" w:sz="4" w:space="0" w:color="auto"/>
            </w:tcBorders>
            <w:shd w:val="clear" w:color="auto" w:fill="auto"/>
            <w:vAlign w:val="center"/>
            <w:hideMark/>
          </w:tcPr>
          <w:p w14:paraId="150002B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0.91</w:t>
            </w:r>
          </w:p>
        </w:tc>
        <w:tc>
          <w:tcPr>
            <w:tcW w:w="1170" w:type="dxa"/>
            <w:tcBorders>
              <w:top w:val="nil"/>
              <w:left w:val="nil"/>
              <w:bottom w:val="single" w:sz="4" w:space="0" w:color="auto"/>
              <w:right w:val="single" w:sz="4" w:space="0" w:color="auto"/>
            </w:tcBorders>
            <w:shd w:val="clear" w:color="auto" w:fill="auto"/>
            <w:vAlign w:val="center"/>
            <w:hideMark/>
          </w:tcPr>
          <w:p w14:paraId="3C740B2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ADCC29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1222ED0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60EB35C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Cinnamic acids and derivatives (9.09%)</w:t>
            </w:r>
          </w:p>
        </w:tc>
        <w:tc>
          <w:tcPr>
            <w:tcW w:w="1350" w:type="dxa"/>
            <w:tcBorders>
              <w:top w:val="nil"/>
              <w:left w:val="nil"/>
              <w:bottom w:val="single" w:sz="4" w:space="0" w:color="auto"/>
              <w:right w:val="single" w:sz="4" w:space="0" w:color="auto"/>
            </w:tcBorders>
            <w:shd w:val="clear" w:color="auto" w:fill="auto"/>
            <w:vAlign w:val="center"/>
            <w:hideMark/>
          </w:tcPr>
          <w:p w14:paraId="3A79E04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Abundant in plant cell walls</w:t>
            </w:r>
          </w:p>
        </w:tc>
        <w:tc>
          <w:tcPr>
            <w:tcW w:w="1440" w:type="dxa"/>
            <w:tcBorders>
              <w:top w:val="nil"/>
              <w:left w:val="nil"/>
              <w:bottom w:val="single" w:sz="4" w:space="0" w:color="auto"/>
              <w:right w:val="single" w:sz="4" w:space="0" w:color="auto"/>
            </w:tcBorders>
            <w:shd w:val="clear" w:color="auto" w:fill="auto"/>
            <w:vAlign w:val="center"/>
            <w:hideMark/>
          </w:tcPr>
          <w:p w14:paraId="709E530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04E4B6E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Predominantly found in plant, food, and beverage samples. Also found in human fecal and caecum samples. </w:t>
            </w:r>
          </w:p>
        </w:tc>
      </w:tr>
      <w:tr w:rsidR="00C53819" w:rsidRPr="00901194" w14:paraId="1EDF78E8" w14:textId="77777777" w:rsidTr="00C53819">
        <w:trPr>
          <w:trHeight w:val="719"/>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310ED5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Loliolide</w:t>
            </w:r>
          </w:p>
        </w:tc>
        <w:tc>
          <w:tcPr>
            <w:tcW w:w="810" w:type="dxa"/>
            <w:tcBorders>
              <w:top w:val="nil"/>
              <w:left w:val="nil"/>
              <w:bottom w:val="single" w:sz="4" w:space="0" w:color="auto"/>
              <w:right w:val="single" w:sz="4" w:space="0" w:color="auto"/>
            </w:tcBorders>
            <w:shd w:val="clear" w:color="auto" w:fill="auto"/>
            <w:vAlign w:val="center"/>
            <w:hideMark/>
          </w:tcPr>
          <w:p w14:paraId="4B6F231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197.117</w:t>
            </w:r>
          </w:p>
        </w:tc>
        <w:tc>
          <w:tcPr>
            <w:tcW w:w="630" w:type="dxa"/>
            <w:tcBorders>
              <w:top w:val="nil"/>
              <w:left w:val="nil"/>
              <w:bottom w:val="single" w:sz="4" w:space="0" w:color="auto"/>
              <w:right w:val="single" w:sz="4" w:space="0" w:color="auto"/>
            </w:tcBorders>
            <w:shd w:val="clear" w:color="auto" w:fill="auto"/>
            <w:vAlign w:val="center"/>
            <w:hideMark/>
          </w:tcPr>
          <w:p w14:paraId="01A0F69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3.11</w:t>
            </w:r>
          </w:p>
        </w:tc>
        <w:tc>
          <w:tcPr>
            <w:tcW w:w="810" w:type="dxa"/>
            <w:tcBorders>
              <w:top w:val="nil"/>
              <w:left w:val="nil"/>
              <w:bottom w:val="single" w:sz="4" w:space="0" w:color="auto"/>
              <w:right w:val="single" w:sz="4" w:space="0" w:color="auto"/>
            </w:tcBorders>
            <w:shd w:val="clear" w:color="auto" w:fill="auto"/>
            <w:vAlign w:val="center"/>
            <w:hideMark/>
          </w:tcPr>
          <w:p w14:paraId="1720567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0.94</w:t>
            </w:r>
          </w:p>
        </w:tc>
        <w:tc>
          <w:tcPr>
            <w:tcW w:w="1170" w:type="dxa"/>
            <w:tcBorders>
              <w:top w:val="nil"/>
              <w:left w:val="nil"/>
              <w:bottom w:val="single" w:sz="4" w:space="0" w:color="auto"/>
              <w:right w:val="single" w:sz="4" w:space="0" w:color="auto"/>
            </w:tcBorders>
            <w:shd w:val="clear" w:color="auto" w:fill="auto"/>
            <w:vAlign w:val="center"/>
            <w:hideMark/>
          </w:tcPr>
          <w:p w14:paraId="4EA2171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B5D402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037342D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77D89CD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Benzofurans (13.79%)</w:t>
            </w:r>
          </w:p>
        </w:tc>
        <w:tc>
          <w:tcPr>
            <w:tcW w:w="1350" w:type="dxa"/>
            <w:tcBorders>
              <w:top w:val="nil"/>
              <w:left w:val="nil"/>
              <w:bottom w:val="single" w:sz="4" w:space="0" w:color="auto"/>
              <w:right w:val="single" w:sz="4" w:space="0" w:color="auto"/>
            </w:tcBorders>
            <w:shd w:val="clear" w:color="auto" w:fill="auto"/>
            <w:vAlign w:val="center"/>
            <w:hideMark/>
          </w:tcPr>
          <w:p w14:paraId="4C065A7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Plant metabolite</w:t>
            </w:r>
          </w:p>
        </w:tc>
        <w:tc>
          <w:tcPr>
            <w:tcW w:w="1440" w:type="dxa"/>
            <w:tcBorders>
              <w:top w:val="nil"/>
              <w:left w:val="nil"/>
              <w:bottom w:val="single" w:sz="4" w:space="0" w:color="auto"/>
              <w:right w:val="single" w:sz="4" w:space="0" w:color="auto"/>
            </w:tcBorders>
            <w:shd w:val="clear" w:color="auto" w:fill="auto"/>
            <w:vAlign w:val="center"/>
            <w:hideMark/>
          </w:tcPr>
          <w:p w14:paraId="2AC9906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11B66F7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environmental and plant </w:t>
            </w:r>
            <w:r w:rsidRPr="00901194">
              <w:rPr>
                <w:rFonts w:eastAsia="Times New Roman" w:cs="Times New Roman"/>
                <w:color w:val="000000"/>
              </w:rPr>
              <w:lastRenderedPageBreak/>
              <w:t>samples (</w:t>
            </w:r>
            <w:r w:rsidRPr="00901194">
              <w:rPr>
                <w:rFonts w:eastAsia="Times New Roman" w:cs="Times New Roman"/>
                <w:i/>
                <w:iCs/>
                <w:color w:val="000000"/>
              </w:rPr>
              <w:t>Cucumis melo</w:t>
            </w:r>
            <w:r w:rsidRPr="00901194">
              <w:rPr>
                <w:rFonts w:eastAsia="Times New Roman" w:cs="Times New Roman"/>
                <w:color w:val="000000"/>
              </w:rPr>
              <w:t>)</w:t>
            </w:r>
          </w:p>
        </w:tc>
      </w:tr>
      <w:tr w:rsidR="00C53819" w:rsidRPr="00901194" w14:paraId="1837C721" w14:textId="77777777" w:rsidTr="00C53819">
        <w:trPr>
          <w:trHeight w:val="17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E2E311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3-Hydroxydodecanoic acid</w:t>
            </w:r>
          </w:p>
        </w:tc>
        <w:tc>
          <w:tcPr>
            <w:tcW w:w="810" w:type="dxa"/>
            <w:tcBorders>
              <w:top w:val="nil"/>
              <w:left w:val="nil"/>
              <w:bottom w:val="single" w:sz="4" w:space="0" w:color="auto"/>
              <w:right w:val="single" w:sz="4" w:space="0" w:color="auto"/>
            </w:tcBorders>
            <w:shd w:val="clear" w:color="auto" w:fill="auto"/>
            <w:vAlign w:val="center"/>
            <w:hideMark/>
          </w:tcPr>
          <w:p w14:paraId="4D1E7D9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199.169</w:t>
            </w:r>
          </w:p>
        </w:tc>
        <w:tc>
          <w:tcPr>
            <w:tcW w:w="630" w:type="dxa"/>
            <w:tcBorders>
              <w:top w:val="nil"/>
              <w:left w:val="nil"/>
              <w:bottom w:val="single" w:sz="4" w:space="0" w:color="auto"/>
              <w:right w:val="single" w:sz="4" w:space="0" w:color="auto"/>
            </w:tcBorders>
            <w:shd w:val="clear" w:color="auto" w:fill="auto"/>
            <w:vAlign w:val="center"/>
            <w:hideMark/>
          </w:tcPr>
          <w:p w14:paraId="25C5379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5.35</w:t>
            </w:r>
          </w:p>
        </w:tc>
        <w:tc>
          <w:tcPr>
            <w:tcW w:w="810" w:type="dxa"/>
            <w:tcBorders>
              <w:top w:val="nil"/>
              <w:left w:val="nil"/>
              <w:bottom w:val="single" w:sz="4" w:space="0" w:color="auto"/>
              <w:right w:val="single" w:sz="4" w:space="0" w:color="auto"/>
            </w:tcBorders>
            <w:shd w:val="clear" w:color="auto" w:fill="auto"/>
            <w:vAlign w:val="center"/>
            <w:hideMark/>
          </w:tcPr>
          <w:p w14:paraId="19F3647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0.99</w:t>
            </w:r>
          </w:p>
        </w:tc>
        <w:tc>
          <w:tcPr>
            <w:tcW w:w="1170" w:type="dxa"/>
            <w:tcBorders>
              <w:top w:val="nil"/>
              <w:left w:val="nil"/>
              <w:bottom w:val="single" w:sz="4" w:space="0" w:color="auto"/>
              <w:right w:val="single" w:sz="4" w:space="0" w:color="auto"/>
            </w:tcBorders>
            <w:shd w:val="clear" w:color="auto" w:fill="auto"/>
            <w:vAlign w:val="center"/>
            <w:hideMark/>
          </w:tcPr>
          <w:p w14:paraId="2963032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567DA12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2C9D0E4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203A300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Lactones (20%)</w:t>
            </w:r>
          </w:p>
        </w:tc>
        <w:tc>
          <w:tcPr>
            <w:tcW w:w="1350" w:type="dxa"/>
            <w:tcBorders>
              <w:top w:val="nil"/>
              <w:left w:val="nil"/>
              <w:bottom w:val="single" w:sz="4" w:space="0" w:color="auto"/>
              <w:right w:val="single" w:sz="4" w:space="0" w:color="auto"/>
            </w:tcBorders>
            <w:shd w:val="clear" w:color="auto" w:fill="auto"/>
            <w:vAlign w:val="center"/>
            <w:hideMark/>
          </w:tcPr>
          <w:p w14:paraId="7350919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Medium-chain fatty acid </w:t>
            </w:r>
          </w:p>
        </w:tc>
        <w:tc>
          <w:tcPr>
            <w:tcW w:w="1440" w:type="dxa"/>
            <w:tcBorders>
              <w:top w:val="nil"/>
              <w:left w:val="nil"/>
              <w:bottom w:val="single" w:sz="4" w:space="0" w:color="auto"/>
              <w:right w:val="single" w:sz="4" w:space="0" w:color="auto"/>
            </w:tcBorders>
            <w:shd w:val="clear" w:color="auto" w:fill="auto"/>
            <w:vAlign w:val="center"/>
            <w:hideMark/>
          </w:tcPr>
          <w:p w14:paraId="74EF52E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C4B84F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environmental samples, plant samples, and some human feces</w:t>
            </w:r>
          </w:p>
        </w:tc>
      </w:tr>
      <w:tr w:rsidR="00C53819" w:rsidRPr="00901194" w14:paraId="3610C0DA" w14:textId="77777777" w:rsidTr="00C53819">
        <w:trPr>
          <w:trHeight w:val="206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2EDEEB9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N-Acetyl-D-mannosamine</w:t>
            </w:r>
          </w:p>
        </w:tc>
        <w:tc>
          <w:tcPr>
            <w:tcW w:w="810" w:type="dxa"/>
            <w:tcBorders>
              <w:top w:val="nil"/>
              <w:left w:val="nil"/>
              <w:bottom w:val="single" w:sz="4" w:space="0" w:color="auto"/>
              <w:right w:val="single" w:sz="4" w:space="0" w:color="auto"/>
            </w:tcBorders>
            <w:shd w:val="clear" w:color="auto" w:fill="auto"/>
            <w:vAlign w:val="center"/>
            <w:hideMark/>
          </w:tcPr>
          <w:p w14:paraId="3900FF4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204.087</w:t>
            </w:r>
          </w:p>
        </w:tc>
        <w:tc>
          <w:tcPr>
            <w:tcW w:w="630" w:type="dxa"/>
            <w:tcBorders>
              <w:top w:val="nil"/>
              <w:left w:val="nil"/>
              <w:bottom w:val="single" w:sz="4" w:space="0" w:color="auto"/>
              <w:right w:val="single" w:sz="4" w:space="0" w:color="auto"/>
            </w:tcBorders>
            <w:shd w:val="clear" w:color="auto" w:fill="auto"/>
            <w:vAlign w:val="center"/>
            <w:hideMark/>
          </w:tcPr>
          <w:p w14:paraId="764F526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3.27</w:t>
            </w:r>
          </w:p>
        </w:tc>
        <w:tc>
          <w:tcPr>
            <w:tcW w:w="810" w:type="dxa"/>
            <w:tcBorders>
              <w:top w:val="nil"/>
              <w:left w:val="nil"/>
              <w:bottom w:val="single" w:sz="4" w:space="0" w:color="auto"/>
              <w:right w:val="single" w:sz="4" w:space="0" w:color="auto"/>
            </w:tcBorders>
            <w:shd w:val="clear" w:color="auto" w:fill="auto"/>
            <w:vAlign w:val="center"/>
            <w:hideMark/>
          </w:tcPr>
          <w:p w14:paraId="5C1988B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0.91</w:t>
            </w:r>
          </w:p>
        </w:tc>
        <w:tc>
          <w:tcPr>
            <w:tcW w:w="1170" w:type="dxa"/>
            <w:tcBorders>
              <w:top w:val="nil"/>
              <w:left w:val="nil"/>
              <w:bottom w:val="single" w:sz="4" w:space="0" w:color="auto"/>
              <w:right w:val="single" w:sz="4" w:space="0" w:color="auto"/>
            </w:tcBorders>
            <w:shd w:val="clear" w:color="auto" w:fill="auto"/>
            <w:vAlign w:val="center"/>
            <w:hideMark/>
          </w:tcPr>
          <w:p w14:paraId="5A9FD1F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045DA2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52CDD3B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3D40085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5C8DE5C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Bacterial metabolite; Precursor to </w:t>
            </w:r>
            <w:r w:rsidRPr="00901194">
              <w:rPr>
                <w:rFonts w:eastAsia="Times New Roman" w:cs="Times New Roman"/>
                <w:i/>
                <w:iCs/>
                <w:color w:val="000000"/>
              </w:rPr>
              <w:t>N</w:t>
            </w:r>
            <w:r w:rsidRPr="00901194">
              <w:rPr>
                <w:rFonts w:eastAsia="Times New Roman" w:cs="Times New Roman"/>
                <w:color w:val="000000"/>
              </w:rPr>
              <w:t>-acetylmannosamine</w:t>
            </w:r>
          </w:p>
        </w:tc>
        <w:tc>
          <w:tcPr>
            <w:tcW w:w="1440" w:type="dxa"/>
            <w:tcBorders>
              <w:top w:val="nil"/>
              <w:left w:val="nil"/>
              <w:bottom w:val="single" w:sz="4" w:space="0" w:color="auto"/>
              <w:right w:val="single" w:sz="4" w:space="0" w:color="auto"/>
            </w:tcBorders>
            <w:shd w:val="clear" w:color="auto" w:fill="auto"/>
            <w:vAlign w:val="center"/>
            <w:hideMark/>
          </w:tcPr>
          <w:p w14:paraId="4AB4BEC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308076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a fungal culture (species not specified)</w:t>
            </w:r>
          </w:p>
        </w:tc>
      </w:tr>
      <w:tr w:rsidR="00C53819" w:rsidRPr="00901194" w14:paraId="2726D24B" w14:textId="77777777" w:rsidTr="00C53819">
        <w:trPr>
          <w:trHeight w:val="2789"/>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3BC33B2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N-acetyl-L-Phenylalanine</w:t>
            </w:r>
          </w:p>
        </w:tc>
        <w:tc>
          <w:tcPr>
            <w:tcW w:w="810" w:type="dxa"/>
            <w:tcBorders>
              <w:top w:val="nil"/>
              <w:left w:val="nil"/>
              <w:bottom w:val="single" w:sz="4" w:space="0" w:color="auto"/>
              <w:right w:val="single" w:sz="4" w:space="0" w:color="auto"/>
            </w:tcBorders>
            <w:shd w:val="clear" w:color="auto" w:fill="auto"/>
            <w:vAlign w:val="center"/>
            <w:hideMark/>
          </w:tcPr>
          <w:p w14:paraId="4BC0CD0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208.097</w:t>
            </w:r>
          </w:p>
        </w:tc>
        <w:tc>
          <w:tcPr>
            <w:tcW w:w="630" w:type="dxa"/>
            <w:tcBorders>
              <w:top w:val="nil"/>
              <w:left w:val="nil"/>
              <w:bottom w:val="single" w:sz="4" w:space="0" w:color="auto"/>
              <w:right w:val="single" w:sz="4" w:space="0" w:color="auto"/>
            </w:tcBorders>
            <w:shd w:val="clear" w:color="auto" w:fill="auto"/>
            <w:vAlign w:val="center"/>
            <w:hideMark/>
          </w:tcPr>
          <w:p w14:paraId="3E85CC6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2.84</w:t>
            </w:r>
          </w:p>
        </w:tc>
        <w:tc>
          <w:tcPr>
            <w:tcW w:w="810" w:type="dxa"/>
            <w:tcBorders>
              <w:top w:val="nil"/>
              <w:left w:val="nil"/>
              <w:bottom w:val="single" w:sz="4" w:space="0" w:color="auto"/>
              <w:right w:val="single" w:sz="4" w:space="0" w:color="auto"/>
            </w:tcBorders>
            <w:shd w:val="clear" w:color="auto" w:fill="auto"/>
            <w:vAlign w:val="center"/>
            <w:hideMark/>
          </w:tcPr>
          <w:p w14:paraId="2DFE420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0.95</w:t>
            </w:r>
          </w:p>
        </w:tc>
        <w:tc>
          <w:tcPr>
            <w:tcW w:w="1170" w:type="dxa"/>
            <w:tcBorders>
              <w:top w:val="nil"/>
              <w:left w:val="nil"/>
              <w:bottom w:val="single" w:sz="4" w:space="0" w:color="auto"/>
              <w:right w:val="single" w:sz="4" w:space="0" w:color="auto"/>
            </w:tcBorders>
            <w:shd w:val="clear" w:color="auto" w:fill="auto"/>
            <w:vAlign w:val="center"/>
            <w:hideMark/>
          </w:tcPr>
          <w:p w14:paraId="0E373D5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838FAA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3CF601B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4AD745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Carboxylic acids and derivatives (10.39%)</w:t>
            </w:r>
          </w:p>
        </w:tc>
        <w:tc>
          <w:tcPr>
            <w:tcW w:w="1350" w:type="dxa"/>
            <w:tcBorders>
              <w:top w:val="nil"/>
              <w:left w:val="nil"/>
              <w:bottom w:val="single" w:sz="4" w:space="0" w:color="auto"/>
              <w:right w:val="single" w:sz="4" w:space="0" w:color="auto"/>
            </w:tcBorders>
            <w:shd w:val="clear" w:color="auto" w:fill="auto"/>
            <w:vAlign w:val="center"/>
            <w:hideMark/>
          </w:tcPr>
          <w:p w14:paraId="4D5629A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Metabolite of phenylalanine; Frequently found in urine of humans with phenylketonuria</w:t>
            </w:r>
          </w:p>
        </w:tc>
        <w:tc>
          <w:tcPr>
            <w:tcW w:w="1440" w:type="dxa"/>
            <w:tcBorders>
              <w:top w:val="nil"/>
              <w:left w:val="nil"/>
              <w:bottom w:val="single" w:sz="4" w:space="0" w:color="auto"/>
              <w:right w:val="single" w:sz="4" w:space="0" w:color="auto"/>
            </w:tcBorders>
            <w:shd w:val="clear" w:color="auto" w:fill="auto"/>
            <w:vAlign w:val="center"/>
            <w:hideMark/>
          </w:tcPr>
          <w:p w14:paraId="7D885D3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736C91E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bacterial (</w:t>
            </w:r>
            <w:r w:rsidRPr="00901194">
              <w:rPr>
                <w:rFonts w:eastAsia="Times New Roman" w:cs="Times New Roman"/>
                <w:i/>
                <w:iCs/>
                <w:color w:val="000000"/>
              </w:rPr>
              <w:t>Fusobacterium ulcerans</w:t>
            </w:r>
            <w:r w:rsidRPr="00901194">
              <w:rPr>
                <w:rFonts w:eastAsia="Times New Roman" w:cs="Times New Roman"/>
                <w:color w:val="000000"/>
              </w:rPr>
              <w:t xml:space="preserve"> 12-1B, </w:t>
            </w:r>
            <w:r w:rsidRPr="00901194">
              <w:rPr>
                <w:rFonts w:eastAsia="Times New Roman" w:cs="Times New Roman"/>
                <w:i/>
                <w:iCs/>
                <w:color w:val="000000"/>
              </w:rPr>
              <w:t>Sutterella wadsworthensis</w:t>
            </w:r>
            <w:r w:rsidRPr="00901194">
              <w:rPr>
                <w:rFonts w:eastAsia="Times New Roman" w:cs="Times New Roman"/>
                <w:color w:val="000000"/>
              </w:rPr>
              <w:t xml:space="preserve"> HGA0223, etc.) and some fungal cultures</w:t>
            </w:r>
          </w:p>
        </w:tc>
      </w:tr>
      <w:tr w:rsidR="00C53819" w:rsidRPr="00901194" w14:paraId="1BC48E9B" w14:textId="77777777" w:rsidTr="00C53819">
        <w:trPr>
          <w:trHeight w:val="39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175E4CB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Thr-Pro (Threonylproline)</w:t>
            </w:r>
          </w:p>
        </w:tc>
        <w:tc>
          <w:tcPr>
            <w:tcW w:w="810" w:type="dxa"/>
            <w:tcBorders>
              <w:top w:val="nil"/>
              <w:left w:val="nil"/>
              <w:bottom w:val="single" w:sz="4" w:space="0" w:color="auto"/>
              <w:right w:val="single" w:sz="4" w:space="0" w:color="auto"/>
            </w:tcBorders>
            <w:shd w:val="clear" w:color="auto" w:fill="auto"/>
            <w:vAlign w:val="center"/>
            <w:hideMark/>
          </w:tcPr>
          <w:p w14:paraId="17B17DD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217.122</w:t>
            </w:r>
          </w:p>
        </w:tc>
        <w:tc>
          <w:tcPr>
            <w:tcW w:w="630" w:type="dxa"/>
            <w:tcBorders>
              <w:top w:val="nil"/>
              <w:left w:val="nil"/>
              <w:bottom w:val="single" w:sz="4" w:space="0" w:color="auto"/>
              <w:right w:val="single" w:sz="4" w:space="0" w:color="auto"/>
            </w:tcBorders>
            <w:shd w:val="clear" w:color="auto" w:fill="auto"/>
            <w:vAlign w:val="center"/>
            <w:hideMark/>
          </w:tcPr>
          <w:p w14:paraId="0F3582E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0.46</w:t>
            </w:r>
          </w:p>
        </w:tc>
        <w:tc>
          <w:tcPr>
            <w:tcW w:w="810" w:type="dxa"/>
            <w:tcBorders>
              <w:top w:val="nil"/>
              <w:left w:val="nil"/>
              <w:bottom w:val="single" w:sz="4" w:space="0" w:color="auto"/>
              <w:right w:val="single" w:sz="4" w:space="0" w:color="auto"/>
            </w:tcBorders>
            <w:shd w:val="clear" w:color="auto" w:fill="auto"/>
            <w:vAlign w:val="center"/>
            <w:hideMark/>
          </w:tcPr>
          <w:p w14:paraId="12EB19E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0.96</w:t>
            </w:r>
          </w:p>
        </w:tc>
        <w:tc>
          <w:tcPr>
            <w:tcW w:w="1170" w:type="dxa"/>
            <w:tcBorders>
              <w:top w:val="nil"/>
              <w:left w:val="nil"/>
              <w:bottom w:val="single" w:sz="4" w:space="0" w:color="auto"/>
              <w:right w:val="single" w:sz="4" w:space="0" w:color="auto"/>
            </w:tcBorders>
            <w:shd w:val="clear" w:color="auto" w:fill="auto"/>
            <w:vAlign w:val="center"/>
            <w:hideMark/>
          </w:tcPr>
          <w:p w14:paraId="604C974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554E7D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554E396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34FC333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4A451A1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Threonine and proline dipeptide</w:t>
            </w:r>
          </w:p>
        </w:tc>
        <w:tc>
          <w:tcPr>
            <w:tcW w:w="1440" w:type="dxa"/>
            <w:tcBorders>
              <w:top w:val="nil"/>
              <w:left w:val="nil"/>
              <w:bottom w:val="single" w:sz="4" w:space="0" w:color="auto"/>
              <w:right w:val="single" w:sz="4" w:space="0" w:color="auto"/>
            </w:tcBorders>
            <w:shd w:val="clear" w:color="auto" w:fill="auto"/>
            <w:vAlign w:val="center"/>
            <w:hideMark/>
          </w:tcPr>
          <w:p w14:paraId="5807F4F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444EBD6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bacterial culture, fungal culture, and animal samples (e.g., mice, rats, humans, etc.). Found in human fecal samples. Associated with inflammatory bowel disease samples. Also associated with </w:t>
            </w:r>
            <w:r w:rsidRPr="00901194">
              <w:rPr>
                <w:rFonts w:eastAsia="Times New Roman" w:cs="Times New Roman"/>
                <w:i/>
                <w:iCs/>
                <w:color w:val="000000"/>
              </w:rPr>
              <w:t>Staphylococcus aureus</w:t>
            </w:r>
            <w:r w:rsidRPr="00901194">
              <w:rPr>
                <w:rFonts w:eastAsia="Times New Roman" w:cs="Times New Roman"/>
                <w:color w:val="000000"/>
              </w:rPr>
              <w:t>.</w:t>
            </w:r>
          </w:p>
        </w:tc>
      </w:tr>
      <w:tr w:rsidR="00C53819" w:rsidRPr="00901194" w14:paraId="221D17A0" w14:textId="77777777" w:rsidTr="00C53819">
        <w:trPr>
          <w:trHeight w:val="125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E9F8BA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Val-Val (Valylvaline)</w:t>
            </w:r>
          </w:p>
        </w:tc>
        <w:tc>
          <w:tcPr>
            <w:tcW w:w="810" w:type="dxa"/>
            <w:tcBorders>
              <w:top w:val="nil"/>
              <w:left w:val="nil"/>
              <w:bottom w:val="single" w:sz="4" w:space="0" w:color="auto"/>
              <w:right w:val="single" w:sz="4" w:space="0" w:color="auto"/>
            </w:tcBorders>
            <w:shd w:val="clear" w:color="auto" w:fill="auto"/>
            <w:vAlign w:val="center"/>
            <w:hideMark/>
          </w:tcPr>
          <w:p w14:paraId="29BD5A1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217.155</w:t>
            </w:r>
          </w:p>
        </w:tc>
        <w:tc>
          <w:tcPr>
            <w:tcW w:w="630" w:type="dxa"/>
            <w:tcBorders>
              <w:top w:val="nil"/>
              <w:left w:val="nil"/>
              <w:bottom w:val="single" w:sz="4" w:space="0" w:color="auto"/>
              <w:right w:val="single" w:sz="4" w:space="0" w:color="auto"/>
            </w:tcBorders>
            <w:shd w:val="clear" w:color="auto" w:fill="auto"/>
            <w:vAlign w:val="center"/>
            <w:hideMark/>
          </w:tcPr>
          <w:p w14:paraId="6036D93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0.45</w:t>
            </w:r>
          </w:p>
        </w:tc>
        <w:tc>
          <w:tcPr>
            <w:tcW w:w="810" w:type="dxa"/>
            <w:tcBorders>
              <w:top w:val="nil"/>
              <w:left w:val="nil"/>
              <w:bottom w:val="single" w:sz="4" w:space="0" w:color="auto"/>
              <w:right w:val="single" w:sz="4" w:space="0" w:color="auto"/>
            </w:tcBorders>
            <w:shd w:val="clear" w:color="auto" w:fill="auto"/>
            <w:vAlign w:val="center"/>
            <w:hideMark/>
          </w:tcPr>
          <w:p w14:paraId="3337BBD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0.97</w:t>
            </w:r>
          </w:p>
        </w:tc>
        <w:tc>
          <w:tcPr>
            <w:tcW w:w="1170" w:type="dxa"/>
            <w:tcBorders>
              <w:top w:val="nil"/>
              <w:left w:val="nil"/>
              <w:bottom w:val="single" w:sz="4" w:space="0" w:color="auto"/>
              <w:right w:val="single" w:sz="4" w:space="0" w:color="auto"/>
            </w:tcBorders>
            <w:shd w:val="clear" w:color="auto" w:fill="auto"/>
            <w:vAlign w:val="center"/>
            <w:hideMark/>
          </w:tcPr>
          <w:p w14:paraId="7C2D1A8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960034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236A072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35A1D0B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Carboxylic acids and derivatives (12.86%)</w:t>
            </w:r>
          </w:p>
        </w:tc>
        <w:tc>
          <w:tcPr>
            <w:tcW w:w="1350" w:type="dxa"/>
            <w:tcBorders>
              <w:top w:val="nil"/>
              <w:left w:val="nil"/>
              <w:bottom w:val="single" w:sz="4" w:space="0" w:color="auto"/>
              <w:right w:val="single" w:sz="4" w:space="0" w:color="auto"/>
            </w:tcBorders>
            <w:shd w:val="clear" w:color="auto" w:fill="auto"/>
            <w:vAlign w:val="center"/>
            <w:hideMark/>
          </w:tcPr>
          <w:p w14:paraId="1BCFE88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Valine and valine dipeptide</w:t>
            </w:r>
          </w:p>
        </w:tc>
        <w:tc>
          <w:tcPr>
            <w:tcW w:w="1440" w:type="dxa"/>
            <w:tcBorders>
              <w:top w:val="nil"/>
              <w:left w:val="nil"/>
              <w:bottom w:val="single" w:sz="4" w:space="0" w:color="auto"/>
              <w:right w:val="single" w:sz="4" w:space="0" w:color="auto"/>
            </w:tcBorders>
            <w:shd w:val="clear" w:color="auto" w:fill="auto"/>
            <w:vAlign w:val="center"/>
            <w:hideMark/>
          </w:tcPr>
          <w:p w14:paraId="121733F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F307C4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fungal cultures and human fecal samples.</w:t>
            </w:r>
          </w:p>
        </w:tc>
      </w:tr>
      <w:tr w:rsidR="00C53819" w:rsidRPr="00901194" w14:paraId="2973E321" w14:textId="77777777" w:rsidTr="00C53819">
        <w:trPr>
          <w:trHeight w:val="26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120087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Abrine</w:t>
            </w:r>
          </w:p>
        </w:tc>
        <w:tc>
          <w:tcPr>
            <w:tcW w:w="810" w:type="dxa"/>
            <w:tcBorders>
              <w:top w:val="nil"/>
              <w:left w:val="nil"/>
              <w:bottom w:val="single" w:sz="4" w:space="0" w:color="auto"/>
              <w:right w:val="single" w:sz="4" w:space="0" w:color="auto"/>
            </w:tcBorders>
            <w:shd w:val="clear" w:color="auto" w:fill="auto"/>
            <w:vAlign w:val="center"/>
            <w:hideMark/>
          </w:tcPr>
          <w:p w14:paraId="54F10DE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219.113</w:t>
            </w:r>
          </w:p>
        </w:tc>
        <w:tc>
          <w:tcPr>
            <w:tcW w:w="630" w:type="dxa"/>
            <w:tcBorders>
              <w:top w:val="nil"/>
              <w:left w:val="nil"/>
              <w:bottom w:val="single" w:sz="4" w:space="0" w:color="auto"/>
              <w:right w:val="single" w:sz="4" w:space="0" w:color="auto"/>
            </w:tcBorders>
            <w:shd w:val="clear" w:color="auto" w:fill="auto"/>
            <w:vAlign w:val="center"/>
            <w:hideMark/>
          </w:tcPr>
          <w:p w14:paraId="3EAE2C0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0.60</w:t>
            </w:r>
          </w:p>
        </w:tc>
        <w:tc>
          <w:tcPr>
            <w:tcW w:w="810" w:type="dxa"/>
            <w:tcBorders>
              <w:top w:val="nil"/>
              <w:left w:val="nil"/>
              <w:bottom w:val="single" w:sz="4" w:space="0" w:color="auto"/>
              <w:right w:val="single" w:sz="4" w:space="0" w:color="auto"/>
            </w:tcBorders>
            <w:shd w:val="clear" w:color="auto" w:fill="auto"/>
            <w:vAlign w:val="center"/>
            <w:hideMark/>
          </w:tcPr>
          <w:p w14:paraId="3ADB163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0.88</w:t>
            </w:r>
          </w:p>
        </w:tc>
        <w:tc>
          <w:tcPr>
            <w:tcW w:w="1170" w:type="dxa"/>
            <w:tcBorders>
              <w:top w:val="nil"/>
              <w:left w:val="nil"/>
              <w:bottom w:val="single" w:sz="4" w:space="0" w:color="auto"/>
              <w:right w:val="single" w:sz="4" w:space="0" w:color="auto"/>
            </w:tcBorders>
            <w:shd w:val="clear" w:color="auto" w:fill="auto"/>
            <w:vAlign w:val="center"/>
            <w:hideMark/>
          </w:tcPr>
          <w:p w14:paraId="01EF9BB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0347DC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58C97EF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519253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70B4C9F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Associated with </w:t>
            </w:r>
            <w:r w:rsidRPr="00901194">
              <w:rPr>
                <w:rFonts w:eastAsia="Times New Roman" w:cs="Times New Roman"/>
                <w:i/>
                <w:iCs/>
                <w:color w:val="000000"/>
              </w:rPr>
              <w:t xml:space="preserve">Escherichia coli </w:t>
            </w:r>
            <w:r w:rsidRPr="00901194">
              <w:rPr>
                <w:rFonts w:eastAsia="Times New Roman" w:cs="Times New Roman"/>
                <w:color w:val="000000"/>
              </w:rPr>
              <w:t>metabolism</w:t>
            </w:r>
          </w:p>
        </w:tc>
        <w:tc>
          <w:tcPr>
            <w:tcW w:w="1440" w:type="dxa"/>
            <w:tcBorders>
              <w:top w:val="nil"/>
              <w:left w:val="nil"/>
              <w:bottom w:val="single" w:sz="4" w:space="0" w:color="auto"/>
              <w:right w:val="single" w:sz="4" w:space="0" w:color="auto"/>
            </w:tcBorders>
            <w:shd w:val="clear" w:color="auto" w:fill="auto"/>
            <w:vAlign w:val="center"/>
            <w:hideMark/>
          </w:tcPr>
          <w:p w14:paraId="62B55B5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627E7C5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food, beverage, plant, animal, fungal culture, and bacterial culture samples. Also found in human digestive tract, fecal, heart, </w:t>
            </w:r>
            <w:r w:rsidRPr="00901194">
              <w:rPr>
                <w:rFonts w:eastAsia="Times New Roman" w:cs="Times New Roman"/>
                <w:color w:val="000000"/>
              </w:rPr>
              <w:lastRenderedPageBreak/>
              <w:t xml:space="preserve">caecum, skin, and blood samples. Found equally in human rural and urban samples. Associated with many different bacterial species (e.g., </w:t>
            </w:r>
            <w:r w:rsidRPr="00901194">
              <w:rPr>
                <w:rFonts w:eastAsia="Times New Roman" w:cs="Times New Roman"/>
                <w:i/>
                <w:iCs/>
                <w:color w:val="000000"/>
              </w:rPr>
              <w:t>Parabacteroides goldsteinii</w:t>
            </w:r>
            <w:r w:rsidRPr="00901194">
              <w:rPr>
                <w:rFonts w:eastAsia="Times New Roman" w:cs="Times New Roman"/>
                <w:color w:val="000000"/>
              </w:rPr>
              <w:t xml:space="preserve"> CC87F, </w:t>
            </w:r>
            <w:r w:rsidRPr="00901194">
              <w:rPr>
                <w:rFonts w:eastAsia="Times New Roman" w:cs="Times New Roman"/>
                <w:i/>
                <w:iCs/>
                <w:color w:val="000000"/>
              </w:rPr>
              <w:t>Prevotella nigrescens</w:t>
            </w:r>
            <w:r w:rsidRPr="00901194">
              <w:rPr>
                <w:rFonts w:eastAsia="Times New Roman" w:cs="Times New Roman"/>
                <w:color w:val="000000"/>
              </w:rPr>
              <w:t xml:space="preserve"> CC14M, </w:t>
            </w:r>
            <w:r w:rsidRPr="00901194">
              <w:rPr>
                <w:rFonts w:eastAsia="Times New Roman" w:cs="Times New Roman"/>
                <w:i/>
                <w:iCs/>
                <w:color w:val="000000"/>
              </w:rPr>
              <w:t>Bifidobacterium longum</w:t>
            </w:r>
            <w:r w:rsidRPr="00901194">
              <w:rPr>
                <w:rFonts w:eastAsia="Times New Roman" w:cs="Times New Roman"/>
                <w:color w:val="000000"/>
              </w:rPr>
              <w:t>, etc.)</w:t>
            </w:r>
          </w:p>
        </w:tc>
      </w:tr>
      <w:tr w:rsidR="00C53819" w:rsidRPr="00901194" w14:paraId="75EC5660" w14:textId="77777777" w:rsidTr="00C53819">
        <w:trPr>
          <w:trHeight w:val="152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DDD293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Pantothenic acid</w:t>
            </w:r>
          </w:p>
        </w:tc>
        <w:tc>
          <w:tcPr>
            <w:tcW w:w="810" w:type="dxa"/>
            <w:tcBorders>
              <w:top w:val="nil"/>
              <w:left w:val="nil"/>
              <w:bottom w:val="single" w:sz="4" w:space="0" w:color="auto"/>
              <w:right w:val="single" w:sz="4" w:space="0" w:color="auto"/>
            </w:tcBorders>
            <w:shd w:val="clear" w:color="auto" w:fill="auto"/>
            <w:vAlign w:val="center"/>
            <w:hideMark/>
          </w:tcPr>
          <w:p w14:paraId="08827CE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220.118</w:t>
            </w:r>
          </w:p>
        </w:tc>
        <w:tc>
          <w:tcPr>
            <w:tcW w:w="630" w:type="dxa"/>
            <w:tcBorders>
              <w:top w:val="nil"/>
              <w:left w:val="nil"/>
              <w:bottom w:val="single" w:sz="4" w:space="0" w:color="auto"/>
              <w:right w:val="single" w:sz="4" w:space="0" w:color="auto"/>
            </w:tcBorders>
            <w:shd w:val="clear" w:color="auto" w:fill="auto"/>
            <w:vAlign w:val="center"/>
            <w:hideMark/>
          </w:tcPr>
          <w:p w14:paraId="10FF12B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0.56</w:t>
            </w:r>
          </w:p>
        </w:tc>
        <w:tc>
          <w:tcPr>
            <w:tcW w:w="810" w:type="dxa"/>
            <w:tcBorders>
              <w:top w:val="nil"/>
              <w:left w:val="nil"/>
              <w:bottom w:val="single" w:sz="4" w:space="0" w:color="auto"/>
              <w:right w:val="single" w:sz="4" w:space="0" w:color="auto"/>
            </w:tcBorders>
            <w:shd w:val="clear" w:color="auto" w:fill="auto"/>
            <w:vAlign w:val="center"/>
            <w:hideMark/>
          </w:tcPr>
          <w:p w14:paraId="247E046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0.81</w:t>
            </w:r>
          </w:p>
        </w:tc>
        <w:tc>
          <w:tcPr>
            <w:tcW w:w="1170" w:type="dxa"/>
            <w:tcBorders>
              <w:top w:val="nil"/>
              <w:left w:val="nil"/>
              <w:bottom w:val="single" w:sz="4" w:space="0" w:color="auto"/>
              <w:right w:val="single" w:sz="4" w:space="0" w:color="auto"/>
            </w:tcBorders>
            <w:shd w:val="clear" w:color="auto" w:fill="auto"/>
            <w:vAlign w:val="center"/>
            <w:hideMark/>
          </w:tcPr>
          <w:p w14:paraId="117B719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7C1214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57261A2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6BC5111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022DACE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Also called Vitamin B5; essential metabolite for carbohydrate, protein, and fat synthesis</w:t>
            </w:r>
          </w:p>
        </w:tc>
        <w:tc>
          <w:tcPr>
            <w:tcW w:w="1440" w:type="dxa"/>
            <w:tcBorders>
              <w:top w:val="nil"/>
              <w:left w:val="nil"/>
              <w:bottom w:val="single" w:sz="4" w:space="0" w:color="auto"/>
              <w:right w:val="single" w:sz="4" w:space="0" w:color="auto"/>
            </w:tcBorders>
            <w:shd w:val="clear" w:color="auto" w:fill="auto"/>
            <w:vAlign w:val="center"/>
            <w:hideMark/>
          </w:tcPr>
          <w:p w14:paraId="2D4EABA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3E1CE79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 xml:space="preserve">Found in animal (human, mouse, rat, etc.) and environmental samples. </w:t>
            </w:r>
          </w:p>
        </w:tc>
      </w:tr>
      <w:tr w:rsidR="00C53819" w:rsidRPr="00901194" w14:paraId="1CDFFD09" w14:textId="77777777" w:rsidTr="00C53819">
        <w:trPr>
          <w:trHeight w:val="6578"/>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6BAA3A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PyroGlu-Pro (Pyroglutamylproline)</w:t>
            </w:r>
          </w:p>
        </w:tc>
        <w:tc>
          <w:tcPr>
            <w:tcW w:w="810" w:type="dxa"/>
            <w:tcBorders>
              <w:top w:val="nil"/>
              <w:left w:val="nil"/>
              <w:bottom w:val="single" w:sz="4" w:space="0" w:color="auto"/>
              <w:right w:val="single" w:sz="4" w:space="0" w:color="auto"/>
            </w:tcBorders>
            <w:shd w:val="clear" w:color="auto" w:fill="auto"/>
            <w:vAlign w:val="center"/>
            <w:hideMark/>
          </w:tcPr>
          <w:p w14:paraId="4124099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227.103</w:t>
            </w:r>
          </w:p>
        </w:tc>
        <w:tc>
          <w:tcPr>
            <w:tcW w:w="630" w:type="dxa"/>
            <w:tcBorders>
              <w:top w:val="nil"/>
              <w:left w:val="nil"/>
              <w:bottom w:val="single" w:sz="4" w:space="0" w:color="auto"/>
              <w:right w:val="single" w:sz="4" w:space="0" w:color="auto"/>
            </w:tcBorders>
            <w:shd w:val="clear" w:color="auto" w:fill="auto"/>
            <w:vAlign w:val="center"/>
            <w:hideMark/>
          </w:tcPr>
          <w:p w14:paraId="1E91B9B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0.44</w:t>
            </w:r>
          </w:p>
        </w:tc>
        <w:tc>
          <w:tcPr>
            <w:tcW w:w="810" w:type="dxa"/>
            <w:tcBorders>
              <w:top w:val="nil"/>
              <w:left w:val="nil"/>
              <w:bottom w:val="single" w:sz="4" w:space="0" w:color="auto"/>
              <w:right w:val="single" w:sz="4" w:space="0" w:color="auto"/>
            </w:tcBorders>
            <w:shd w:val="clear" w:color="auto" w:fill="auto"/>
            <w:vAlign w:val="center"/>
            <w:hideMark/>
          </w:tcPr>
          <w:p w14:paraId="578F11C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0.86</w:t>
            </w:r>
          </w:p>
        </w:tc>
        <w:tc>
          <w:tcPr>
            <w:tcW w:w="1170" w:type="dxa"/>
            <w:tcBorders>
              <w:top w:val="nil"/>
              <w:left w:val="nil"/>
              <w:bottom w:val="single" w:sz="4" w:space="0" w:color="auto"/>
              <w:right w:val="single" w:sz="4" w:space="0" w:color="auto"/>
            </w:tcBorders>
            <w:shd w:val="clear" w:color="auto" w:fill="auto"/>
            <w:vAlign w:val="center"/>
            <w:hideMark/>
          </w:tcPr>
          <w:p w14:paraId="26A9C6C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5A3B7EB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3778CB5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301E479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14AD240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 information provided</w:t>
            </w:r>
          </w:p>
        </w:tc>
        <w:tc>
          <w:tcPr>
            <w:tcW w:w="1440" w:type="dxa"/>
            <w:tcBorders>
              <w:top w:val="nil"/>
              <w:left w:val="nil"/>
              <w:bottom w:val="single" w:sz="4" w:space="0" w:color="auto"/>
              <w:right w:val="single" w:sz="4" w:space="0" w:color="auto"/>
            </w:tcBorders>
            <w:shd w:val="clear" w:color="auto" w:fill="auto"/>
            <w:vAlign w:val="center"/>
            <w:hideMark/>
          </w:tcPr>
          <w:p w14:paraId="514CE96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0EA2F6B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Predominantly found in bacterial cultures (</w:t>
            </w:r>
            <w:r w:rsidRPr="00901194">
              <w:rPr>
                <w:rFonts w:eastAsia="Times New Roman" w:cs="Times New Roman"/>
                <w:i/>
                <w:iCs/>
                <w:color w:val="000000"/>
              </w:rPr>
              <w:t>Prevotella nigrescens, Bacteroides stercoris</w:t>
            </w:r>
            <w:r w:rsidRPr="00901194">
              <w:rPr>
                <w:rFonts w:eastAsia="Times New Roman" w:cs="Times New Roman"/>
                <w:color w:val="000000"/>
              </w:rPr>
              <w:t xml:space="preserve"> CC31F, etc.), plant, and human fecal samples</w:t>
            </w:r>
          </w:p>
        </w:tc>
      </w:tr>
      <w:tr w:rsidR="00C53819" w:rsidRPr="00901194" w14:paraId="6CF061E9" w14:textId="77777777" w:rsidTr="00C53819">
        <w:trPr>
          <w:trHeight w:val="85"/>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7FB165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Myristoleic acid</w:t>
            </w:r>
          </w:p>
        </w:tc>
        <w:tc>
          <w:tcPr>
            <w:tcW w:w="810" w:type="dxa"/>
            <w:tcBorders>
              <w:top w:val="nil"/>
              <w:left w:val="nil"/>
              <w:bottom w:val="single" w:sz="4" w:space="0" w:color="auto"/>
              <w:right w:val="single" w:sz="4" w:space="0" w:color="auto"/>
            </w:tcBorders>
            <w:shd w:val="clear" w:color="auto" w:fill="auto"/>
            <w:vAlign w:val="center"/>
            <w:hideMark/>
          </w:tcPr>
          <w:p w14:paraId="5694D9C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227.201</w:t>
            </w:r>
          </w:p>
        </w:tc>
        <w:tc>
          <w:tcPr>
            <w:tcW w:w="630" w:type="dxa"/>
            <w:tcBorders>
              <w:top w:val="nil"/>
              <w:left w:val="nil"/>
              <w:bottom w:val="single" w:sz="4" w:space="0" w:color="auto"/>
              <w:right w:val="single" w:sz="4" w:space="0" w:color="auto"/>
            </w:tcBorders>
            <w:shd w:val="clear" w:color="auto" w:fill="auto"/>
            <w:vAlign w:val="center"/>
            <w:hideMark/>
          </w:tcPr>
          <w:p w14:paraId="2774714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5.94</w:t>
            </w:r>
          </w:p>
        </w:tc>
        <w:tc>
          <w:tcPr>
            <w:tcW w:w="810" w:type="dxa"/>
            <w:tcBorders>
              <w:top w:val="nil"/>
              <w:left w:val="nil"/>
              <w:bottom w:val="single" w:sz="4" w:space="0" w:color="auto"/>
              <w:right w:val="single" w:sz="4" w:space="0" w:color="auto"/>
            </w:tcBorders>
            <w:shd w:val="clear" w:color="auto" w:fill="auto"/>
            <w:vAlign w:val="center"/>
            <w:hideMark/>
          </w:tcPr>
          <w:p w14:paraId="392A888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0.94</w:t>
            </w:r>
          </w:p>
        </w:tc>
        <w:tc>
          <w:tcPr>
            <w:tcW w:w="1170" w:type="dxa"/>
            <w:tcBorders>
              <w:top w:val="nil"/>
              <w:left w:val="nil"/>
              <w:bottom w:val="single" w:sz="4" w:space="0" w:color="auto"/>
              <w:right w:val="single" w:sz="4" w:space="0" w:color="auto"/>
            </w:tcBorders>
            <w:shd w:val="clear" w:color="auto" w:fill="auto"/>
            <w:vAlign w:val="center"/>
            <w:hideMark/>
          </w:tcPr>
          <w:p w14:paraId="2FC4BE2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29BF6B2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2F7DBB1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057F1CA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7879F39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Long-chain fatty acid found in all eukaryotes; Potential biomarker for some dairy products and other food (anchovies, </w:t>
            </w:r>
            <w:r w:rsidRPr="00901194">
              <w:rPr>
                <w:rFonts w:eastAsia="Times New Roman" w:cs="Times New Roman"/>
                <w:color w:val="000000"/>
              </w:rPr>
              <w:lastRenderedPageBreak/>
              <w:t>dates, sunflowers, chocolate, etc.)</w:t>
            </w:r>
          </w:p>
        </w:tc>
        <w:tc>
          <w:tcPr>
            <w:tcW w:w="1440" w:type="dxa"/>
            <w:tcBorders>
              <w:top w:val="nil"/>
              <w:left w:val="nil"/>
              <w:bottom w:val="single" w:sz="4" w:space="0" w:color="auto"/>
              <w:right w:val="single" w:sz="4" w:space="0" w:color="auto"/>
            </w:tcBorders>
            <w:shd w:val="clear" w:color="auto" w:fill="auto"/>
            <w:vAlign w:val="center"/>
            <w:hideMark/>
          </w:tcPr>
          <w:p w14:paraId="79832DB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Yes</w:t>
            </w:r>
          </w:p>
        </w:tc>
        <w:tc>
          <w:tcPr>
            <w:tcW w:w="1530" w:type="dxa"/>
            <w:tcBorders>
              <w:top w:val="nil"/>
              <w:left w:val="nil"/>
              <w:bottom w:val="single" w:sz="4" w:space="0" w:color="auto"/>
              <w:right w:val="single" w:sz="4" w:space="0" w:color="auto"/>
            </w:tcBorders>
            <w:shd w:val="clear" w:color="auto" w:fill="auto"/>
            <w:vAlign w:val="center"/>
            <w:hideMark/>
          </w:tcPr>
          <w:p w14:paraId="387EA0E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Predominantly found in environmental samples, such as soil.</w:t>
            </w:r>
          </w:p>
        </w:tc>
      </w:tr>
      <w:tr w:rsidR="00C53819" w:rsidRPr="00901194" w14:paraId="4F575984" w14:textId="77777777" w:rsidTr="00C53819">
        <w:trPr>
          <w:trHeight w:val="197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CE9223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Ile-Pro (Isoleucylproline)</w:t>
            </w:r>
          </w:p>
        </w:tc>
        <w:tc>
          <w:tcPr>
            <w:tcW w:w="810" w:type="dxa"/>
            <w:tcBorders>
              <w:top w:val="nil"/>
              <w:left w:val="nil"/>
              <w:bottom w:val="single" w:sz="4" w:space="0" w:color="auto"/>
              <w:right w:val="single" w:sz="4" w:space="0" w:color="auto"/>
            </w:tcBorders>
            <w:shd w:val="clear" w:color="auto" w:fill="auto"/>
            <w:vAlign w:val="center"/>
            <w:hideMark/>
          </w:tcPr>
          <w:p w14:paraId="76D2EB3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229.155</w:t>
            </w:r>
          </w:p>
        </w:tc>
        <w:tc>
          <w:tcPr>
            <w:tcW w:w="630" w:type="dxa"/>
            <w:tcBorders>
              <w:top w:val="nil"/>
              <w:left w:val="nil"/>
              <w:bottom w:val="single" w:sz="4" w:space="0" w:color="auto"/>
              <w:right w:val="single" w:sz="4" w:space="0" w:color="auto"/>
            </w:tcBorders>
            <w:shd w:val="clear" w:color="auto" w:fill="auto"/>
            <w:vAlign w:val="center"/>
            <w:hideMark/>
          </w:tcPr>
          <w:p w14:paraId="1496057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0.7</w:t>
            </w:r>
          </w:p>
        </w:tc>
        <w:tc>
          <w:tcPr>
            <w:tcW w:w="810" w:type="dxa"/>
            <w:tcBorders>
              <w:top w:val="nil"/>
              <w:left w:val="nil"/>
              <w:bottom w:val="single" w:sz="4" w:space="0" w:color="auto"/>
              <w:right w:val="single" w:sz="4" w:space="0" w:color="auto"/>
            </w:tcBorders>
            <w:shd w:val="clear" w:color="auto" w:fill="auto"/>
            <w:vAlign w:val="center"/>
            <w:hideMark/>
          </w:tcPr>
          <w:p w14:paraId="5A5C0BC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0.98</w:t>
            </w:r>
          </w:p>
        </w:tc>
        <w:tc>
          <w:tcPr>
            <w:tcW w:w="1170" w:type="dxa"/>
            <w:tcBorders>
              <w:top w:val="nil"/>
              <w:left w:val="nil"/>
              <w:bottom w:val="single" w:sz="4" w:space="0" w:color="auto"/>
              <w:right w:val="single" w:sz="4" w:space="0" w:color="auto"/>
            </w:tcBorders>
            <w:shd w:val="clear" w:color="auto" w:fill="auto"/>
            <w:vAlign w:val="center"/>
            <w:hideMark/>
          </w:tcPr>
          <w:p w14:paraId="183CCCE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F8E6EB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4639914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29866EB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25521EE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Isoleucine and Proline dipeptide</w:t>
            </w:r>
          </w:p>
        </w:tc>
        <w:tc>
          <w:tcPr>
            <w:tcW w:w="1440" w:type="dxa"/>
            <w:tcBorders>
              <w:top w:val="nil"/>
              <w:left w:val="nil"/>
              <w:bottom w:val="single" w:sz="4" w:space="0" w:color="auto"/>
              <w:right w:val="single" w:sz="4" w:space="0" w:color="auto"/>
            </w:tcBorders>
            <w:shd w:val="clear" w:color="auto" w:fill="auto"/>
            <w:vAlign w:val="center"/>
            <w:hideMark/>
          </w:tcPr>
          <w:p w14:paraId="5A773A4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 (found in blood and sweat)</w:t>
            </w:r>
          </w:p>
        </w:tc>
        <w:tc>
          <w:tcPr>
            <w:tcW w:w="1530" w:type="dxa"/>
            <w:tcBorders>
              <w:top w:val="nil"/>
              <w:left w:val="nil"/>
              <w:bottom w:val="single" w:sz="4" w:space="0" w:color="auto"/>
              <w:right w:val="single" w:sz="4" w:space="0" w:color="auto"/>
            </w:tcBorders>
            <w:shd w:val="clear" w:color="auto" w:fill="auto"/>
            <w:vAlign w:val="center"/>
            <w:hideMark/>
          </w:tcPr>
          <w:p w14:paraId="2B03E43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Predominantly found in bacterial (e.g., </w:t>
            </w:r>
            <w:r w:rsidRPr="00901194">
              <w:rPr>
                <w:rFonts w:eastAsia="Times New Roman" w:cs="Times New Roman"/>
                <w:i/>
                <w:iCs/>
                <w:color w:val="000000"/>
              </w:rPr>
              <w:t>Prevotella denticola; Bacteroides stercoris; Parabacteroides johnsonii</w:t>
            </w:r>
            <w:r w:rsidRPr="00901194">
              <w:rPr>
                <w:rFonts w:eastAsia="Times New Roman" w:cs="Times New Roman"/>
                <w:color w:val="000000"/>
              </w:rPr>
              <w:t>, etc.) and fungal cultures</w:t>
            </w:r>
          </w:p>
        </w:tc>
      </w:tr>
      <w:tr w:rsidR="00C53819" w:rsidRPr="00901194" w14:paraId="42749B9F" w14:textId="77777777" w:rsidTr="00C53819">
        <w:trPr>
          <w:trHeight w:val="161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511EBA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Val-Ile (Valylisoleucine)</w:t>
            </w:r>
          </w:p>
        </w:tc>
        <w:tc>
          <w:tcPr>
            <w:tcW w:w="810" w:type="dxa"/>
            <w:tcBorders>
              <w:top w:val="nil"/>
              <w:left w:val="nil"/>
              <w:bottom w:val="single" w:sz="4" w:space="0" w:color="auto"/>
              <w:right w:val="single" w:sz="4" w:space="0" w:color="auto"/>
            </w:tcBorders>
            <w:shd w:val="clear" w:color="auto" w:fill="auto"/>
            <w:vAlign w:val="center"/>
            <w:hideMark/>
          </w:tcPr>
          <w:p w14:paraId="7B894EA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231.171</w:t>
            </w:r>
          </w:p>
        </w:tc>
        <w:tc>
          <w:tcPr>
            <w:tcW w:w="630" w:type="dxa"/>
            <w:tcBorders>
              <w:top w:val="nil"/>
              <w:left w:val="nil"/>
              <w:bottom w:val="single" w:sz="4" w:space="0" w:color="auto"/>
              <w:right w:val="single" w:sz="4" w:space="0" w:color="auto"/>
            </w:tcBorders>
            <w:shd w:val="clear" w:color="auto" w:fill="auto"/>
            <w:vAlign w:val="center"/>
            <w:hideMark/>
          </w:tcPr>
          <w:p w14:paraId="5D9C8F8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2.82</w:t>
            </w:r>
          </w:p>
        </w:tc>
        <w:tc>
          <w:tcPr>
            <w:tcW w:w="810" w:type="dxa"/>
            <w:tcBorders>
              <w:top w:val="nil"/>
              <w:left w:val="nil"/>
              <w:bottom w:val="single" w:sz="4" w:space="0" w:color="auto"/>
              <w:right w:val="single" w:sz="4" w:space="0" w:color="auto"/>
            </w:tcBorders>
            <w:shd w:val="clear" w:color="auto" w:fill="auto"/>
            <w:vAlign w:val="center"/>
            <w:hideMark/>
          </w:tcPr>
          <w:p w14:paraId="5A3BF75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0.88</w:t>
            </w:r>
          </w:p>
        </w:tc>
        <w:tc>
          <w:tcPr>
            <w:tcW w:w="1170" w:type="dxa"/>
            <w:tcBorders>
              <w:top w:val="nil"/>
              <w:left w:val="nil"/>
              <w:bottom w:val="single" w:sz="4" w:space="0" w:color="auto"/>
              <w:right w:val="single" w:sz="4" w:space="0" w:color="auto"/>
            </w:tcBorders>
            <w:shd w:val="clear" w:color="auto" w:fill="auto"/>
            <w:vAlign w:val="center"/>
            <w:hideMark/>
          </w:tcPr>
          <w:p w14:paraId="498D1D7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5AF91E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B7C3B0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67F26B8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5A13824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Valine and Isoleucine dipeptide</w:t>
            </w:r>
          </w:p>
        </w:tc>
        <w:tc>
          <w:tcPr>
            <w:tcW w:w="1440" w:type="dxa"/>
            <w:tcBorders>
              <w:top w:val="nil"/>
              <w:left w:val="nil"/>
              <w:bottom w:val="single" w:sz="4" w:space="0" w:color="auto"/>
              <w:right w:val="single" w:sz="4" w:space="0" w:color="auto"/>
            </w:tcBorders>
            <w:shd w:val="clear" w:color="auto" w:fill="auto"/>
            <w:vAlign w:val="center"/>
            <w:hideMark/>
          </w:tcPr>
          <w:p w14:paraId="397A3AD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212FD11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fungal cultures</w:t>
            </w:r>
          </w:p>
        </w:tc>
      </w:tr>
      <w:tr w:rsidR="00C53819" w:rsidRPr="00901194" w14:paraId="54B68481" w14:textId="77777777" w:rsidTr="00C53819">
        <w:trPr>
          <w:trHeight w:val="98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E82F4D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cis-9-Hexadecenoic acid (Palmitoleic acid)</w:t>
            </w:r>
          </w:p>
        </w:tc>
        <w:tc>
          <w:tcPr>
            <w:tcW w:w="810" w:type="dxa"/>
            <w:tcBorders>
              <w:top w:val="nil"/>
              <w:left w:val="nil"/>
              <w:bottom w:val="single" w:sz="4" w:space="0" w:color="auto"/>
              <w:right w:val="single" w:sz="4" w:space="0" w:color="auto"/>
            </w:tcBorders>
            <w:shd w:val="clear" w:color="auto" w:fill="auto"/>
            <w:vAlign w:val="center"/>
            <w:hideMark/>
          </w:tcPr>
          <w:p w14:paraId="50F67F1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237.221</w:t>
            </w:r>
          </w:p>
        </w:tc>
        <w:tc>
          <w:tcPr>
            <w:tcW w:w="630" w:type="dxa"/>
            <w:tcBorders>
              <w:top w:val="nil"/>
              <w:left w:val="nil"/>
              <w:bottom w:val="single" w:sz="4" w:space="0" w:color="auto"/>
              <w:right w:val="single" w:sz="4" w:space="0" w:color="auto"/>
            </w:tcBorders>
            <w:shd w:val="clear" w:color="auto" w:fill="auto"/>
            <w:vAlign w:val="center"/>
            <w:hideMark/>
          </w:tcPr>
          <w:p w14:paraId="1B758F2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6.49</w:t>
            </w:r>
          </w:p>
        </w:tc>
        <w:tc>
          <w:tcPr>
            <w:tcW w:w="810" w:type="dxa"/>
            <w:tcBorders>
              <w:top w:val="nil"/>
              <w:left w:val="nil"/>
              <w:bottom w:val="single" w:sz="4" w:space="0" w:color="auto"/>
              <w:right w:val="single" w:sz="4" w:space="0" w:color="auto"/>
            </w:tcBorders>
            <w:shd w:val="clear" w:color="auto" w:fill="auto"/>
            <w:vAlign w:val="center"/>
            <w:hideMark/>
          </w:tcPr>
          <w:p w14:paraId="0801E58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0.97</w:t>
            </w:r>
          </w:p>
        </w:tc>
        <w:tc>
          <w:tcPr>
            <w:tcW w:w="1170" w:type="dxa"/>
            <w:tcBorders>
              <w:top w:val="nil"/>
              <w:left w:val="nil"/>
              <w:bottom w:val="single" w:sz="4" w:space="0" w:color="auto"/>
              <w:right w:val="single" w:sz="4" w:space="0" w:color="auto"/>
            </w:tcBorders>
            <w:shd w:val="clear" w:color="auto" w:fill="auto"/>
            <w:vAlign w:val="center"/>
            <w:hideMark/>
          </w:tcPr>
          <w:p w14:paraId="4BCF000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5F41B94E"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76EC33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6F442C0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255A364E"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Unsaturated fatty acid</w:t>
            </w:r>
          </w:p>
        </w:tc>
        <w:tc>
          <w:tcPr>
            <w:tcW w:w="1440" w:type="dxa"/>
            <w:tcBorders>
              <w:top w:val="nil"/>
              <w:left w:val="nil"/>
              <w:bottom w:val="single" w:sz="4" w:space="0" w:color="auto"/>
              <w:right w:val="single" w:sz="4" w:space="0" w:color="auto"/>
            </w:tcBorders>
            <w:shd w:val="clear" w:color="auto" w:fill="auto"/>
            <w:vAlign w:val="center"/>
            <w:hideMark/>
          </w:tcPr>
          <w:p w14:paraId="10E20A8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4AB9CB3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Predominantly found in soil samples</w:t>
            </w:r>
          </w:p>
        </w:tc>
      </w:tr>
      <w:tr w:rsidR="00C53819" w:rsidRPr="00901194" w14:paraId="15DA430A" w14:textId="77777777" w:rsidTr="00C53819">
        <w:trPr>
          <w:trHeight w:val="2078"/>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9061C2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Gly-Tyr (Glycyltyrosine)</w:t>
            </w:r>
          </w:p>
        </w:tc>
        <w:tc>
          <w:tcPr>
            <w:tcW w:w="810" w:type="dxa"/>
            <w:tcBorders>
              <w:top w:val="nil"/>
              <w:left w:val="nil"/>
              <w:bottom w:val="single" w:sz="4" w:space="0" w:color="auto"/>
              <w:right w:val="single" w:sz="4" w:space="0" w:color="auto"/>
            </w:tcBorders>
            <w:shd w:val="clear" w:color="auto" w:fill="auto"/>
            <w:vAlign w:val="center"/>
            <w:hideMark/>
          </w:tcPr>
          <w:p w14:paraId="7A74105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239.102</w:t>
            </w:r>
          </w:p>
        </w:tc>
        <w:tc>
          <w:tcPr>
            <w:tcW w:w="630" w:type="dxa"/>
            <w:tcBorders>
              <w:top w:val="nil"/>
              <w:left w:val="nil"/>
              <w:bottom w:val="single" w:sz="4" w:space="0" w:color="auto"/>
              <w:right w:val="single" w:sz="4" w:space="0" w:color="auto"/>
            </w:tcBorders>
            <w:shd w:val="clear" w:color="auto" w:fill="auto"/>
            <w:vAlign w:val="center"/>
            <w:hideMark/>
          </w:tcPr>
          <w:p w14:paraId="51A2B3C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0.44</w:t>
            </w:r>
          </w:p>
        </w:tc>
        <w:tc>
          <w:tcPr>
            <w:tcW w:w="810" w:type="dxa"/>
            <w:tcBorders>
              <w:top w:val="nil"/>
              <w:left w:val="nil"/>
              <w:bottom w:val="single" w:sz="4" w:space="0" w:color="auto"/>
              <w:right w:val="single" w:sz="4" w:space="0" w:color="auto"/>
            </w:tcBorders>
            <w:shd w:val="clear" w:color="auto" w:fill="auto"/>
            <w:vAlign w:val="center"/>
            <w:hideMark/>
          </w:tcPr>
          <w:p w14:paraId="69D8276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0.95</w:t>
            </w:r>
          </w:p>
        </w:tc>
        <w:tc>
          <w:tcPr>
            <w:tcW w:w="1170" w:type="dxa"/>
            <w:tcBorders>
              <w:top w:val="nil"/>
              <w:left w:val="nil"/>
              <w:bottom w:val="single" w:sz="4" w:space="0" w:color="auto"/>
              <w:right w:val="single" w:sz="4" w:space="0" w:color="auto"/>
            </w:tcBorders>
            <w:shd w:val="clear" w:color="auto" w:fill="auto"/>
            <w:vAlign w:val="center"/>
            <w:hideMark/>
          </w:tcPr>
          <w:p w14:paraId="246D285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0AB042E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270285F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26D9E82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10AB624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Glycine and tyrosine dipeptide</w:t>
            </w:r>
          </w:p>
        </w:tc>
        <w:tc>
          <w:tcPr>
            <w:tcW w:w="1440" w:type="dxa"/>
            <w:tcBorders>
              <w:top w:val="nil"/>
              <w:left w:val="nil"/>
              <w:bottom w:val="single" w:sz="4" w:space="0" w:color="auto"/>
              <w:right w:val="single" w:sz="4" w:space="0" w:color="auto"/>
            </w:tcBorders>
            <w:shd w:val="clear" w:color="auto" w:fill="auto"/>
            <w:vAlign w:val="center"/>
            <w:hideMark/>
          </w:tcPr>
          <w:p w14:paraId="19E6164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2AF1B5D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bacterial cultures (e.g., </w:t>
            </w:r>
            <w:r w:rsidRPr="00901194">
              <w:rPr>
                <w:rFonts w:eastAsia="Times New Roman" w:cs="Times New Roman"/>
                <w:i/>
                <w:iCs/>
                <w:color w:val="000000"/>
              </w:rPr>
              <w:t>Parvimonas micra</w:t>
            </w:r>
            <w:r w:rsidRPr="00901194">
              <w:rPr>
                <w:rFonts w:eastAsia="Times New Roman" w:cs="Times New Roman"/>
                <w:color w:val="000000"/>
              </w:rPr>
              <w:t xml:space="preserve">, </w:t>
            </w:r>
            <w:r w:rsidRPr="00901194">
              <w:rPr>
                <w:rFonts w:eastAsia="Times New Roman" w:cs="Times New Roman"/>
                <w:i/>
                <w:iCs/>
                <w:color w:val="000000"/>
              </w:rPr>
              <w:t xml:space="preserve">Fusobacterium </w:t>
            </w:r>
            <w:r w:rsidRPr="00901194">
              <w:rPr>
                <w:rFonts w:eastAsia="Times New Roman" w:cs="Times New Roman"/>
                <w:i/>
                <w:iCs/>
                <w:color w:val="000000"/>
              </w:rPr>
              <w:lastRenderedPageBreak/>
              <w:t>nucleatum</w:t>
            </w:r>
            <w:r w:rsidRPr="00901194">
              <w:rPr>
                <w:rFonts w:eastAsia="Times New Roman" w:cs="Times New Roman"/>
                <w:color w:val="000000"/>
              </w:rPr>
              <w:t>, etc.)</w:t>
            </w:r>
          </w:p>
        </w:tc>
      </w:tr>
      <w:tr w:rsidR="00C53819" w:rsidRPr="00901194" w14:paraId="73EA50F3" w14:textId="77777777" w:rsidTr="00C53819">
        <w:trPr>
          <w:trHeight w:val="33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14A9E1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Biotin</w:t>
            </w:r>
          </w:p>
        </w:tc>
        <w:tc>
          <w:tcPr>
            <w:tcW w:w="810" w:type="dxa"/>
            <w:tcBorders>
              <w:top w:val="nil"/>
              <w:left w:val="nil"/>
              <w:bottom w:val="single" w:sz="4" w:space="0" w:color="auto"/>
              <w:right w:val="single" w:sz="4" w:space="0" w:color="auto"/>
            </w:tcBorders>
            <w:shd w:val="clear" w:color="auto" w:fill="auto"/>
            <w:vAlign w:val="center"/>
            <w:hideMark/>
          </w:tcPr>
          <w:p w14:paraId="56A0A35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245.098</w:t>
            </w:r>
          </w:p>
        </w:tc>
        <w:tc>
          <w:tcPr>
            <w:tcW w:w="630" w:type="dxa"/>
            <w:tcBorders>
              <w:top w:val="nil"/>
              <w:left w:val="nil"/>
              <w:bottom w:val="single" w:sz="4" w:space="0" w:color="auto"/>
              <w:right w:val="single" w:sz="4" w:space="0" w:color="auto"/>
            </w:tcBorders>
            <w:shd w:val="clear" w:color="auto" w:fill="auto"/>
            <w:vAlign w:val="center"/>
            <w:hideMark/>
          </w:tcPr>
          <w:p w14:paraId="6BA619B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2.39</w:t>
            </w:r>
          </w:p>
        </w:tc>
        <w:tc>
          <w:tcPr>
            <w:tcW w:w="810" w:type="dxa"/>
            <w:tcBorders>
              <w:top w:val="nil"/>
              <w:left w:val="nil"/>
              <w:bottom w:val="single" w:sz="4" w:space="0" w:color="auto"/>
              <w:right w:val="single" w:sz="4" w:space="0" w:color="auto"/>
            </w:tcBorders>
            <w:shd w:val="clear" w:color="auto" w:fill="auto"/>
            <w:vAlign w:val="center"/>
            <w:hideMark/>
          </w:tcPr>
          <w:p w14:paraId="5E36542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0.87</w:t>
            </w:r>
          </w:p>
        </w:tc>
        <w:tc>
          <w:tcPr>
            <w:tcW w:w="1170" w:type="dxa"/>
            <w:tcBorders>
              <w:top w:val="nil"/>
              <w:left w:val="nil"/>
              <w:bottom w:val="single" w:sz="4" w:space="0" w:color="auto"/>
              <w:right w:val="single" w:sz="4" w:space="0" w:color="auto"/>
            </w:tcBorders>
            <w:shd w:val="clear" w:color="auto" w:fill="auto"/>
            <w:vAlign w:val="center"/>
            <w:hideMark/>
          </w:tcPr>
          <w:p w14:paraId="65475CF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DC6792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4222859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16BC32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Biotin and derivatives (16.67%)</w:t>
            </w:r>
          </w:p>
        </w:tc>
        <w:tc>
          <w:tcPr>
            <w:tcW w:w="1350" w:type="dxa"/>
            <w:tcBorders>
              <w:top w:val="nil"/>
              <w:left w:val="nil"/>
              <w:bottom w:val="single" w:sz="4" w:space="0" w:color="auto"/>
              <w:right w:val="single" w:sz="4" w:space="0" w:color="auto"/>
            </w:tcBorders>
            <w:shd w:val="clear" w:color="auto" w:fill="auto"/>
            <w:vAlign w:val="center"/>
            <w:hideMark/>
          </w:tcPr>
          <w:p w14:paraId="5E2A8C1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Also called vitamin H; essential human metabolite</w:t>
            </w:r>
          </w:p>
        </w:tc>
        <w:tc>
          <w:tcPr>
            <w:tcW w:w="1440" w:type="dxa"/>
            <w:tcBorders>
              <w:top w:val="nil"/>
              <w:left w:val="nil"/>
              <w:bottom w:val="single" w:sz="4" w:space="0" w:color="auto"/>
              <w:right w:val="single" w:sz="4" w:space="0" w:color="auto"/>
            </w:tcBorders>
            <w:shd w:val="clear" w:color="auto" w:fill="auto"/>
            <w:vAlign w:val="center"/>
            <w:hideMark/>
          </w:tcPr>
          <w:p w14:paraId="214CBE1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8258EF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environmental, animal, and bacterial culture (e.g., </w:t>
            </w:r>
            <w:r w:rsidRPr="00901194">
              <w:rPr>
                <w:rFonts w:eastAsia="Times New Roman" w:cs="Times New Roman"/>
                <w:i/>
                <w:iCs/>
                <w:color w:val="000000"/>
              </w:rPr>
              <w:t>Escherichia coli</w:t>
            </w:r>
            <w:r w:rsidRPr="00901194">
              <w:rPr>
                <w:rFonts w:eastAsia="Times New Roman" w:cs="Times New Roman"/>
                <w:color w:val="000000"/>
              </w:rPr>
              <w:t xml:space="preserve">, </w:t>
            </w:r>
            <w:r w:rsidRPr="00901194">
              <w:rPr>
                <w:rFonts w:eastAsia="Times New Roman" w:cs="Times New Roman"/>
                <w:i/>
                <w:iCs/>
                <w:color w:val="000000"/>
              </w:rPr>
              <w:t>Staphylococcus aureus</w:t>
            </w:r>
            <w:r w:rsidRPr="00901194">
              <w:rPr>
                <w:rFonts w:eastAsia="Times New Roman" w:cs="Times New Roman"/>
                <w:color w:val="000000"/>
              </w:rPr>
              <w:t xml:space="preserve">, etc.) samples. Also found in human nasal cavity, skin, and saliva samples. </w:t>
            </w:r>
          </w:p>
        </w:tc>
      </w:tr>
      <w:tr w:rsidR="00C53819" w:rsidRPr="00901194" w14:paraId="50AF1595" w14:textId="77777777" w:rsidTr="00C53819">
        <w:trPr>
          <w:trHeight w:val="359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F30757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Leu-Leu (Leucylleucine)</w:t>
            </w:r>
          </w:p>
        </w:tc>
        <w:tc>
          <w:tcPr>
            <w:tcW w:w="810" w:type="dxa"/>
            <w:tcBorders>
              <w:top w:val="nil"/>
              <w:left w:val="nil"/>
              <w:bottom w:val="single" w:sz="4" w:space="0" w:color="auto"/>
              <w:right w:val="single" w:sz="4" w:space="0" w:color="auto"/>
            </w:tcBorders>
            <w:shd w:val="clear" w:color="auto" w:fill="auto"/>
            <w:vAlign w:val="center"/>
            <w:hideMark/>
          </w:tcPr>
          <w:p w14:paraId="0116FB0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245.186</w:t>
            </w:r>
          </w:p>
        </w:tc>
        <w:tc>
          <w:tcPr>
            <w:tcW w:w="630" w:type="dxa"/>
            <w:tcBorders>
              <w:top w:val="nil"/>
              <w:left w:val="nil"/>
              <w:bottom w:val="single" w:sz="4" w:space="0" w:color="auto"/>
              <w:right w:val="single" w:sz="4" w:space="0" w:color="auto"/>
            </w:tcBorders>
            <w:shd w:val="clear" w:color="auto" w:fill="auto"/>
            <w:vAlign w:val="center"/>
            <w:hideMark/>
          </w:tcPr>
          <w:p w14:paraId="69A8CFD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2.40</w:t>
            </w:r>
          </w:p>
        </w:tc>
        <w:tc>
          <w:tcPr>
            <w:tcW w:w="810" w:type="dxa"/>
            <w:tcBorders>
              <w:top w:val="nil"/>
              <w:left w:val="nil"/>
              <w:bottom w:val="single" w:sz="4" w:space="0" w:color="auto"/>
              <w:right w:val="single" w:sz="4" w:space="0" w:color="auto"/>
            </w:tcBorders>
            <w:shd w:val="clear" w:color="auto" w:fill="auto"/>
            <w:vAlign w:val="center"/>
            <w:hideMark/>
          </w:tcPr>
          <w:p w14:paraId="0C3A9A4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0.98</w:t>
            </w:r>
          </w:p>
        </w:tc>
        <w:tc>
          <w:tcPr>
            <w:tcW w:w="1170" w:type="dxa"/>
            <w:tcBorders>
              <w:top w:val="nil"/>
              <w:left w:val="nil"/>
              <w:bottom w:val="single" w:sz="4" w:space="0" w:color="auto"/>
              <w:right w:val="single" w:sz="4" w:space="0" w:color="auto"/>
            </w:tcBorders>
            <w:shd w:val="clear" w:color="auto" w:fill="auto"/>
            <w:vAlign w:val="center"/>
            <w:hideMark/>
          </w:tcPr>
          <w:p w14:paraId="3F3DE1C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40A468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5941C48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4B1E1E9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Carboxylic acids and derivatives (12.86%)</w:t>
            </w:r>
          </w:p>
        </w:tc>
        <w:tc>
          <w:tcPr>
            <w:tcW w:w="1350" w:type="dxa"/>
            <w:tcBorders>
              <w:top w:val="nil"/>
              <w:left w:val="nil"/>
              <w:bottom w:val="single" w:sz="4" w:space="0" w:color="auto"/>
              <w:right w:val="single" w:sz="4" w:space="0" w:color="auto"/>
            </w:tcBorders>
            <w:shd w:val="clear" w:color="auto" w:fill="auto"/>
            <w:vAlign w:val="center"/>
            <w:hideMark/>
          </w:tcPr>
          <w:p w14:paraId="5D87E6E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Leucine and leucine dipeptide</w:t>
            </w:r>
          </w:p>
        </w:tc>
        <w:tc>
          <w:tcPr>
            <w:tcW w:w="1440" w:type="dxa"/>
            <w:tcBorders>
              <w:top w:val="nil"/>
              <w:left w:val="nil"/>
              <w:bottom w:val="single" w:sz="4" w:space="0" w:color="auto"/>
              <w:right w:val="single" w:sz="4" w:space="0" w:color="auto"/>
            </w:tcBorders>
            <w:shd w:val="clear" w:color="auto" w:fill="auto"/>
            <w:vAlign w:val="center"/>
            <w:hideMark/>
          </w:tcPr>
          <w:p w14:paraId="41B3507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723BA4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Predominantly found in bacterial cultures (</w:t>
            </w:r>
            <w:r w:rsidRPr="00901194">
              <w:rPr>
                <w:rFonts w:eastAsia="Times New Roman" w:cs="Times New Roman"/>
                <w:i/>
                <w:iCs/>
                <w:color w:val="000000"/>
              </w:rPr>
              <w:t>Bacteroides stercoris</w:t>
            </w:r>
            <w:r w:rsidRPr="00901194">
              <w:rPr>
                <w:rFonts w:eastAsia="Times New Roman" w:cs="Times New Roman"/>
                <w:color w:val="000000"/>
              </w:rPr>
              <w:t xml:space="preserve"> CC31F, </w:t>
            </w:r>
            <w:r w:rsidRPr="00901194">
              <w:rPr>
                <w:rFonts w:eastAsia="Times New Roman" w:cs="Times New Roman"/>
                <w:i/>
                <w:iCs/>
                <w:color w:val="000000"/>
              </w:rPr>
              <w:t>Clostridium cadaveris</w:t>
            </w:r>
            <w:r w:rsidRPr="00901194">
              <w:rPr>
                <w:rFonts w:eastAsia="Times New Roman" w:cs="Times New Roman"/>
                <w:color w:val="000000"/>
              </w:rPr>
              <w:t xml:space="preserve"> CC44_001G, etc.) and fungal cultures  (not specified). Also found in human fecal samples.</w:t>
            </w:r>
          </w:p>
        </w:tc>
      </w:tr>
      <w:tr w:rsidR="00C53819" w:rsidRPr="00901194" w14:paraId="24A57796" w14:textId="77777777" w:rsidTr="00C53819">
        <w:trPr>
          <w:trHeight w:val="27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7DBC76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Lenticin</w:t>
            </w:r>
          </w:p>
        </w:tc>
        <w:tc>
          <w:tcPr>
            <w:tcW w:w="810" w:type="dxa"/>
            <w:tcBorders>
              <w:top w:val="nil"/>
              <w:left w:val="nil"/>
              <w:bottom w:val="single" w:sz="4" w:space="0" w:color="auto"/>
              <w:right w:val="single" w:sz="4" w:space="0" w:color="auto"/>
            </w:tcBorders>
            <w:shd w:val="clear" w:color="auto" w:fill="auto"/>
            <w:vAlign w:val="center"/>
            <w:hideMark/>
          </w:tcPr>
          <w:p w14:paraId="757D7ED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247.145</w:t>
            </w:r>
          </w:p>
        </w:tc>
        <w:tc>
          <w:tcPr>
            <w:tcW w:w="630" w:type="dxa"/>
            <w:tcBorders>
              <w:top w:val="nil"/>
              <w:left w:val="nil"/>
              <w:bottom w:val="single" w:sz="4" w:space="0" w:color="auto"/>
              <w:right w:val="single" w:sz="4" w:space="0" w:color="auto"/>
            </w:tcBorders>
            <w:shd w:val="clear" w:color="auto" w:fill="auto"/>
            <w:vAlign w:val="center"/>
            <w:hideMark/>
          </w:tcPr>
          <w:p w14:paraId="6A775EA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1.22</w:t>
            </w:r>
          </w:p>
        </w:tc>
        <w:tc>
          <w:tcPr>
            <w:tcW w:w="810" w:type="dxa"/>
            <w:tcBorders>
              <w:top w:val="nil"/>
              <w:left w:val="nil"/>
              <w:bottom w:val="single" w:sz="4" w:space="0" w:color="auto"/>
              <w:right w:val="single" w:sz="4" w:space="0" w:color="auto"/>
            </w:tcBorders>
            <w:shd w:val="clear" w:color="auto" w:fill="auto"/>
            <w:vAlign w:val="center"/>
            <w:hideMark/>
          </w:tcPr>
          <w:p w14:paraId="007661F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0.98</w:t>
            </w:r>
          </w:p>
        </w:tc>
        <w:tc>
          <w:tcPr>
            <w:tcW w:w="1170" w:type="dxa"/>
            <w:tcBorders>
              <w:top w:val="nil"/>
              <w:left w:val="nil"/>
              <w:bottom w:val="single" w:sz="4" w:space="0" w:color="auto"/>
              <w:right w:val="single" w:sz="4" w:space="0" w:color="auto"/>
            </w:tcBorders>
            <w:shd w:val="clear" w:color="auto" w:fill="auto"/>
            <w:vAlign w:val="center"/>
            <w:hideMark/>
          </w:tcPr>
          <w:p w14:paraId="589916E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04104B0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001BFA5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C5F42B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7D8FCE1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lentil extracts; Possible lentil biomarker</w:t>
            </w:r>
          </w:p>
        </w:tc>
        <w:tc>
          <w:tcPr>
            <w:tcW w:w="1440" w:type="dxa"/>
            <w:tcBorders>
              <w:top w:val="nil"/>
              <w:left w:val="nil"/>
              <w:bottom w:val="single" w:sz="4" w:space="0" w:color="auto"/>
              <w:right w:val="single" w:sz="4" w:space="0" w:color="auto"/>
            </w:tcBorders>
            <w:shd w:val="clear" w:color="auto" w:fill="auto"/>
            <w:vAlign w:val="center"/>
            <w:hideMark/>
          </w:tcPr>
          <w:p w14:paraId="10E1F52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478717B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food, animal, and bacterial culture samples (e.g., </w:t>
            </w:r>
            <w:r w:rsidRPr="00901194">
              <w:rPr>
                <w:rFonts w:eastAsia="Times New Roman" w:cs="Times New Roman"/>
                <w:i/>
                <w:iCs/>
                <w:color w:val="000000"/>
              </w:rPr>
              <w:t>Staphylococcus aureus</w:t>
            </w:r>
            <w:r w:rsidRPr="00901194">
              <w:rPr>
                <w:rFonts w:eastAsia="Times New Roman" w:cs="Times New Roman"/>
                <w:color w:val="000000"/>
              </w:rPr>
              <w:t xml:space="preserve">). Also found in human urine, milk, blood, and saliva samples. </w:t>
            </w:r>
          </w:p>
        </w:tc>
      </w:tr>
      <w:tr w:rsidR="00C53819" w:rsidRPr="00901194" w14:paraId="4F4F5AD1" w14:textId="77777777" w:rsidTr="00C53819">
        <w:trPr>
          <w:trHeight w:val="27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AE9807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Val-Met (Valylmethionine)</w:t>
            </w:r>
          </w:p>
        </w:tc>
        <w:tc>
          <w:tcPr>
            <w:tcW w:w="810" w:type="dxa"/>
            <w:tcBorders>
              <w:top w:val="nil"/>
              <w:left w:val="nil"/>
              <w:bottom w:val="single" w:sz="4" w:space="0" w:color="auto"/>
              <w:right w:val="single" w:sz="4" w:space="0" w:color="auto"/>
            </w:tcBorders>
            <w:shd w:val="clear" w:color="auto" w:fill="auto"/>
            <w:vAlign w:val="center"/>
            <w:hideMark/>
          </w:tcPr>
          <w:p w14:paraId="6AF35B2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249.126</w:t>
            </w:r>
          </w:p>
        </w:tc>
        <w:tc>
          <w:tcPr>
            <w:tcW w:w="630" w:type="dxa"/>
            <w:tcBorders>
              <w:top w:val="nil"/>
              <w:left w:val="nil"/>
              <w:bottom w:val="single" w:sz="4" w:space="0" w:color="auto"/>
              <w:right w:val="single" w:sz="4" w:space="0" w:color="auto"/>
            </w:tcBorders>
            <w:shd w:val="clear" w:color="auto" w:fill="auto"/>
            <w:vAlign w:val="center"/>
            <w:hideMark/>
          </w:tcPr>
          <w:p w14:paraId="14FCF14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0.56</w:t>
            </w:r>
          </w:p>
        </w:tc>
        <w:tc>
          <w:tcPr>
            <w:tcW w:w="810" w:type="dxa"/>
            <w:tcBorders>
              <w:top w:val="nil"/>
              <w:left w:val="nil"/>
              <w:bottom w:val="single" w:sz="4" w:space="0" w:color="auto"/>
              <w:right w:val="single" w:sz="4" w:space="0" w:color="auto"/>
            </w:tcBorders>
            <w:shd w:val="clear" w:color="auto" w:fill="auto"/>
            <w:vAlign w:val="center"/>
            <w:hideMark/>
          </w:tcPr>
          <w:p w14:paraId="46C0683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0.95</w:t>
            </w:r>
          </w:p>
        </w:tc>
        <w:tc>
          <w:tcPr>
            <w:tcW w:w="1170" w:type="dxa"/>
            <w:tcBorders>
              <w:top w:val="nil"/>
              <w:left w:val="nil"/>
              <w:bottom w:val="single" w:sz="4" w:space="0" w:color="auto"/>
              <w:right w:val="single" w:sz="4" w:space="0" w:color="auto"/>
            </w:tcBorders>
            <w:shd w:val="clear" w:color="auto" w:fill="auto"/>
            <w:vAlign w:val="center"/>
            <w:hideMark/>
          </w:tcPr>
          <w:p w14:paraId="5E69D2E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1CCCBD1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57FC92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25542F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5BF727E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Valine and Methionine dipeptide</w:t>
            </w:r>
          </w:p>
        </w:tc>
        <w:tc>
          <w:tcPr>
            <w:tcW w:w="1440" w:type="dxa"/>
            <w:tcBorders>
              <w:top w:val="nil"/>
              <w:left w:val="nil"/>
              <w:bottom w:val="single" w:sz="4" w:space="0" w:color="auto"/>
              <w:right w:val="single" w:sz="4" w:space="0" w:color="auto"/>
            </w:tcBorders>
            <w:shd w:val="clear" w:color="auto" w:fill="auto"/>
            <w:vAlign w:val="center"/>
            <w:hideMark/>
          </w:tcPr>
          <w:p w14:paraId="33C2431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3E94034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Not in Chemical Explorer</w:t>
            </w:r>
          </w:p>
        </w:tc>
      </w:tr>
      <w:tr w:rsidR="00C53819" w:rsidRPr="00901194" w14:paraId="390EC539" w14:textId="77777777" w:rsidTr="00C53819">
        <w:trPr>
          <w:trHeight w:val="224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325BE67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Ser-Phe (Serylphenylalanine)</w:t>
            </w:r>
          </w:p>
        </w:tc>
        <w:tc>
          <w:tcPr>
            <w:tcW w:w="810" w:type="dxa"/>
            <w:tcBorders>
              <w:top w:val="nil"/>
              <w:left w:val="nil"/>
              <w:bottom w:val="single" w:sz="4" w:space="0" w:color="auto"/>
              <w:right w:val="single" w:sz="4" w:space="0" w:color="auto"/>
            </w:tcBorders>
            <w:shd w:val="clear" w:color="auto" w:fill="auto"/>
            <w:vAlign w:val="center"/>
            <w:hideMark/>
          </w:tcPr>
          <w:p w14:paraId="0AA4EAE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253.118</w:t>
            </w:r>
          </w:p>
        </w:tc>
        <w:tc>
          <w:tcPr>
            <w:tcW w:w="630" w:type="dxa"/>
            <w:tcBorders>
              <w:top w:val="nil"/>
              <w:left w:val="nil"/>
              <w:bottom w:val="single" w:sz="4" w:space="0" w:color="auto"/>
              <w:right w:val="single" w:sz="4" w:space="0" w:color="auto"/>
            </w:tcBorders>
            <w:shd w:val="clear" w:color="auto" w:fill="auto"/>
            <w:vAlign w:val="center"/>
            <w:hideMark/>
          </w:tcPr>
          <w:p w14:paraId="73D35B1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0.79</w:t>
            </w:r>
          </w:p>
        </w:tc>
        <w:tc>
          <w:tcPr>
            <w:tcW w:w="810" w:type="dxa"/>
            <w:tcBorders>
              <w:top w:val="nil"/>
              <w:left w:val="nil"/>
              <w:bottom w:val="single" w:sz="4" w:space="0" w:color="auto"/>
              <w:right w:val="single" w:sz="4" w:space="0" w:color="auto"/>
            </w:tcBorders>
            <w:shd w:val="clear" w:color="auto" w:fill="auto"/>
            <w:vAlign w:val="center"/>
            <w:hideMark/>
          </w:tcPr>
          <w:p w14:paraId="0E5A07F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0.93</w:t>
            </w:r>
          </w:p>
        </w:tc>
        <w:tc>
          <w:tcPr>
            <w:tcW w:w="1170" w:type="dxa"/>
            <w:tcBorders>
              <w:top w:val="nil"/>
              <w:left w:val="nil"/>
              <w:bottom w:val="single" w:sz="4" w:space="0" w:color="auto"/>
              <w:right w:val="single" w:sz="4" w:space="0" w:color="auto"/>
            </w:tcBorders>
            <w:shd w:val="clear" w:color="auto" w:fill="auto"/>
            <w:vAlign w:val="center"/>
            <w:hideMark/>
          </w:tcPr>
          <w:p w14:paraId="2EEFCE8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0D2849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6736024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1E03359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7C2ABD3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Serine and phenylalanine dipeptide</w:t>
            </w:r>
          </w:p>
        </w:tc>
        <w:tc>
          <w:tcPr>
            <w:tcW w:w="1440" w:type="dxa"/>
            <w:tcBorders>
              <w:top w:val="nil"/>
              <w:left w:val="nil"/>
              <w:bottom w:val="single" w:sz="4" w:space="0" w:color="auto"/>
              <w:right w:val="single" w:sz="4" w:space="0" w:color="auto"/>
            </w:tcBorders>
            <w:shd w:val="clear" w:color="auto" w:fill="auto"/>
            <w:vAlign w:val="center"/>
            <w:hideMark/>
          </w:tcPr>
          <w:p w14:paraId="0EAAA48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4376A11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fungal cultures, bacterial cultures (</w:t>
            </w:r>
            <w:r w:rsidRPr="00901194">
              <w:rPr>
                <w:rFonts w:eastAsia="Times New Roman" w:cs="Times New Roman"/>
                <w:i/>
                <w:iCs/>
                <w:color w:val="000000"/>
              </w:rPr>
              <w:t>Bacteroides stercoris</w:t>
            </w:r>
            <w:r w:rsidRPr="00901194">
              <w:rPr>
                <w:rFonts w:eastAsia="Times New Roman" w:cs="Times New Roman"/>
                <w:color w:val="000000"/>
              </w:rPr>
              <w:t xml:space="preserve"> CC31F, </w:t>
            </w:r>
            <w:r w:rsidRPr="00901194">
              <w:rPr>
                <w:rFonts w:eastAsia="Times New Roman" w:cs="Times New Roman"/>
                <w:i/>
                <w:iCs/>
                <w:color w:val="000000"/>
              </w:rPr>
              <w:t>Clostridium cadaveris</w:t>
            </w:r>
            <w:r w:rsidRPr="00901194">
              <w:rPr>
                <w:rFonts w:eastAsia="Times New Roman" w:cs="Times New Roman"/>
                <w:color w:val="000000"/>
              </w:rPr>
              <w:t xml:space="preserve"> CC88A, etc.) and human fecal samples</w:t>
            </w:r>
          </w:p>
        </w:tc>
      </w:tr>
      <w:tr w:rsidR="00C53819" w:rsidRPr="00901194" w14:paraId="12F33289" w14:textId="77777777" w:rsidTr="00C53819">
        <w:trPr>
          <w:trHeight w:val="1898"/>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6B0FBB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Palmitelaidic acid</w:t>
            </w:r>
          </w:p>
        </w:tc>
        <w:tc>
          <w:tcPr>
            <w:tcW w:w="810" w:type="dxa"/>
            <w:tcBorders>
              <w:top w:val="nil"/>
              <w:left w:val="nil"/>
              <w:bottom w:val="single" w:sz="4" w:space="0" w:color="auto"/>
              <w:right w:val="single" w:sz="4" w:space="0" w:color="auto"/>
            </w:tcBorders>
            <w:shd w:val="clear" w:color="auto" w:fill="auto"/>
            <w:vAlign w:val="center"/>
            <w:hideMark/>
          </w:tcPr>
          <w:p w14:paraId="4EB482E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255.232</w:t>
            </w:r>
          </w:p>
        </w:tc>
        <w:tc>
          <w:tcPr>
            <w:tcW w:w="630" w:type="dxa"/>
            <w:tcBorders>
              <w:top w:val="nil"/>
              <w:left w:val="nil"/>
              <w:bottom w:val="single" w:sz="4" w:space="0" w:color="auto"/>
              <w:right w:val="single" w:sz="4" w:space="0" w:color="auto"/>
            </w:tcBorders>
            <w:shd w:val="clear" w:color="auto" w:fill="auto"/>
            <w:vAlign w:val="center"/>
            <w:hideMark/>
          </w:tcPr>
          <w:p w14:paraId="7E0F9ED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5.96</w:t>
            </w:r>
          </w:p>
        </w:tc>
        <w:tc>
          <w:tcPr>
            <w:tcW w:w="810" w:type="dxa"/>
            <w:tcBorders>
              <w:top w:val="nil"/>
              <w:left w:val="nil"/>
              <w:bottom w:val="single" w:sz="4" w:space="0" w:color="auto"/>
              <w:right w:val="single" w:sz="4" w:space="0" w:color="auto"/>
            </w:tcBorders>
            <w:shd w:val="clear" w:color="auto" w:fill="auto"/>
            <w:vAlign w:val="center"/>
            <w:hideMark/>
          </w:tcPr>
          <w:p w14:paraId="384D17F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0.92</w:t>
            </w:r>
          </w:p>
        </w:tc>
        <w:tc>
          <w:tcPr>
            <w:tcW w:w="1170" w:type="dxa"/>
            <w:tcBorders>
              <w:top w:val="nil"/>
              <w:left w:val="nil"/>
              <w:bottom w:val="single" w:sz="4" w:space="0" w:color="auto"/>
              <w:right w:val="single" w:sz="4" w:space="0" w:color="auto"/>
            </w:tcBorders>
            <w:shd w:val="clear" w:color="auto" w:fill="auto"/>
            <w:vAlign w:val="center"/>
            <w:hideMark/>
          </w:tcPr>
          <w:p w14:paraId="009D166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257145A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058B235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5D8957E"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20EBD7C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Trans fatty acid</w:t>
            </w:r>
          </w:p>
        </w:tc>
        <w:tc>
          <w:tcPr>
            <w:tcW w:w="1440" w:type="dxa"/>
            <w:tcBorders>
              <w:top w:val="nil"/>
              <w:left w:val="nil"/>
              <w:bottom w:val="single" w:sz="4" w:space="0" w:color="auto"/>
              <w:right w:val="single" w:sz="4" w:space="0" w:color="auto"/>
            </w:tcBorders>
            <w:shd w:val="clear" w:color="auto" w:fill="auto"/>
            <w:vAlign w:val="center"/>
            <w:hideMark/>
          </w:tcPr>
          <w:p w14:paraId="12C1DD1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324B6F2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human colon, upper digestive tract, liver, and fecal samples. Also found in soil samples.</w:t>
            </w:r>
          </w:p>
        </w:tc>
      </w:tr>
      <w:tr w:rsidR="00C53819" w:rsidRPr="00901194" w14:paraId="47EE6290" w14:textId="77777777" w:rsidTr="00C53819">
        <w:trPr>
          <w:trHeight w:val="21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16E67AA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L-Saccharopine</w:t>
            </w:r>
          </w:p>
        </w:tc>
        <w:tc>
          <w:tcPr>
            <w:tcW w:w="810" w:type="dxa"/>
            <w:tcBorders>
              <w:top w:val="nil"/>
              <w:left w:val="nil"/>
              <w:bottom w:val="single" w:sz="4" w:space="0" w:color="auto"/>
              <w:right w:val="single" w:sz="4" w:space="0" w:color="auto"/>
            </w:tcBorders>
            <w:shd w:val="clear" w:color="auto" w:fill="auto"/>
            <w:vAlign w:val="center"/>
            <w:hideMark/>
          </w:tcPr>
          <w:p w14:paraId="22FD0E9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259.129</w:t>
            </w:r>
          </w:p>
        </w:tc>
        <w:tc>
          <w:tcPr>
            <w:tcW w:w="630" w:type="dxa"/>
            <w:tcBorders>
              <w:top w:val="nil"/>
              <w:left w:val="nil"/>
              <w:bottom w:val="single" w:sz="4" w:space="0" w:color="auto"/>
              <w:right w:val="single" w:sz="4" w:space="0" w:color="auto"/>
            </w:tcBorders>
            <w:shd w:val="clear" w:color="auto" w:fill="auto"/>
            <w:vAlign w:val="center"/>
            <w:hideMark/>
          </w:tcPr>
          <w:p w14:paraId="6124DB1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0.31</w:t>
            </w:r>
          </w:p>
        </w:tc>
        <w:tc>
          <w:tcPr>
            <w:tcW w:w="810" w:type="dxa"/>
            <w:tcBorders>
              <w:top w:val="nil"/>
              <w:left w:val="nil"/>
              <w:bottom w:val="single" w:sz="4" w:space="0" w:color="auto"/>
              <w:right w:val="single" w:sz="4" w:space="0" w:color="auto"/>
            </w:tcBorders>
            <w:shd w:val="clear" w:color="auto" w:fill="auto"/>
            <w:vAlign w:val="center"/>
            <w:hideMark/>
          </w:tcPr>
          <w:p w14:paraId="5DF507D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0.78</w:t>
            </w:r>
          </w:p>
        </w:tc>
        <w:tc>
          <w:tcPr>
            <w:tcW w:w="1170" w:type="dxa"/>
            <w:tcBorders>
              <w:top w:val="nil"/>
              <w:left w:val="nil"/>
              <w:bottom w:val="single" w:sz="4" w:space="0" w:color="auto"/>
              <w:right w:val="single" w:sz="4" w:space="0" w:color="auto"/>
            </w:tcBorders>
            <w:shd w:val="clear" w:color="auto" w:fill="auto"/>
            <w:vAlign w:val="center"/>
            <w:hideMark/>
          </w:tcPr>
          <w:p w14:paraId="1C39EBA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512B39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697FC79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66181CA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4610331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Involved in lysine degradation</w:t>
            </w:r>
          </w:p>
        </w:tc>
        <w:tc>
          <w:tcPr>
            <w:tcW w:w="1440" w:type="dxa"/>
            <w:tcBorders>
              <w:top w:val="nil"/>
              <w:left w:val="nil"/>
              <w:bottom w:val="single" w:sz="4" w:space="0" w:color="auto"/>
              <w:right w:val="single" w:sz="4" w:space="0" w:color="auto"/>
            </w:tcBorders>
            <w:shd w:val="clear" w:color="auto" w:fill="auto"/>
            <w:vAlign w:val="center"/>
            <w:hideMark/>
          </w:tcPr>
          <w:p w14:paraId="7685064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684F5EA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bacterial culture (</w:t>
            </w:r>
            <w:r w:rsidRPr="00901194">
              <w:rPr>
                <w:rFonts w:eastAsia="Times New Roman" w:cs="Times New Roman"/>
                <w:i/>
                <w:iCs/>
                <w:color w:val="000000"/>
              </w:rPr>
              <w:t>Staphylococcus aureus</w:t>
            </w:r>
            <w:r w:rsidRPr="00901194">
              <w:rPr>
                <w:rFonts w:eastAsia="Times New Roman" w:cs="Times New Roman"/>
                <w:color w:val="000000"/>
              </w:rPr>
              <w:t xml:space="preserve"> JE3) and fungal cultures (not specified)</w:t>
            </w:r>
          </w:p>
        </w:tc>
      </w:tr>
      <w:tr w:rsidR="00C53819" w:rsidRPr="00901194" w14:paraId="747D570C" w14:textId="77777777" w:rsidTr="00C53819">
        <w:trPr>
          <w:trHeight w:val="305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1F4815D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Phe-Pro (Phenylalanylproline)</w:t>
            </w:r>
          </w:p>
        </w:tc>
        <w:tc>
          <w:tcPr>
            <w:tcW w:w="810" w:type="dxa"/>
            <w:tcBorders>
              <w:top w:val="nil"/>
              <w:left w:val="nil"/>
              <w:bottom w:val="single" w:sz="4" w:space="0" w:color="auto"/>
              <w:right w:val="single" w:sz="4" w:space="0" w:color="auto"/>
            </w:tcBorders>
            <w:shd w:val="clear" w:color="auto" w:fill="auto"/>
            <w:vAlign w:val="center"/>
            <w:hideMark/>
          </w:tcPr>
          <w:p w14:paraId="2B7B9A2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263.139</w:t>
            </w:r>
          </w:p>
        </w:tc>
        <w:tc>
          <w:tcPr>
            <w:tcW w:w="630" w:type="dxa"/>
            <w:tcBorders>
              <w:top w:val="nil"/>
              <w:left w:val="nil"/>
              <w:bottom w:val="single" w:sz="4" w:space="0" w:color="auto"/>
              <w:right w:val="single" w:sz="4" w:space="0" w:color="auto"/>
            </w:tcBorders>
            <w:shd w:val="clear" w:color="auto" w:fill="auto"/>
            <w:vAlign w:val="center"/>
            <w:hideMark/>
          </w:tcPr>
          <w:p w14:paraId="3FD6707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2.57</w:t>
            </w:r>
          </w:p>
        </w:tc>
        <w:tc>
          <w:tcPr>
            <w:tcW w:w="810" w:type="dxa"/>
            <w:tcBorders>
              <w:top w:val="nil"/>
              <w:left w:val="nil"/>
              <w:bottom w:val="single" w:sz="4" w:space="0" w:color="auto"/>
              <w:right w:val="single" w:sz="4" w:space="0" w:color="auto"/>
            </w:tcBorders>
            <w:shd w:val="clear" w:color="auto" w:fill="auto"/>
            <w:vAlign w:val="center"/>
            <w:hideMark/>
          </w:tcPr>
          <w:p w14:paraId="20A6317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0.99</w:t>
            </w:r>
          </w:p>
        </w:tc>
        <w:tc>
          <w:tcPr>
            <w:tcW w:w="1170" w:type="dxa"/>
            <w:tcBorders>
              <w:top w:val="nil"/>
              <w:left w:val="nil"/>
              <w:bottom w:val="single" w:sz="4" w:space="0" w:color="auto"/>
              <w:right w:val="single" w:sz="4" w:space="0" w:color="auto"/>
            </w:tcBorders>
            <w:shd w:val="clear" w:color="auto" w:fill="auto"/>
            <w:vAlign w:val="center"/>
            <w:hideMark/>
          </w:tcPr>
          <w:p w14:paraId="22C49C1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BA3F8F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0C93E05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20117E8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5A3011F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Phenylalanine and Proline dipeptide</w:t>
            </w:r>
          </w:p>
        </w:tc>
        <w:tc>
          <w:tcPr>
            <w:tcW w:w="1440" w:type="dxa"/>
            <w:tcBorders>
              <w:top w:val="nil"/>
              <w:left w:val="nil"/>
              <w:bottom w:val="single" w:sz="4" w:space="0" w:color="auto"/>
              <w:right w:val="single" w:sz="4" w:space="0" w:color="auto"/>
            </w:tcBorders>
            <w:shd w:val="clear" w:color="auto" w:fill="auto"/>
            <w:vAlign w:val="center"/>
            <w:hideMark/>
          </w:tcPr>
          <w:p w14:paraId="012DA2B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4EC847F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Predominantly found in bacterial cultures (</w:t>
            </w:r>
            <w:r w:rsidRPr="00901194">
              <w:rPr>
                <w:rFonts w:eastAsia="Times New Roman" w:cs="Times New Roman"/>
                <w:i/>
                <w:iCs/>
                <w:color w:val="000000"/>
              </w:rPr>
              <w:t>Bacteroides dore</w:t>
            </w:r>
            <w:r w:rsidRPr="00901194">
              <w:rPr>
                <w:rFonts w:eastAsia="Times New Roman" w:cs="Times New Roman"/>
                <w:color w:val="000000"/>
              </w:rPr>
              <w:t xml:space="preserve">i CL03T12C01, </w:t>
            </w:r>
            <w:r w:rsidRPr="00901194">
              <w:rPr>
                <w:rFonts w:eastAsia="Times New Roman" w:cs="Times New Roman"/>
                <w:i/>
                <w:iCs/>
                <w:color w:val="000000"/>
              </w:rPr>
              <w:t>Prevotella histicola</w:t>
            </w:r>
            <w:r w:rsidRPr="00901194">
              <w:rPr>
                <w:rFonts w:eastAsia="Times New Roman" w:cs="Times New Roman"/>
                <w:color w:val="000000"/>
              </w:rPr>
              <w:t xml:space="preserve">, </w:t>
            </w:r>
            <w:r w:rsidRPr="00901194">
              <w:rPr>
                <w:rFonts w:eastAsia="Times New Roman" w:cs="Times New Roman"/>
                <w:i/>
                <w:iCs/>
                <w:color w:val="000000"/>
              </w:rPr>
              <w:t>Parabacteroides goldsteinii</w:t>
            </w:r>
            <w:r w:rsidRPr="00901194">
              <w:rPr>
                <w:rFonts w:eastAsia="Times New Roman" w:cs="Times New Roman"/>
                <w:color w:val="000000"/>
              </w:rPr>
              <w:t xml:space="preserve"> CC87F, etc.) and some fungal cultures</w:t>
            </w:r>
          </w:p>
        </w:tc>
      </w:tr>
      <w:tr w:rsidR="00C53819" w:rsidRPr="00901194" w14:paraId="4EE7D587" w14:textId="77777777" w:rsidTr="00C53819">
        <w:trPr>
          <w:trHeight w:val="85"/>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78152E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Conjugated linoleic Acid (10E,12Z)</w:t>
            </w:r>
          </w:p>
        </w:tc>
        <w:tc>
          <w:tcPr>
            <w:tcW w:w="810" w:type="dxa"/>
            <w:tcBorders>
              <w:top w:val="nil"/>
              <w:left w:val="nil"/>
              <w:bottom w:val="single" w:sz="4" w:space="0" w:color="auto"/>
              <w:right w:val="single" w:sz="4" w:space="0" w:color="auto"/>
            </w:tcBorders>
            <w:shd w:val="clear" w:color="auto" w:fill="auto"/>
            <w:vAlign w:val="center"/>
            <w:hideMark/>
          </w:tcPr>
          <w:p w14:paraId="075574C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263.237</w:t>
            </w:r>
          </w:p>
        </w:tc>
        <w:tc>
          <w:tcPr>
            <w:tcW w:w="630" w:type="dxa"/>
            <w:tcBorders>
              <w:top w:val="nil"/>
              <w:left w:val="nil"/>
              <w:bottom w:val="single" w:sz="4" w:space="0" w:color="auto"/>
              <w:right w:val="single" w:sz="4" w:space="0" w:color="auto"/>
            </w:tcBorders>
            <w:shd w:val="clear" w:color="auto" w:fill="auto"/>
            <w:vAlign w:val="center"/>
            <w:hideMark/>
          </w:tcPr>
          <w:p w14:paraId="746CE2F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7.52</w:t>
            </w:r>
          </w:p>
        </w:tc>
        <w:tc>
          <w:tcPr>
            <w:tcW w:w="810" w:type="dxa"/>
            <w:tcBorders>
              <w:top w:val="nil"/>
              <w:left w:val="nil"/>
              <w:bottom w:val="single" w:sz="4" w:space="0" w:color="auto"/>
              <w:right w:val="single" w:sz="4" w:space="0" w:color="auto"/>
            </w:tcBorders>
            <w:shd w:val="clear" w:color="auto" w:fill="auto"/>
            <w:vAlign w:val="center"/>
            <w:hideMark/>
          </w:tcPr>
          <w:p w14:paraId="104CB35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0.85</w:t>
            </w:r>
          </w:p>
        </w:tc>
        <w:tc>
          <w:tcPr>
            <w:tcW w:w="1170" w:type="dxa"/>
            <w:tcBorders>
              <w:top w:val="nil"/>
              <w:left w:val="nil"/>
              <w:bottom w:val="single" w:sz="4" w:space="0" w:color="auto"/>
              <w:right w:val="single" w:sz="4" w:space="0" w:color="auto"/>
            </w:tcBorders>
            <w:shd w:val="clear" w:color="auto" w:fill="auto"/>
            <w:vAlign w:val="center"/>
            <w:hideMark/>
          </w:tcPr>
          <w:p w14:paraId="6988E9B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47A2A6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1DB8A77A"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FFDBDC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Prenol lipids (5.36%)</w:t>
            </w:r>
          </w:p>
        </w:tc>
        <w:tc>
          <w:tcPr>
            <w:tcW w:w="1350" w:type="dxa"/>
            <w:tcBorders>
              <w:top w:val="nil"/>
              <w:left w:val="nil"/>
              <w:bottom w:val="single" w:sz="4" w:space="0" w:color="auto"/>
              <w:right w:val="single" w:sz="4" w:space="0" w:color="auto"/>
            </w:tcBorders>
            <w:shd w:val="clear" w:color="auto" w:fill="auto"/>
            <w:vAlign w:val="center"/>
            <w:hideMark/>
          </w:tcPr>
          <w:p w14:paraId="54672A1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Variation of conjugated linoleic acid; Found in meat dairy products of ruminants; Dietary supplement</w:t>
            </w:r>
          </w:p>
        </w:tc>
        <w:tc>
          <w:tcPr>
            <w:tcW w:w="1440" w:type="dxa"/>
            <w:tcBorders>
              <w:top w:val="nil"/>
              <w:left w:val="nil"/>
              <w:bottom w:val="single" w:sz="4" w:space="0" w:color="auto"/>
              <w:right w:val="single" w:sz="4" w:space="0" w:color="auto"/>
            </w:tcBorders>
            <w:shd w:val="clear" w:color="auto" w:fill="auto"/>
            <w:vAlign w:val="center"/>
            <w:hideMark/>
          </w:tcPr>
          <w:p w14:paraId="14C61B7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0F190BD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human digestive tract, liver, colon, and feces. Also found in environmental and fungal samples.</w:t>
            </w:r>
          </w:p>
        </w:tc>
      </w:tr>
      <w:tr w:rsidR="00C53819" w:rsidRPr="00901194" w14:paraId="0A40B7C6" w14:textId="77777777" w:rsidTr="00C53819">
        <w:trPr>
          <w:trHeight w:val="179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2EF76C2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Conjugated linoleic acid (9E,11E)</w:t>
            </w:r>
          </w:p>
        </w:tc>
        <w:tc>
          <w:tcPr>
            <w:tcW w:w="810" w:type="dxa"/>
            <w:tcBorders>
              <w:top w:val="nil"/>
              <w:left w:val="nil"/>
              <w:bottom w:val="single" w:sz="4" w:space="0" w:color="auto"/>
              <w:right w:val="single" w:sz="4" w:space="0" w:color="auto"/>
            </w:tcBorders>
            <w:shd w:val="clear" w:color="auto" w:fill="auto"/>
            <w:vAlign w:val="center"/>
            <w:hideMark/>
          </w:tcPr>
          <w:p w14:paraId="64FC819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263.237</w:t>
            </w:r>
          </w:p>
        </w:tc>
        <w:tc>
          <w:tcPr>
            <w:tcW w:w="630" w:type="dxa"/>
            <w:tcBorders>
              <w:top w:val="nil"/>
              <w:left w:val="nil"/>
              <w:bottom w:val="single" w:sz="4" w:space="0" w:color="auto"/>
              <w:right w:val="single" w:sz="4" w:space="0" w:color="auto"/>
            </w:tcBorders>
            <w:shd w:val="clear" w:color="auto" w:fill="auto"/>
            <w:vAlign w:val="center"/>
            <w:hideMark/>
          </w:tcPr>
          <w:p w14:paraId="46042F8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6.68</w:t>
            </w:r>
          </w:p>
        </w:tc>
        <w:tc>
          <w:tcPr>
            <w:tcW w:w="810" w:type="dxa"/>
            <w:tcBorders>
              <w:top w:val="nil"/>
              <w:left w:val="nil"/>
              <w:bottom w:val="single" w:sz="4" w:space="0" w:color="auto"/>
              <w:right w:val="single" w:sz="4" w:space="0" w:color="auto"/>
            </w:tcBorders>
            <w:shd w:val="clear" w:color="auto" w:fill="auto"/>
            <w:vAlign w:val="center"/>
            <w:hideMark/>
          </w:tcPr>
          <w:p w14:paraId="29A05EA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0.92</w:t>
            </w:r>
          </w:p>
        </w:tc>
        <w:tc>
          <w:tcPr>
            <w:tcW w:w="1170" w:type="dxa"/>
            <w:tcBorders>
              <w:top w:val="nil"/>
              <w:left w:val="nil"/>
              <w:bottom w:val="single" w:sz="4" w:space="0" w:color="auto"/>
              <w:right w:val="single" w:sz="4" w:space="0" w:color="auto"/>
            </w:tcBorders>
            <w:shd w:val="clear" w:color="auto" w:fill="auto"/>
            <w:vAlign w:val="center"/>
            <w:hideMark/>
          </w:tcPr>
          <w:p w14:paraId="085C1C3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50B4156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27A5973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16A7C6F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Prenol lipids (5.36%)</w:t>
            </w:r>
          </w:p>
        </w:tc>
        <w:tc>
          <w:tcPr>
            <w:tcW w:w="1350" w:type="dxa"/>
            <w:tcBorders>
              <w:top w:val="nil"/>
              <w:left w:val="nil"/>
              <w:bottom w:val="single" w:sz="4" w:space="0" w:color="auto"/>
              <w:right w:val="single" w:sz="4" w:space="0" w:color="auto"/>
            </w:tcBorders>
            <w:shd w:val="clear" w:color="auto" w:fill="auto"/>
            <w:vAlign w:val="center"/>
            <w:hideMark/>
          </w:tcPr>
          <w:p w14:paraId="3D87E5D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Variation of conjugated linoleic acid; Found in meat dairy products of ruminants; Dietary supplement</w:t>
            </w:r>
          </w:p>
        </w:tc>
        <w:tc>
          <w:tcPr>
            <w:tcW w:w="1440" w:type="dxa"/>
            <w:tcBorders>
              <w:top w:val="nil"/>
              <w:left w:val="nil"/>
              <w:bottom w:val="single" w:sz="4" w:space="0" w:color="auto"/>
              <w:right w:val="single" w:sz="4" w:space="0" w:color="auto"/>
            </w:tcBorders>
            <w:shd w:val="clear" w:color="auto" w:fill="auto"/>
            <w:vAlign w:val="center"/>
            <w:hideMark/>
          </w:tcPr>
          <w:p w14:paraId="21893E3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 (found in blood)</w:t>
            </w:r>
          </w:p>
        </w:tc>
        <w:tc>
          <w:tcPr>
            <w:tcW w:w="1530" w:type="dxa"/>
            <w:tcBorders>
              <w:top w:val="nil"/>
              <w:left w:val="nil"/>
              <w:bottom w:val="single" w:sz="4" w:space="0" w:color="auto"/>
              <w:right w:val="single" w:sz="4" w:space="0" w:color="auto"/>
            </w:tcBorders>
            <w:shd w:val="clear" w:color="auto" w:fill="auto"/>
            <w:vAlign w:val="center"/>
            <w:hideMark/>
          </w:tcPr>
          <w:p w14:paraId="2924F7B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environmental samples and fungal cultures. Also found in human upper digestive tract, liver, and feces.</w:t>
            </w:r>
          </w:p>
        </w:tc>
      </w:tr>
      <w:tr w:rsidR="00C53819" w:rsidRPr="00901194" w14:paraId="3F1B873A" w14:textId="77777777" w:rsidTr="00C53819">
        <w:trPr>
          <w:trHeight w:val="107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FD6DD8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Thr-Phe (Threonylphenylalanine)</w:t>
            </w:r>
          </w:p>
        </w:tc>
        <w:tc>
          <w:tcPr>
            <w:tcW w:w="810" w:type="dxa"/>
            <w:tcBorders>
              <w:top w:val="nil"/>
              <w:left w:val="nil"/>
              <w:bottom w:val="single" w:sz="4" w:space="0" w:color="auto"/>
              <w:right w:val="single" w:sz="4" w:space="0" w:color="auto"/>
            </w:tcBorders>
            <w:shd w:val="clear" w:color="auto" w:fill="auto"/>
            <w:vAlign w:val="center"/>
            <w:hideMark/>
          </w:tcPr>
          <w:p w14:paraId="20FE540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267.134</w:t>
            </w:r>
          </w:p>
        </w:tc>
        <w:tc>
          <w:tcPr>
            <w:tcW w:w="630" w:type="dxa"/>
            <w:tcBorders>
              <w:top w:val="nil"/>
              <w:left w:val="nil"/>
              <w:bottom w:val="single" w:sz="4" w:space="0" w:color="auto"/>
              <w:right w:val="single" w:sz="4" w:space="0" w:color="auto"/>
            </w:tcBorders>
            <w:shd w:val="clear" w:color="auto" w:fill="auto"/>
            <w:vAlign w:val="center"/>
            <w:hideMark/>
          </w:tcPr>
          <w:p w14:paraId="57EA2FF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0.48</w:t>
            </w:r>
          </w:p>
        </w:tc>
        <w:tc>
          <w:tcPr>
            <w:tcW w:w="810" w:type="dxa"/>
            <w:tcBorders>
              <w:top w:val="nil"/>
              <w:left w:val="nil"/>
              <w:bottom w:val="single" w:sz="4" w:space="0" w:color="auto"/>
              <w:right w:val="single" w:sz="4" w:space="0" w:color="auto"/>
            </w:tcBorders>
            <w:shd w:val="clear" w:color="auto" w:fill="auto"/>
            <w:vAlign w:val="center"/>
            <w:hideMark/>
          </w:tcPr>
          <w:p w14:paraId="4E3DE82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0.94</w:t>
            </w:r>
          </w:p>
        </w:tc>
        <w:tc>
          <w:tcPr>
            <w:tcW w:w="1170" w:type="dxa"/>
            <w:tcBorders>
              <w:top w:val="nil"/>
              <w:left w:val="nil"/>
              <w:bottom w:val="single" w:sz="4" w:space="0" w:color="auto"/>
              <w:right w:val="single" w:sz="4" w:space="0" w:color="auto"/>
            </w:tcBorders>
            <w:shd w:val="clear" w:color="auto" w:fill="auto"/>
            <w:vAlign w:val="center"/>
            <w:hideMark/>
          </w:tcPr>
          <w:p w14:paraId="37FFCB1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B1F815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32B262E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00888EC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11DA733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Threonine and Phenylalanine dipeptide</w:t>
            </w:r>
          </w:p>
        </w:tc>
        <w:tc>
          <w:tcPr>
            <w:tcW w:w="1440" w:type="dxa"/>
            <w:tcBorders>
              <w:top w:val="nil"/>
              <w:left w:val="nil"/>
              <w:bottom w:val="single" w:sz="4" w:space="0" w:color="auto"/>
              <w:right w:val="single" w:sz="4" w:space="0" w:color="auto"/>
            </w:tcBorders>
            <w:shd w:val="clear" w:color="auto" w:fill="auto"/>
            <w:vAlign w:val="center"/>
            <w:hideMark/>
          </w:tcPr>
          <w:p w14:paraId="0482AF5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248C8D7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fungal cultures</w:t>
            </w:r>
          </w:p>
        </w:tc>
      </w:tr>
      <w:tr w:rsidR="00C53819" w:rsidRPr="00901194" w14:paraId="2A172E9A" w14:textId="77777777" w:rsidTr="00C53819">
        <w:trPr>
          <w:trHeight w:val="1088"/>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1E1F835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Pro-Arg (Prolylarginine)</w:t>
            </w:r>
          </w:p>
        </w:tc>
        <w:tc>
          <w:tcPr>
            <w:tcW w:w="810" w:type="dxa"/>
            <w:tcBorders>
              <w:top w:val="nil"/>
              <w:left w:val="nil"/>
              <w:bottom w:val="single" w:sz="4" w:space="0" w:color="auto"/>
              <w:right w:val="single" w:sz="4" w:space="0" w:color="auto"/>
            </w:tcBorders>
            <w:shd w:val="clear" w:color="auto" w:fill="auto"/>
            <w:vAlign w:val="center"/>
            <w:hideMark/>
          </w:tcPr>
          <w:p w14:paraId="39FF6D4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272.171</w:t>
            </w:r>
          </w:p>
        </w:tc>
        <w:tc>
          <w:tcPr>
            <w:tcW w:w="630" w:type="dxa"/>
            <w:tcBorders>
              <w:top w:val="nil"/>
              <w:left w:val="nil"/>
              <w:bottom w:val="single" w:sz="4" w:space="0" w:color="auto"/>
              <w:right w:val="single" w:sz="4" w:space="0" w:color="auto"/>
            </w:tcBorders>
            <w:shd w:val="clear" w:color="auto" w:fill="auto"/>
            <w:vAlign w:val="center"/>
            <w:hideMark/>
          </w:tcPr>
          <w:p w14:paraId="171075F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0.32</w:t>
            </w:r>
          </w:p>
        </w:tc>
        <w:tc>
          <w:tcPr>
            <w:tcW w:w="810" w:type="dxa"/>
            <w:tcBorders>
              <w:top w:val="nil"/>
              <w:left w:val="nil"/>
              <w:bottom w:val="single" w:sz="4" w:space="0" w:color="auto"/>
              <w:right w:val="single" w:sz="4" w:space="0" w:color="auto"/>
            </w:tcBorders>
            <w:shd w:val="clear" w:color="auto" w:fill="auto"/>
            <w:vAlign w:val="center"/>
            <w:hideMark/>
          </w:tcPr>
          <w:p w14:paraId="6D89720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0.72</w:t>
            </w:r>
          </w:p>
        </w:tc>
        <w:tc>
          <w:tcPr>
            <w:tcW w:w="1170" w:type="dxa"/>
            <w:tcBorders>
              <w:top w:val="nil"/>
              <w:left w:val="nil"/>
              <w:bottom w:val="single" w:sz="4" w:space="0" w:color="auto"/>
              <w:right w:val="single" w:sz="4" w:space="0" w:color="auto"/>
            </w:tcBorders>
            <w:shd w:val="clear" w:color="auto" w:fill="auto"/>
            <w:vAlign w:val="center"/>
            <w:hideMark/>
          </w:tcPr>
          <w:p w14:paraId="4CE810F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DE0BEC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3202F43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365EBBD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6B59F2B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Proline and arginine dipeptide</w:t>
            </w:r>
          </w:p>
        </w:tc>
        <w:tc>
          <w:tcPr>
            <w:tcW w:w="1440" w:type="dxa"/>
            <w:tcBorders>
              <w:top w:val="nil"/>
              <w:left w:val="nil"/>
              <w:bottom w:val="single" w:sz="4" w:space="0" w:color="auto"/>
              <w:right w:val="single" w:sz="4" w:space="0" w:color="auto"/>
            </w:tcBorders>
            <w:shd w:val="clear" w:color="auto" w:fill="auto"/>
            <w:vAlign w:val="center"/>
            <w:hideMark/>
          </w:tcPr>
          <w:p w14:paraId="74C2144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548FC22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a fungal culture (species not specified)</w:t>
            </w:r>
          </w:p>
        </w:tc>
      </w:tr>
      <w:tr w:rsidR="00C53819" w:rsidRPr="00901194" w14:paraId="350B04C9" w14:textId="77777777" w:rsidTr="00C53819">
        <w:trPr>
          <w:trHeight w:val="4005"/>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6638FC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9-OxoOTrE</w:t>
            </w:r>
          </w:p>
        </w:tc>
        <w:tc>
          <w:tcPr>
            <w:tcW w:w="810" w:type="dxa"/>
            <w:tcBorders>
              <w:top w:val="nil"/>
              <w:left w:val="nil"/>
              <w:bottom w:val="single" w:sz="4" w:space="0" w:color="auto"/>
              <w:right w:val="single" w:sz="4" w:space="0" w:color="auto"/>
            </w:tcBorders>
            <w:shd w:val="clear" w:color="auto" w:fill="auto"/>
            <w:vAlign w:val="center"/>
            <w:hideMark/>
          </w:tcPr>
          <w:p w14:paraId="448FAA3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275.201</w:t>
            </w:r>
          </w:p>
        </w:tc>
        <w:tc>
          <w:tcPr>
            <w:tcW w:w="630" w:type="dxa"/>
            <w:tcBorders>
              <w:top w:val="nil"/>
              <w:left w:val="nil"/>
              <w:bottom w:val="single" w:sz="4" w:space="0" w:color="auto"/>
              <w:right w:val="single" w:sz="4" w:space="0" w:color="auto"/>
            </w:tcBorders>
            <w:shd w:val="clear" w:color="auto" w:fill="auto"/>
            <w:vAlign w:val="center"/>
            <w:hideMark/>
          </w:tcPr>
          <w:p w14:paraId="568219E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4.42</w:t>
            </w:r>
          </w:p>
        </w:tc>
        <w:tc>
          <w:tcPr>
            <w:tcW w:w="810" w:type="dxa"/>
            <w:tcBorders>
              <w:top w:val="nil"/>
              <w:left w:val="nil"/>
              <w:bottom w:val="single" w:sz="4" w:space="0" w:color="auto"/>
              <w:right w:val="single" w:sz="4" w:space="0" w:color="auto"/>
            </w:tcBorders>
            <w:shd w:val="clear" w:color="auto" w:fill="auto"/>
            <w:vAlign w:val="center"/>
            <w:hideMark/>
          </w:tcPr>
          <w:p w14:paraId="5827D06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w:t>
            </w:r>
          </w:p>
        </w:tc>
        <w:tc>
          <w:tcPr>
            <w:tcW w:w="1170" w:type="dxa"/>
            <w:tcBorders>
              <w:top w:val="nil"/>
              <w:left w:val="nil"/>
              <w:bottom w:val="single" w:sz="4" w:space="0" w:color="auto"/>
              <w:right w:val="single" w:sz="4" w:space="0" w:color="auto"/>
            </w:tcBorders>
            <w:shd w:val="clear" w:color="auto" w:fill="auto"/>
            <w:vAlign w:val="center"/>
            <w:hideMark/>
          </w:tcPr>
          <w:p w14:paraId="0A72454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5CD86A1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569EDA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7BCE496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33E3B1E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Long-chain fatty acid</w:t>
            </w:r>
          </w:p>
        </w:tc>
        <w:tc>
          <w:tcPr>
            <w:tcW w:w="1440" w:type="dxa"/>
            <w:tcBorders>
              <w:top w:val="nil"/>
              <w:left w:val="nil"/>
              <w:bottom w:val="single" w:sz="4" w:space="0" w:color="auto"/>
              <w:right w:val="single" w:sz="4" w:space="0" w:color="auto"/>
            </w:tcBorders>
            <w:shd w:val="clear" w:color="auto" w:fill="auto"/>
            <w:vAlign w:val="center"/>
            <w:hideMark/>
          </w:tcPr>
          <w:p w14:paraId="412C42D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5A0CB86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fungal cultures and plant samples (</w:t>
            </w:r>
            <w:r w:rsidRPr="00901194">
              <w:rPr>
                <w:rFonts w:eastAsia="Times New Roman" w:cs="Times New Roman"/>
                <w:i/>
                <w:iCs/>
                <w:color w:val="000000"/>
              </w:rPr>
              <w:t>Zea mays</w:t>
            </w:r>
            <w:r w:rsidRPr="00901194">
              <w:rPr>
                <w:rFonts w:eastAsia="Times New Roman" w:cs="Times New Roman"/>
                <w:color w:val="000000"/>
              </w:rPr>
              <w:t xml:space="preserve"> L. and </w:t>
            </w:r>
            <w:r w:rsidRPr="00901194">
              <w:rPr>
                <w:rFonts w:eastAsia="Times New Roman" w:cs="Times New Roman"/>
                <w:i/>
                <w:iCs/>
                <w:color w:val="000000"/>
              </w:rPr>
              <w:t>Cucumis melo</w:t>
            </w:r>
            <w:r w:rsidRPr="00901194">
              <w:rPr>
                <w:rFonts w:eastAsia="Times New Roman" w:cs="Times New Roman"/>
                <w:color w:val="000000"/>
              </w:rPr>
              <w:t>)</w:t>
            </w:r>
          </w:p>
        </w:tc>
      </w:tr>
      <w:tr w:rsidR="00C53819" w:rsidRPr="00901194" w14:paraId="5BA607B1" w14:textId="77777777" w:rsidTr="00C53819">
        <w:trPr>
          <w:trHeight w:val="35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2C363C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Phe-Leu (Phenylalanylleucine)</w:t>
            </w:r>
          </w:p>
        </w:tc>
        <w:tc>
          <w:tcPr>
            <w:tcW w:w="810" w:type="dxa"/>
            <w:tcBorders>
              <w:top w:val="nil"/>
              <w:left w:val="nil"/>
              <w:bottom w:val="single" w:sz="4" w:space="0" w:color="auto"/>
              <w:right w:val="single" w:sz="4" w:space="0" w:color="auto"/>
            </w:tcBorders>
            <w:shd w:val="clear" w:color="auto" w:fill="auto"/>
            <w:vAlign w:val="center"/>
            <w:hideMark/>
          </w:tcPr>
          <w:p w14:paraId="1CD8353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279.171</w:t>
            </w:r>
          </w:p>
        </w:tc>
        <w:tc>
          <w:tcPr>
            <w:tcW w:w="630" w:type="dxa"/>
            <w:tcBorders>
              <w:top w:val="nil"/>
              <w:left w:val="nil"/>
              <w:bottom w:val="single" w:sz="4" w:space="0" w:color="auto"/>
              <w:right w:val="single" w:sz="4" w:space="0" w:color="auto"/>
            </w:tcBorders>
            <w:shd w:val="clear" w:color="auto" w:fill="auto"/>
            <w:vAlign w:val="center"/>
            <w:hideMark/>
          </w:tcPr>
          <w:p w14:paraId="2D7F64D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2.59</w:t>
            </w:r>
          </w:p>
        </w:tc>
        <w:tc>
          <w:tcPr>
            <w:tcW w:w="810" w:type="dxa"/>
            <w:tcBorders>
              <w:top w:val="nil"/>
              <w:left w:val="nil"/>
              <w:bottom w:val="single" w:sz="4" w:space="0" w:color="auto"/>
              <w:right w:val="single" w:sz="4" w:space="0" w:color="auto"/>
            </w:tcBorders>
            <w:shd w:val="clear" w:color="auto" w:fill="auto"/>
            <w:vAlign w:val="center"/>
            <w:hideMark/>
          </w:tcPr>
          <w:p w14:paraId="0B4C6A5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0.99</w:t>
            </w:r>
          </w:p>
        </w:tc>
        <w:tc>
          <w:tcPr>
            <w:tcW w:w="1170" w:type="dxa"/>
            <w:tcBorders>
              <w:top w:val="nil"/>
              <w:left w:val="nil"/>
              <w:bottom w:val="single" w:sz="4" w:space="0" w:color="auto"/>
              <w:right w:val="single" w:sz="4" w:space="0" w:color="auto"/>
            </w:tcBorders>
            <w:shd w:val="clear" w:color="auto" w:fill="auto"/>
            <w:vAlign w:val="center"/>
            <w:hideMark/>
          </w:tcPr>
          <w:p w14:paraId="0D995EF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FDCA96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5F5CC54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05098A0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Carboxylic acids and derivatives (12.86%)</w:t>
            </w:r>
          </w:p>
        </w:tc>
        <w:tc>
          <w:tcPr>
            <w:tcW w:w="1350" w:type="dxa"/>
            <w:tcBorders>
              <w:top w:val="nil"/>
              <w:left w:val="nil"/>
              <w:bottom w:val="single" w:sz="4" w:space="0" w:color="auto"/>
              <w:right w:val="single" w:sz="4" w:space="0" w:color="auto"/>
            </w:tcBorders>
            <w:shd w:val="clear" w:color="auto" w:fill="auto"/>
            <w:vAlign w:val="center"/>
            <w:hideMark/>
          </w:tcPr>
          <w:p w14:paraId="5A01798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Phenylalanine and leucine dipeptide</w:t>
            </w:r>
          </w:p>
        </w:tc>
        <w:tc>
          <w:tcPr>
            <w:tcW w:w="1440" w:type="dxa"/>
            <w:tcBorders>
              <w:top w:val="nil"/>
              <w:left w:val="nil"/>
              <w:bottom w:val="single" w:sz="4" w:space="0" w:color="auto"/>
              <w:right w:val="single" w:sz="4" w:space="0" w:color="auto"/>
            </w:tcBorders>
            <w:shd w:val="clear" w:color="auto" w:fill="auto"/>
            <w:vAlign w:val="center"/>
            <w:hideMark/>
          </w:tcPr>
          <w:p w14:paraId="059FE5F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624712B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human upper digestive tract, colon, and fecal samples. Also found in bacterial cultures (</w:t>
            </w:r>
            <w:r w:rsidRPr="00901194">
              <w:rPr>
                <w:rFonts w:eastAsia="Times New Roman" w:cs="Times New Roman"/>
                <w:i/>
                <w:iCs/>
                <w:color w:val="000000"/>
              </w:rPr>
              <w:t>Parabacteroides goldsteinii</w:t>
            </w:r>
            <w:r w:rsidRPr="00901194">
              <w:rPr>
                <w:rFonts w:eastAsia="Times New Roman" w:cs="Times New Roman"/>
                <w:color w:val="000000"/>
              </w:rPr>
              <w:t xml:space="preserve"> CC87F, </w:t>
            </w:r>
            <w:r w:rsidRPr="00901194">
              <w:rPr>
                <w:rFonts w:eastAsia="Times New Roman" w:cs="Times New Roman"/>
                <w:i/>
                <w:iCs/>
                <w:color w:val="000000"/>
              </w:rPr>
              <w:t>Prevotella nigrescens</w:t>
            </w:r>
            <w:r w:rsidRPr="00901194">
              <w:rPr>
                <w:rFonts w:eastAsia="Times New Roman" w:cs="Times New Roman"/>
                <w:color w:val="000000"/>
              </w:rPr>
              <w:t xml:space="preserve"> CC14M, etc.) and fungal cultures (not specified)</w:t>
            </w:r>
          </w:p>
        </w:tc>
      </w:tr>
      <w:tr w:rsidR="00C53819" w:rsidRPr="00901194" w14:paraId="6523E528" w14:textId="77777777" w:rsidTr="00C53819">
        <w:trPr>
          <w:trHeight w:val="89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B81EBE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Leu-Phe (Leucylphenylalanine)</w:t>
            </w:r>
          </w:p>
        </w:tc>
        <w:tc>
          <w:tcPr>
            <w:tcW w:w="810" w:type="dxa"/>
            <w:tcBorders>
              <w:top w:val="nil"/>
              <w:left w:val="nil"/>
              <w:bottom w:val="single" w:sz="4" w:space="0" w:color="auto"/>
              <w:right w:val="single" w:sz="4" w:space="0" w:color="auto"/>
            </w:tcBorders>
            <w:shd w:val="clear" w:color="auto" w:fill="auto"/>
            <w:vAlign w:val="center"/>
            <w:hideMark/>
          </w:tcPr>
          <w:p w14:paraId="1243547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279.171</w:t>
            </w:r>
          </w:p>
        </w:tc>
        <w:tc>
          <w:tcPr>
            <w:tcW w:w="630" w:type="dxa"/>
            <w:tcBorders>
              <w:top w:val="nil"/>
              <w:left w:val="nil"/>
              <w:bottom w:val="single" w:sz="4" w:space="0" w:color="auto"/>
              <w:right w:val="single" w:sz="4" w:space="0" w:color="auto"/>
            </w:tcBorders>
            <w:shd w:val="clear" w:color="auto" w:fill="auto"/>
            <w:vAlign w:val="center"/>
            <w:hideMark/>
          </w:tcPr>
          <w:p w14:paraId="3C0BE30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3.47</w:t>
            </w:r>
          </w:p>
        </w:tc>
        <w:tc>
          <w:tcPr>
            <w:tcW w:w="810" w:type="dxa"/>
            <w:tcBorders>
              <w:top w:val="nil"/>
              <w:left w:val="nil"/>
              <w:bottom w:val="single" w:sz="4" w:space="0" w:color="auto"/>
              <w:right w:val="single" w:sz="4" w:space="0" w:color="auto"/>
            </w:tcBorders>
            <w:shd w:val="clear" w:color="auto" w:fill="auto"/>
            <w:vAlign w:val="center"/>
            <w:hideMark/>
          </w:tcPr>
          <w:p w14:paraId="2F12155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0.98</w:t>
            </w:r>
          </w:p>
        </w:tc>
        <w:tc>
          <w:tcPr>
            <w:tcW w:w="1170" w:type="dxa"/>
            <w:tcBorders>
              <w:top w:val="nil"/>
              <w:left w:val="nil"/>
              <w:bottom w:val="single" w:sz="4" w:space="0" w:color="auto"/>
              <w:right w:val="single" w:sz="4" w:space="0" w:color="auto"/>
            </w:tcBorders>
            <w:shd w:val="clear" w:color="auto" w:fill="auto"/>
            <w:vAlign w:val="center"/>
            <w:hideMark/>
          </w:tcPr>
          <w:p w14:paraId="63C92CC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7C7B26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0313C04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27C5549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584B000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Leucine and phenylalanine dipeptide</w:t>
            </w:r>
          </w:p>
        </w:tc>
        <w:tc>
          <w:tcPr>
            <w:tcW w:w="1440" w:type="dxa"/>
            <w:tcBorders>
              <w:top w:val="nil"/>
              <w:left w:val="nil"/>
              <w:bottom w:val="single" w:sz="4" w:space="0" w:color="auto"/>
              <w:right w:val="single" w:sz="4" w:space="0" w:color="auto"/>
            </w:tcBorders>
            <w:shd w:val="clear" w:color="auto" w:fill="auto"/>
            <w:vAlign w:val="center"/>
            <w:hideMark/>
          </w:tcPr>
          <w:p w14:paraId="504D990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4BF3DAF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animal, fungal culture, and bacterial culture (e.g., </w:t>
            </w:r>
            <w:r w:rsidRPr="00901194">
              <w:rPr>
                <w:rFonts w:eastAsia="Times New Roman" w:cs="Times New Roman"/>
                <w:i/>
                <w:iCs/>
                <w:color w:val="000000"/>
              </w:rPr>
              <w:t>Bacteroides dorei</w:t>
            </w:r>
            <w:r w:rsidRPr="00901194">
              <w:rPr>
                <w:rFonts w:eastAsia="Times New Roman" w:cs="Times New Roman"/>
                <w:color w:val="000000"/>
              </w:rPr>
              <w:t xml:space="preserve">, </w:t>
            </w:r>
            <w:r w:rsidRPr="00901194">
              <w:rPr>
                <w:rFonts w:eastAsia="Times New Roman" w:cs="Times New Roman"/>
                <w:i/>
                <w:iCs/>
                <w:color w:val="000000"/>
              </w:rPr>
              <w:t>Staphylococcus aureus</w:t>
            </w:r>
            <w:r w:rsidRPr="00901194">
              <w:rPr>
                <w:rFonts w:eastAsia="Times New Roman" w:cs="Times New Roman"/>
                <w:color w:val="000000"/>
              </w:rPr>
              <w:t xml:space="preserve">, </w:t>
            </w:r>
            <w:r w:rsidRPr="00901194">
              <w:rPr>
                <w:rFonts w:eastAsia="Times New Roman" w:cs="Times New Roman"/>
                <w:i/>
                <w:iCs/>
                <w:color w:val="000000"/>
              </w:rPr>
              <w:t>Propionibacterium acidifaciens</w:t>
            </w:r>
            <w:r w:rsidRPr="00901194">
              <w:rPr>
                <w:rFonts w:eastAsia="Times New Roman" w:cs="Times New Roman"/>
                <w:color w:val="000000"/>
              </w:rPr>
              <w:t xml:space="preserve">, etc.) samples. Also found in human intestinal, </w:t>
            </w:r>
            <w:r w:rsidRPr="00901194">
              <w:rPr>
                <w:rFonts w:eastAsia="Times New Roman" w:cs="Times New Roman"/>
                <w:color w:val="000000"/>
              </w:rPr>
              <w:lastRenderedPageBreak/>
              <w:t xml:space="preserve">vaginal, and fecal samples </w:t>
            </w:r>
          </w:p>
        </w:tc>
      </w:tr>
      <w:tr w:rsidR="00C53819" w:rsidRPr="00901194" w14:paraId="7476FF3C" w14:textId="77777777" w:rsidTr="00C53819">
        <w:trPr>
          <w:trHeight w:val="21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2D1B2EE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N-Tetracosenoyl-4-sphingenine</w:t>
            </w:r>
          </w:p>
        </w:tc>
        <w:tc>
          <w:tcPr>
            <w:tcW w:w="810" w:type="dxa"/>
            <w:tcBorders>
              <w:top w:val="nil"/>
              <w:left w:val="nil"/>
              <w:bottom w:val="single" w:sz="4" w:space="0" w:color="auto"/>
              <w:right w:val="single" w:sz="4" w:space="0" w:color="auto"/>
            </w:tcBorders>
            <w:shd w:val="clear" w:color="auto" w:fill="auto"/>
            <w:vAlign w:val="center"/>
            <w:hideMark/>
          </w:tcPr>
          <w:p w14:paraId="06E3726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282.279</w:t>
            </w:r>
          </w:p>
        </w:tc>
        <w:tc>
          <w:tcPr>
            <w:tcW w:w="630" w:type="dxa"/>
            <w:tcBorders>
              <w:top w:val="nil"/>
              <w:left w:val="nil"/>
              <w:bottom w:val="single" w:sz="4" w:space="0" w:color="auto"/>
              <w:right w:val="single" w:sz="4" w:space="0" w:color="auto"/>
            </w:tcBorders>
            <w:shd w:val="clear" w:color="auto" w:fill="auto"/>
            <w:vAlign w:val="center"/>
            <w:hideMark/>
          </w:tcPr>
          <w:p w14:paraId="5EA846A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6.09</w:t>
            </w:r>
          </w:p>
        </w:tc>
        <w:tc>
          <w:tcPr>
            <w:tcW w:w="810" w:type="dxa"/>
            <w:tcBorders>
              <w:top w:val="nil"/>
              <w:left w:val="nil"/>
              <w:bottom w:val="single" w:sz="4" w:space="0" w:color="auto"/>
              <w:right w:val="single" w:sz="4" w:space="0" w:color="auto"/>
            </w:tcBorders>
            <w:shd w:val="clear" w:color="auto" w:fill="auto"/>
            <w:vAlign w:val="center"/>
            <w:hideMark/>
          </w:tcPr>
          <w:p w14:paraId="78AC980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0.95</w:t>
            </w:r>
          </w:p>
        </w:tc>
        <w:tc>
          <w:tcPr>
            <w:tcW w:w="1170" w:type="dxa"/>
            <w:tcBorders>
              <w:top w:val="nil"/>
              <w:left w:val="nil"/>
              <w:bottom w:val="single" w:sz="4" w:space="0" w:color="auto"/>
              <w:right w:val="single" w:sz="4" w:space="0" w:color="auto"/>
            </w:tcBorders>
            <w:shd w:val="clear" w:color="auto" w:fill="auto"/>
            <w:vAlign w:val="center"/>
            <w:hideMark/>
          </w:tcPr>
          <w:p w14:paraId="1051AA2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27F8561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D0B2FE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3139ADA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Fatty Acyls (11.54%)</w:t>
            </w:r>
          </w:p>
        </w:tc>
        <w:tc>
          <w:tcPr>
            <w:tcW w:w="1350" w:type="dxa"/>
            <w:tcBorders>
              <w:top w:val="nil"/>
              <w:left w:val="nil"/>
              <w:bottom w:val="single" w:sz="4" w:space="0" w:color="auto"/>
              <w:right w:val="single" w:sz="4" w:space="0" w:color="auto"/>
            </w:tcBorders>
            <w:shd w:val="clear" w:color="auto" w:fill="auto"/>
            <w:vAlign w:val="center"/>
            <w:hideMark/>
          </w:tcPr>
          <w:p w14:paraId="0CC889F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Ceramide associated with cell physiology and some human pathologies </w:t>
            </w:r>
          </w:p>
        </w:tc>
        <w:tc>
          <w:tcPr>
            <w:tcW w:w="1440" w:type="dxa"/>
            <w:tcBorders>
              <w:top w:val="nil"/>
              <w:left w:val="nil"/>
              <w:bottom w:val="single" w:sz="4" w:space="0" w:color="auto"/>
              <w:right w:val="single" w:sz="4" w:space="0" w:color="auto"/>
            </w:tcBorders>
            <w:shd w:val="clear" w:color="auto" w:fill="auto"/>
            <w:vAlign w:val="center"/>
            <w:hideMark/>
          </w:tcPr>
          <w:p w14:paraId="04615A1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25CAE9C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Not in Chemical Explorer</w:t>
            </w:r>
          </w:p>
        </w:tc>
      </w:tr>
      <w:tr w:rsidR="00C53819" w:rsidRPr="00901194" w14:paraId="38879CCF" w14:textId="77777777" w:rsidTr="00C53819">
        <w:trPr>
          <w:trHeight w:val="1403"/>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142A846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Octadecanamide</w:t>
            </w:r>
          </w:p>
        </w:tc>
        <w:tc>
          <w:tcPr>
            <w:tcW w:w="810" w:type="dxa"/>
            <w:tcBorders>
              <w:top w:val="nil"/>
              <w:left w:val="nil"/>
              <w:bottom w:val="single" w:sz="4" w:space="0" w:color="auto"/>
              <w:right w:val="single" w:sz="4" w:space="0" w:color="auto"/>
            </w:tcBorders>
            <w:shd w:val="clear" w:color="auto" w:fill="auto"/>
            <w:vAlign w:val="center"/>
            <w:hideMark/>
          </w:tcPr>
          <w:p w14:paraId="3E25402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284.295</w:t>
            </w:r>
          </w:p>
        </w:tc>
        <w:tc>
          <w:tcPr>
            <w:tcW w:w="630" w:type="dxa"/>
            <w:tcBorders>
              <w:top w:val="nil"/>
              <w:left w:val="nil"/>
              <w:bottom w:val="single" w:sz="4" w:space="0" w:color="auto"/>
              <w:right w:val="single" w:sz="4" w:space="0" w:color="auto"/>
            </w:tcBorders>
            <w:shd w:val="clear" w:color="auto" w:fill="auto"/>
            <w:vAlign w:val="center"/>
            <w:hideMark/>
          </w:tcPr>
          <w:p w14:paraId="361AD38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8.55</w:t>
            </w:r>
          </w:p>
        </w:tc>
        <w:tc>
          <w:tcPr>
            <w:tcW w:w="810" w:type="dxa"/>
            <w:tcBorders>
              <w:top w:val="nil"/>
              <w:left w:val="nil"/>
              <w:bottom w:val="single" w:sz="4" w:space="0" w:color="auto"/>
              <w:right w:val="single" w:sz="4" w:space="0" w:color="auto"/>
            </w:tcBorders>
            <w:shd w:val="clear" w:color="auto" w:fill="auto"/>
            <w:vAlign w:val="center"/>
            <w:hideMark/>
          </w:tcPr>
          <w:p w14:paraId="3E311D0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0.77</w:t>
            </w:r>
          </w:p>
        </w:tc>
        <w:tc>
          <w:tcPr>
            <w:tcW w:w="1170" w:type="dxa"/>
            <w:tcBorders>
              <w:top w:val="nil"/>
              <w:left w:val="nil"/>
              <w:bottom w:val="single" w:sz="4" w:space="0" w:color="auto"/>
              <w:right w:val="single" w:sz="4" w:space="0" w:color="auto"/>
            </w:tcBorders>
            <w:shd w:val="clear" w:color="auto" w:fill="auto"/>
            <w:vAlign w:val="center"/>
            <w:hideMark/>
          </w:tcPr>
          <w:p w14:paraId="7D33B0F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318031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0B3C493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22D1F9C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6C69357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Metabolite derived from stearic acid, found in plant and animal fats</w:t>
            </w:r>
          </w:p>
        </w:tc>
        <w:tc>
          <w:tcPr>
            <w:tcW w:w="1440" w:type="dxa"/>
            <w:tcBorders>
              <w:top w:val="nil"/>
              <w:left w:val="nil"/>
              <w:bottom w:val="single" w:sz="4" w:space="0" w:color="auto"/>
              <w:right w:val="single" w:sz="4" w:space="0" w:color="auto"/>
            </w:tcBorders>
            <w:shd w:val="clear" w:color="auto" w:fill="auto"/>
            <w:vAlign w:val="center"/>
            <w:hideMark/>
          </w:tcPr>
          <w:p w14:paraId="1B350A1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5CD0277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environmental and plant samples</w:t>
            </w:r>
          </w:p>
        </w:tc>
      </w:tr>
      <w:tr w:rsidR="00C53819" w:rsidRPr="00901194" w14:paraId="13786A3A" w14:textId="77777777" w:rsidTr="00C53819">
        <w:trPr>
          <w:trHeight w:val="2024"/>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4597861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Xanthosine</w:t>
            </w:r>
          </w:p>
        </w:tc>
        <w:tc>
          <w:tcPr>
            <w:tcW w:w="810" w:type="dxa"/>
            <w:tcBorders>
              <w:top w:val="nil"/>
              <w:left w:val="nil"/>
              <w:bottom w:val="single" w:sz="4" w:space="0" w:color="auto"/>
              <w:right w:val="single" w:sz="4" w:space="0" w:color="auto"/>
            </w:tcBorders>
            <w:shd w:val="clear" w:color="auto" w:fill="auto"/>
            <w:vAlign w:val="center"/>
            <w:hideMark/>
          </w:tcPr>
          <w:p w14:paraId="610018D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285.083</w:t>
            </w:r>
          </w:p>
        </w:tc>
        <w:tc>
          <w:tcPr>
            <w:tcW w:w="630" w:type="dxa"/>
            <w:tcBorders>
              <w:top w:val="nil"/>
              <w:left w:val="nil"/>
              <w:bottom w:val="single" w:sz="4" w:space="0" w:color="auto"/>
              <w:right w:val="single" w:sz="4" w:space="0" w:color="auto"/>
            </w:tcBorders>
            <w:shd w:val="clear" w:color="auto" w:fill="auto"/>
            <w:vAlign w:val="center"/>
            <w:hideMark/>
          </w:tcPr>
          <w:p w14:paraId="5BC5CCF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0.40</w:t>
            </w:r>
          </w:p>
        </w:tc>
        <w:tc>
          <w:tcPr>
            <w:tcW w:w="810" w:type="dxa"/>
            <w:tcBorders>
              <w:top w:val="nil"/>
              <w:left w:val="nil"/>
              <w:bottom w:val="single" w:sz="4" w:space="0" w:color="auto"/>
              <w:right w:val="single" w:sz="4" w:space="0" w:color="auto"/>
            </w:tcBorders>
            <w:shd w:val="clear" w:color="auto" w:fill="auto"/>
            <w:vAlign w:val="center"/>
            <w:hideMark/>
          </w:tcPr>
          <w:p w14:paraId="4E54156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w:t>
            </w:r>
          </w:p>
        </w:tc>
        <w:tc>
          <w:tcPr>
            <w:tcW w:w="1170" w:type="dxa"/>
            <w:tcBorders>
              <w:top w:val="nil"/>
              <w:left w:val="nil"/>
              <w:bottom w:val="single" w:sz="4" w:space="0" w:color="auto"/>
              <w:right w:val="single" w:sz="4" w:space="0" w:color="auto"/>
            </w:tcBorders>
            <w:shd w:val="clear" w:color="auto" w:fill="auto"/>
            <w:vAlign w:val="center"/>
            <w:hideMark/>
          </w:tcPr>
          <w:p w14:paraId="0AC6518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531C56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1170320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183C166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543346E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Purine nucleoside</w:t>
            </w:r>
          </w:p>
        </w:tc>
        <w:tc>
          <w:tcPr>
            <w:tcW w:w="1440" w:type="dxa"/>
            <w:tcBorders>
              <w:top w:val="nil"/>
              <w:left w:val="nil"/>
              <w:bottom w:val="single" w:sz="4" w:space="0" w:color="auto"/>
              <w:right w:val="single" w:sz="4" w:space="0" w:color="auto"/>
            </w:tcBorders>
            <w:shd w:val="clear" w:color="auto" w:fill="auto"/>
            <w:vAlign w:val="center"/>
            <w:hideMark/>
          </w:tcPr>
          <w:p w14:paraId="4E34DB1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5CC52DB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built environment, animal, and bacterial culture samples.</w:t>
            </w:r>
          </w:p>
        </w:tc>
      </w:tr>
      <w:tr w:rsidR="00C53819" w:rsidRPr="00901194" w14:paraId="27307D69" w14:textId="77777777" w:rsidTr="00C53819">
        <w:trPr>
          <w:trHeight w:val="44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D90004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Arg-Ile (Arginylisoleucine)</w:t>
            </w:r>
          </w:p>
        </w:tc>
        <w:tc>
          <w:tcPr>
            <w:tcW w:w="810" w:type="dxa"/>
            <w:tcBorders>
              <w:top w:val="nil"/>
              <w:left w:val="nil"/>
              <w:bottom w:val="single" w:sz="4" w:space="0" w:color="auto"/>
              <w:right w:val="single" w:sz="4" w:space="0" w:color="auto"/>
            </w:tcBorders>
            <w:shd w:val="clear" w:color="auto" w:fill="auto"/>
            <w:vAlign w:val="center"/>
            <w:hideMark/>
          </w:tcPr>
          <w:p w14:paraId="68664E2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288.203</w:t>
            </w:r>
          </w:p>
        </w:tc>
        <w:tc>
          <w:tcPr>
            <w:tcW w:w="630" w:type="dxa"/>
            <w:tcBorders>
              <w:top w:val="nil"/>
              <w:left w:val="nil"/>
              <w:bottom w:val="single" w:sz="4" w:space="0" w:color="auto"/>
              <w:right w:val="single" w:sz="4" w:space="0" w:color="auto"/>
            </w:tcBorders>
            <w:shd w:val="clear" w:color="auto" w:fill="auto"/>
            <w:vAlign w:val="center"/>
            <w:hideMark/>
          </w:tcPr>
          <w:p w14:paraId="37D1CD4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0.36</w:t>
            </w:r>
          </w:p>
        </w:tc>
        <w:tc>
          <w:tcPr>
            <w:tcW w:w="810" w:type="dxa"/>
            <w:tcBorders>
              <w:top w:val="nil"/>
              <w:left w:val="nil"/>
              <w:bottom w:val="single" w:sz="4" w:space="0" w:color="auto"/>
              <w:right w:val="single" w:sz="4" w:space="0" w:color="auto"/>
            </w:tcBorders>
            <w:shd w:val="clear" w:color="auto" w:fill="auto"/>
            <w:vAlign w:val="center"/>
            <w:hideMark/>
          </w:tcPr>
          <w:p w14:paraId="06BD91E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0.96</w:t>
            </w:r>
          </w:p>
        </w:tc>
        <w:tc>
          <w:tcPr>
            <w:tcW w:w="1170" w:type="dxa"/>
            <w:tcBorders>
              <w:top w:val="nil"/>
              <w:left w:val="nil"/>
              <w:bottom w:val="single" w:sz="4" w:space="0" w:color="auto"/>
              <w:right w:val="single" w:sz="4" w:space="0" w:color="auto"/>
            </w:tcBorders>
            <w:shd w:val="clear" w:color="auto" w:fill="auto"/>
            <w:vAlign w:val="center"/>
            <w:hideMark/>
          </w:tcPr>
          <w:p w14:paraId="31926A9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590ED98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29BBC0E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22E3FB8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1F34C72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Arginine and isoleucine dipeptide</w:t>
            </w:r>
          </w:p>
        </w:tc>
        <w:tc>
          <w:tcPr>
            <w:tcW w:w="1440" w:type="dxa"/>
            <w:tcBorders>
              <w:top w:val="nil"/>
              <w:left w:val="nil"/>
              <w:bottom w:val="single" w:sz="4" w:space="0" w:color="auto"/>
              <w:right w:val="single" w:sz="4" w:space="0" w:color="auto"/>
            </w:tcBorders>
            <w:shd w:val="clear" w:color="auto" w:fill="auto"/>
            <w:vAlign w:val="center"/>
            <w:hideMark/>
          </w:tcPr>
          <w:p w14:paraId="46C7FE1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016BFF5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food and animal samples. Also found in human stomach, saliva, spleen, and fecal samples.</w:t>
            </w:r>
          </w:p>
        </w:tc>
      </w:tr>
      <w:tr w:rsidR="00C53819" w:rsidRPr="00901194" w14:paraId="35A757FC" w14:textId="77777777" w:rsidTr="00C53819">
        <w:trPr>
          <w:trHeight w:val="17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A47EAD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cis-11,14-Eicosadienoic acid</w:t>
            </w:r>
          </w:p>
        </w:tc>
        <w:tc>
          <w:tcPr>
            <w:tcW w:w="810" w:type="dxa"/>
            <w:tcBorders>
              <w:top w:val="nil"/>
              <w:left w:val="nil"/>
              <w:bottom w:val="single" w:sz="4" w:space="0" w:color="auto"/>
              <w:right w:val="single" w:sz="4" w:space="0" w:color="auto"/>
            </w:tcBorders>
            <w:shd w:val="clear" w:color="auto" w:fill="auto"/>
            <w:vAlign w:val="center"/>
            <w:hideMark/>
          </w:tcPr>
          <w:p w14:paraId="0408A98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291.268</w:t>
            </w:r>
          </w:p>
        </w:tc>
        <w:tc>
          <w:tcPr>
            <w:tcW w:w="630" w:type="dxa"/>
            <w:tcBorders>
              <w:top w:val="nil"/>
              <w:left w:val="nil"/>
              <w:bottom w:val="single" w:sz="4" w:space="0" w:color="auto"/>
              <w:right w:val="single" w:sz="4" w:space="0" w:color="auto"/>
            </w:tcBorders>
            <w:shd w:val="clear" w:color="auto" w:fill="auto"/>
            <w:vAlign w:val="center"/>
            <w:hideMark/>
          </w:tcPr>
          <w:p w14:paraId="5B5BC44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5.54</w:t>
            </w:r>
          </w:p>
        </w:tc>
        <w:tc>
          <w:tcPr>
            <w:tcW w:w="810" w:type="dxa"/>
            <w:tcBorders>
              <w:top w:val="nil"/>
              <w:left w:val="nil"/>
              <w:bottom w:val="single" w:sz="4" w:space="0" w:color="auto"/>
              <w:right w:val="single" w:sz="4" w:space="0" w:color="auto"/>
            </w:tcBorders>
            <w:shd w:val="clear" w:color="auto" w:fill="auto"/>
            <w:vAlign w:val="center"/>
            <w:hideMark/>
          </w:tcPr>
          <w:p w14:paraId="6A864E3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0.79</w:t>
            </w:r>
          </w:p>
        </w:tc>
        <w:tc>
          <w:tcPr>
            <w:tcW w:w="1170" w:type="dxa"/>
            <w:tcBorders>
              <w:top w:val="nil"/>
              <w:left w:val="nil"/>
              <w:bottom w:val="single" w:sz="4" w:space="0" w:color="auto"/>
              <w:right w:val="single" w:sz="4" w:space="0" w:color="auto"/>
            </w:tcBorders>
            <w:shd w:val="clear" w:color="auto" w:fill="auto"/>
            <w:vAlign w:val="center"/>
            <w:hideMark/>
          </w:tcPr>
          <w:p w14:paraId="3D72A75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28A598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409A186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72A6879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Prenol lipids (5.36%)</w:t>
            </w:r>
          </w:p>
        </w:tc>
        <w:tc>
          <w:tcPr>
            <w:tcW w:w="1350" w:type="dxa"/>
            <w:tcBorders>
              <w:top w:val="nil"/>
              <w:left w:val="nil"/>
              <w:bottom w:val="single" w:sz="4" w:space="0" w:color="auto"/>
              <w:right w:val="single" w:sz="4" w:space="0" w:color="auto"/>
            </w:tcBorders>
            <w:shd w:val="clear" w:color="auto" w:fill="auto"/>
            <w:vAlign w:val="center"/>
            <w:hideMark/>
          </w:tcPr>
          <w:p w14:paraId="79ABE4A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Omega-6 fatty acid found in human milk</w:t>
            </w:r>
          </w:p>
        </w:tc>
        <w:tc>
          <w:tcPr>
            <w:tcW w:w="1440" w:type="dxa"/>
            <w:tcBorders>
              <w:top w:val="nil"/>
              <w:left w:val="nil"/>
              <w:bottom w:val="single" w:sz="4" w:space="0" w:color="auto"/>
              <w:right w:val="single" w:sz="4" w:space="0" w:color="auto"/>
            </w:tcBorders>
            <w:shd w:val="clear" w:color="auto" w:fill="auto"/>
            <w:vAlign w:val="center"/>
            <w:hideMark/>
          </w:tcPr>
          <w:p w14:paraId="5270856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41BAC86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bacterial culture (</w:t>
            </w:r>
            <w:r w:rsidRPr="00901194">
              <w:rPr>
                <w:rFonts w:eastAsia="Times New Roman" w:cs="Times New Roman"/>
                <w:i/>
                <w:iCs/>
                <w:color w:val="000000"/>
              </w:rPr>
              <w:t>Propionibacterium acnes</w:t>
            </w:r>
            <w:r w:rsidRPr="00901194">
              <w:rPr>
                <w:rFonts w:eastAsia="Times New Roman" w:cs="Times New Roman"/>
                <w:color w:val="000000"/>
              </w:rPr>
              <w:t>) and plant samples</w:t>
            </w:r>
          </w:p>
        </w:tc>
      </w:tr>
      <w:tr w:rsidR="00C53819" w:rsidRPr="00901194" w14:paraId="75A2673D" w14:textId="77777777" w:rsidTr="00C53819">
        <w:trPr>
          <w:trHeight w:val="1439"/>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FE7315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N-Acetylmuramic Acid</w:t>
            </w:r>
          </w:p>
        </w:tc>
        <w:tc>
          <w:tcPr>
            <w:tcW w:w="810" w:type="dxa"/>
            <w:tcBorders>
              <w:top w:val="nil"/>
              <w:left w:val="nil"/>
              <w:bottom w:val="single" w:sz="4" w:space="0" w:color="auto"/>
              <w:right w:val="single" w:sz="4" w:space="0" w:color="auto"/>
            </w:tcBorders>
            <w:shd w:val="clear" w:color="auto" w:fill="auto"/>
            <w:vAlign w:val="center"/>
            <w:hideMark/>
          </w:tcPr>
          <w:p w14:paraId="135CCBC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294.119</w:t>
            </w:r>
          </w:p>
        </w:tc>
        <w:tc>
          <w:tcPr>
            <w:tcW w:w="630" w:type="dxa"/>
            <w:tcBorders>
              <w:top w:val="nil"/>
              <w:left w:val="nil"/>
              <w:bottom w:val="single" w:sz="4" w:space="0" w:color="auto"/>
              <w:right w:val="single" w:sz="4" w:space="0" w:color="auto"/>
            </w:tcBorders>
            <w:shd w:val="clear" w:color="auto" w:fill="auto"/>
            <w:vAlign w:val="center"/>
            <w:hideMark/>
          </w:tcPr>
          <w:p w14:paraId="6A0307E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0.38</w:t>
            </w:r>
          </w:p>
        </w:tc>
        <w:tc>
          <w:tcPr>
            <w:tcW w:w="810" w:type="dxa"/>
            <w:tcBorders>
              <w:top w:val="nil"/>
              <w:left w:val="nil"/>
              <w:bottom w:val="single" w:sz="4" w:space="0" w:color="auto"/>
              <w:right w:val="single" w:sz="4" w:space="0" w:color="auto"/>
            </w:tcBorders>
            <w:shd w:val="clear" w:color="auto" w:fill="auto"/>
            <w:vAlign w:val="center"/>
            <w:hideMark/>
          </w:tcPr>
          <w:p w14:paraId="11523A7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0.84</w:t>
            </w:r>
          </w:p>
        </w:tc>
        <w:tc>
          <w:tcPr>
            <w:tcW w:w="1170" w:type="dxa"/>
            <w:tcBorders>
              <w:top w:val="nil"/>
              <w:left w:val="nil"/>
              <w:bottom w:val="single" w:sz="4" w:space="0" w:color="auto"/>
              <w:right w:val="single" w:sz="4" w:space="0" w:color="auto"/>
            </w:tcBorders>
            <w:shd w:val="clear" w:color="auto" w:fill="auto"/>
            <w:vAlign w:val="center"/>
            <w:hideMark/>
          </w:tcPr>
          <w:p w14:paraId="1A9A17D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24914B7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5086B6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5F0CDBC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Carboxylic acids and derivatives (4.08%)</w:t>
            </w:r>
          </w:p>
        </w:tc>
        <w:tc>
          <w:tcPr>
            <w:tcW w:w="1350" w:type="dxa"/>
            <w:tcBorders>
              <w:top w:val="nil"/>
              <w:left w:val="nil"/>
              <w:bottom w:val="single" w:sz="4" w:space="0" w:color="auto"/>
              <w:right w:val="single" w:sz="4" w:space="0" w:color="auto"/>
            </w:tcBorders>
            <w:shd w:val="clear" w:color="auto" w:fill="auto"/>
            <w:vAlign w:val="center"/>
            <w:hideMark/>
          </w:tcPr>
          <w:p w14:paraId="0B5761D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Component of bacterial cell walls</w:t>
            </w:r>
          </w:p>
        </w:tc>
        <w:tc>
          <w:tcPr>
            <w:tcW w:w="1440" w:type="dxa"/>
            <w:tcBorders>
              <w:top w:val="nil"/>
              <w:left w:val="nil"/>
              <w:bottom w:val="single" w:sz="4" w:space="0" w:color="auto"/>
              <w:right w:val="single" w:sz="4" w:space="0" w:color="auto"/>
            </w:tcBorders>
            <w:shd w:val="clear" w:color="auto" w:fill="auto"/>
            <w:vAlign w:val="center"/>
            <w:hideMark/>
          </w:tcPr>
          <w:p w14:paraId="3251501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747989A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animal samples. In humans, found in caecum and fecal samples.</w:t>
            </w:r>
          </w:p>
        </w:tc>
      </w:tr>
      <w:tr w:rsidR="00C53819" w:rsidRPr="00901194" w14:paraId="78BBC206" w14:textId="77777777" w:rsidTr="00C53819">
        <w:trPr>
          <w:trHeight w:val="5475"/>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25F895E"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Tyr-Leu (Tyrosylleucine)</w:t>
            </w:r>
          </w:p>
        </w:tc>
        <w:tc>
          <w:tcPr>
            <w:tcW w:w="810" w:type="dxa"/>
            <w:tcBorders>
              <w:top w:val="nil"/>
              <w:left w:val="nil"/>
              <w:bottom w:val="single" w:sz="4" w:space="0" w:color="auto"/>
              <w:right w:val="single" w:sz="4" w:space="0" w:color="auto"/>
            </w:tcBorders>
            <w:shd w:val="clear" w:color="auto" w:fill="auto"/>
            <w:vAlign w:val="center"/>
            <w:hideMark/>
          </w:tcPr>
          <w:p w14:paraId="5625BEE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295.165</w:t>
            </w:r>
          </w:p>
        </w:tc>
        <w:tc>
          <w:tcPr>
            <w:tcW w:w="630" w:type="dxa"/>
            <w:tcBorders>
              <w:top w:val="nil"/>
              <w:left w:val="nil"/>
              <w:bottom w:val="single" w:sz="4" w:space="0" w:color="auto"/>
              <w:right w:val="single" w:sz="4" w:space="0" w:color="auto"/>
            </w:tcBorders>
            <w:shd w:val="clear" w:color="auto" w:fill="auto"/>
            <w:vAlign w:val="center"/>
            <w:hideMark/>
          </w:tcPr>
          <w:p w14:paraId="01188E9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2.71</w:t>
            </w:r>
          </w:p>
        </w:tc>
        <w:tc>
          <w:tcPr>
            <w:tcW w:w="810" w:type="dxa"/>
            <w:tcBorders>
              <w:top w:val="nil"/>
              <w:left w:val="nil"/>
              <w:bottom w:val="single" w:sz="4" w:space="0" w:color="auto"/>
              <w:right w:val="single" w:sz="4" w:space="0" w:color="auto"/>
            </w:tcBorders>
            <w:shd w:val="clear" w:color="auto" w:fill="auto"/>
            <w:vAlign w:val="center"/>
            <w:hideMark/>
          </w:tcPr>
          <w:p w14:paraId="2622E9F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0.97</w:t>
            </w:r>
          </w:p>
        </w:tc>
        <w:tc>
          <w:tcPr>
            <w:tcW w:w="1170" w:type="dxa"/>
            <w:tcBorders>
              <w:top w:val="nil"/>
              <w:left w:val="nil"/>
              <w:bottom w:val="single" w:sz="4" w:space="0" w:color="auto"/>
              <w:right w:val="single" w:sz="4" w:space="0" w:color="auto"/>
            </w:tcBorders>
            <w:shd w:val="clear" w:color="auto" w:fill="auto"/>
            <w:vAlign w:val="center"/>
            <w:hideMark/>
          </w:tcPr>
          <w:p w14:paraId="2476313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54A44A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6D38E26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3A521A8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Carboxylic acids and derivatives (31.25%)</w:t>
            </w:r>
          </w:p>
        </w:tc>
        <w:tc>
          <w:tcPr>
            <w:tcW w:w="1350" w:type="dxa"/>
            <w:tcBorders>
              <w:top w:val="nil"/>
              <w:left w:val="nil"/>
              <w:bottom w:val="single" w:sz="4" w:space="0" w:color="auto"/>
              <w:right w:val="single" w:sz="4" w:space="0" w:color="auto"/>
            </w:tcBorders>
            <w:shd w:val="clear" w:color="auto" w:fill="auto"/>
            <w:vAlign w:val="center"/>
            <w:hideMark/>
          </w:tcPr>
          <w:p w14:paraId="7ACF8A3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Tyrosyl and leucine dipeptide</w:t>
            </w:r>
          </w:p>
        </w:tc>
        <w:tc>
          <w:tcPr>
            <w:tcW w:w="1440" w:type="dxa"/>
            <w:tcBorders>
              <w:top w:val="nil"/>
              <w:left w:val="nil"/>
              <w:bottom w:val="single" w:sz="4" w:space="0" w:color="auto"/>
              <w:right w:val="single" w:sz="4" w:space="0" w:color="auto"/>
            </w:tcBorders>
            <w:shd w:val="clear" w:color="auto" w:fill="auto"/>
            <w:vAlign w:val="center"/>
            <w:hideMark/>
          </w:tcPr>
          <w:p w14:paraId="06F691D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3C46872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fungal and bacterial cultures (</w:t>
            </w:r>
            <w:r w:rsidRPr="00901194">
              <w:rPr>
                <w:rFonts w:eastAsia="Times New Roman" w:cs="Times New Roman"/>
                <w:b/>
                <w:bCs/>
                <w:i/>
                <w:iCs/>
                <w:color w:val="000000"/>
              </w:rPr>
              <w:t>Prevotella nigrescens</w:t>
            </w:r>
            <w:r w:rsidRPr="00901194">
              <w:rPr>
                <w:rFonts w:eastAsia="Times New Roman" w:cs="Times New Roman"/>
                <w:b/>
                <w:bCs/>
                <w:color w:val="000000"/>
              </w:rPr>
              <w:t xml:space="preserve"> CC14M). Also found in human feces</w:t>
            </w:r>
          </w:p>
        </w:tc>
      </w:tr>
      <w:tr w:rsidR="00C53819" w:rsidRPr="00901194" w14:paraId="22880673" w14:textId="77777777" w:rsidTr="00C53819">
        <w:trPr>
          <w:trHeight w:val="85"/>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60F5EB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Phe-Met (Phenylalanylmethionine)</w:t>
            </w:r>
          </w:p>
        </w:tc>
        <w:tc>
          <w:tcPr>
            <w:tcW w:w="810" w:type="dxa"/>
            <w:tcBorders>
              <w:top w:val="nil"/>
              <w:left w:val="nil"/>
              <w:bottom w:val="single" w:sz="4" w:space="0" w:color="auto"/>
              <w:right w:val="single" w:sz="4" w:space="0" w:color="auto"/>
            </w:tcBorders>
            <w:shd w:val="clear" w:color="auto" w:fill="auto"/>
            <w:vAlign w:val="center"/>
            <w:hideMark/>
          </w:tcPr>
          <w:p w14:paraId="26B2243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297.126</w:t>
            </w:r>
          </w:p>
        </w:tc>
        <w:tc>
          <w:tcPr>
            <w:tcW w:w="630" w:type="dxa"/>
            <w:tcBorders>
              <w:top w:val="nil"/>
              <w:left w:val="nil"/>
              <w:bottom w:val="single" w:sz="4" w:space="0" w:color="auto"/>
              <w:right w:val="single" w:sz="4" w:space="0" w:color="auto"/>
            </w:tcBorders>
            <w:shd w:val="clear" w:color="auto" w:fill="auto"/>
            <w:vAlign w:val="center"/>
            <w:hideMark/>
          </w:tcPr>
          <w:p w14:paraId="1B235A1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2.18</w:t>
            </w:r>
          </w:p>
        </w:tc>
        <w:tc>
          <w:tcPr>
            <w:tcW w:w="810" w:type="dxa"/>
            <w:tcBorders>
              <w:top w:val="nil"/>
              <w:left w:val="nil"/>
              <w:bottom w:val="single" w:sz="4" w:space="0" w:color="auto"/>
              <w:right w:val="single" w:sz="4" w:space="0" w:color="auto"/>
            </w:tcBorders>
            <w:shd w:val="clear" w:color="auto" w:fill="auto"/>
            <w:vAlign w:val="center"/>
            <w:hideMark/>
          </w:tcPr>
          <w:p w14:paraId="364432F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0.93</w:t>
            </w:r>
          </w:p>
        </w:tc>
        <w:tc>
          <w:tcPr>
            <w:tcW w:w="1170" w:type="dxa"/>
            <w:tcBorders>
              <w:top w:val="nil"/>
              <w:left w:val="nil"/>
              <w:bottom w:val="single" w:sz="4" w:space="0" w:color="auto"/>
              <w:right w:val="single" w:sz="4" w:space="0" w:color="auto"/>
            </w:tcBorders>
            <w:shd w:val="clear" w:color="auto" w:fill="auto"/>
            <w:vAlign w:val="center"/>
            <w:hideMark/>
          </w:tcPr>
          <w:p w14:paraId="71633AC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06D33F2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12AD16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12B0172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0875695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Phenylalanine and methionine dipeptide</w:t>
            </w:r>
          </w:p>
        </w:tc>
        <w:tc>
          <w:tcPr>
            <w:tcW w:w="1440" w:type="dxa"/>
            <w:tcBorders>
              <w:top w:val="nil"/>
              <w:left w:val="nil"/>
              <w:bottom w:val="single" w:sz="4" w:space="0" w:color="auto"/>
              <w:right w:val="single" w:sz="4" w:space="0" w:color="auto"/>
            </w:tcBorders>
            <w:shd w:val="clear" w:color="auto" w:fill="auto"/>
            <w:vAlign w:val="center"/>
            <w:hideMark/>
          </w:tcPr>
          <w:p w14:paraId="1B56381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55B1D6B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bacterial cultures (</w:t>
            </w:r>
            <w:r w:rsidRPr="00901194">
              <w:rPr>
                <w:rFonts w:eastAsia="Times New Roman" w:cs="Times New Roman"/>
                <w:i/>
                <w:iCs/>
                <w:color w:val="000000"/>
              </w:rPr>
              <w:t>Bacteroides stercoris</w:t>
            </w:r>
            <w:r w:rsidRPr="00901194">
              <w:rPr>
                <w:rFonts w:eastAsia="Times New Roman" w:cs="Times New Roman"/>
                <w:color w:val="000000"/>
              </w:rPr>
              <w:t xml:space="preserve"> CC31F, </w:t>
            </w:r>
            <w:r w:rsidRPr="00901194">
              <w:rPr>
                <w:rFonts w:eastAsia="Times New Roman" w:cs="Times New Roman"/>
                <w:i/>
                <w:iCs/>
                <w:color w:val="000000"/>
              </w:rPr>
              <w:t>Prevotella bivia</w:t>
            </w:r>
            <w:r w:rsidRPr="00901194">
              <w:rPr>
                <w:rFonts w:eastAsia="Times New Roman" w:cs="Times New Roman"/>
                <w:color w:val="000000"/>
              </w:rPr>
              <w:t>, etc.).</w:t>
            </w:r>
          </w:p>
        </w:tc>
      </w:tr>
      <w:tr w:rsidR="00C53819" w:rsidRPr="00901194" w14:paraId="5AE2621C" w14:textId="77777777" w:rsidTr="00C53819">
        <w:trPr>
          <w:trHeight w:val="42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76C31E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Ile-Gly-Ile (Isoleucylglycylisoleucine)</w:t>
            </w:r>
          </w:p>
        </w:tc>
        <w:tc>
          <w:tcPr>
            <w:tcW w:w="810" w:type="dxa"/>
            <w:tcBorders>
              <w:top w:val="nil"/>
              <w:left w:val="nil"/>
              <w:bottom w:val="single" w:sz="4" w:space="0" w:color="auto"/>
              <w:right w:val="single" w:sz="4" w:space="0" w:color="auto"/>
            </w:tcBorders>
            <w:shd w:val="clear" w:color="auto" w:fill="auto"/>
            <w:vAlign w:val="center"/>
            <w:hideMark/>
          </w:tcPr>
          <w:p w14:paraId="6CC4749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302.205</w:t>
            </w:r>
          </w:p>
        </w:tc>
        <w:tc>
          <w:tcPr>
            <w:tcW w:w="630" w:type="dxa"/>
            <w:tcBorders>
              <w:top w:val="nil"/>
              <w:left w:val="nil"/>
              <w:bottom w:val="single" w:sz="4" w:space="0" w:color="auto"/>
              <w:right w:val="single" w:sz="4" w:space="0" w:color="auto"/>
            </w:tcBorders>
            <w:shd w:val="clear" w:color="auto" w:fill="auto"/>
            <w:vAlign w:val="center"/>
            <w:hideMark/>
          </w:tcPr>
          <w:p w14:paraId="47B9ABB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3.04</w:t>
            </w:r>
          </w:p>
        </w:tc>
        <w:tc>
          <w:tcPr>
            <w:tcW w:w="810" w:type="dxa"/>
            <w:tcBorders>
              <w:top w:val="nil"/>
              <w:left w:val="nil"/>
              <w:bottom w:val="single" w:sz="4" w:space="0" w:color="auto"/>
              <w:right w:val="single" w:sz="4" w:space="0" w:color="auto"/>
            </w:tcBorders>
            <w:shd w:val="clear" w:color="auto" w:fill="auto"/>
            <w:vAlign w:val="center"/>
            <w:hideMark/>
          </w:tcPr>
          <w:p w14:paraId="38FE0DE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0.94</w:t>
            </w:r>
          </w:p>
        </w:tc>
        <w:tc>
          <w:tcPr>
            <w:tcW w:w="1170" w:type="dxa"/>
            <w:tcBorders>
              <w:top w:val="nil"/>
              <w:left w:val="nil"/>
              <w:bottom w:val="single" w:sz="4" w:space="0" w:color="auto"/>
              <w:right w:val="single" w:sz="4" w:space="0" w:color="auto"/>
            </w:tcBorders>
            <w:shd w:val="clear" w:color="auto" w:fill="auto"/>
            <w:vAlign w:val="center"/>
            <w:hideMark/>
          </w:tcPr>
          <w:p w14:paraId="0568697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11A3524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41972E6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5FDCE8E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38DF056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Isoleucine, glycine, and isoleucine tripeptide</w:t>
            </w:r>
          </w:p>
        </w:tc>
        <w:tc>
          <w:tcPr>
            <w:tcW w:w="1440" w:type="dxa"/>
            <w:tcBorders>
              <w:top w:val="nil"/>
              <w:left w:val="nil"/>
              <w:bottom w:val="single" w:sz="4" w:space="0" w:color="auto"/>
              <w:right w:val="single" w:sz="4" w:space="0" w:color="auto"/>
            </w:tcBorders>
            <w:shd w:val="clear" w:color="auto" w:fill="auto"/>
            <w:vAlign w:val="center"/>
            <w:hideMark/>
          </w:tcPr>
          <w:p w14:paraId="5EDF68C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3BC3A01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animal and bacterial culture samples (</w:t>
            </w:r>
            <w:r w:rsidRPr="00901194">
              <w:rPr>
                <w:rFonts w:eastAsia="Times New Roman" w:cs="Times New Roman"/>
                <w:i/>
                <w:iCs/>
                <w:color w:val="000000"/>
              </w:rPr>
              <w:t>Staphylococcus aureus</w:t>
            </w:r>
            <w:r w:rsidRPr="00901194">
              <w:rPr>
                <w:rFonts w:eastAsia="Times New Roman" w:cs="Times New Roman"/>
                <w:color w:val="000000"/>
              </w:rPr>
              <w:t xml:space="preserve">, </w:t>
            </w:r>
            <w:r w:rsidRPr="00901194">
              <w:rPr>
                <w:rFonts w:eastAsia="Times New Roman" w:cs="Times New Roman"/>
                <w:i/>
                <w:iCs/>
                <w:color w:val="000000"/>
              </w:rPr>
              <w:t>Bacteroides dorei</w:t>
            </w:r>
            <w:r w:rsidRPr="00901194">
              <w:rPr>
                <w:rFonts w:eastAsia="Times New Roman" w:cs="Times New Roman"/>
                <w:color w:val="000000"/>
              </w:rPr>
              <w:t xml:space="preserve">, </w:t>
            </w:r>
            <w:r w:rsidRPr="00901194">
              <w:rPr>
                <w:rFonts w:eastAsia="Times New Roman" w:cs="Times New Roman"/>
                <w:i/>
                <w:iCs/>
                <w:color w:val="000000"/>
              </w:rPr>
              <w:t>Bacteroides stercoris</w:t>
            </w:r>
            <w:r w:rsidRPr="00901194">
              <w:rPr>
                <w:rFonts w:eastAsia="Times New Roman" w:cs="Times New Roman"/>
                <w:color w:val="000000"/>
              </w:rPr>
              <w:t>, etc.). Also found in human samples collected from different body parts (duodenum, jejunum, urine, ileum, colon, saliva, stomach, fecal, etc.)</w:t>
            </w:r>
          </w:p>
        </w:tc>
      </w:tr>
      <w:tr w:rsidR="00C53819" w:rsidRPr="00901194" w14:paraId="22383F97" w14:textId="77777777" w:rsidTr="00C53819">
        <w:trPr>
          <w:trHeight w:val="27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39DAA36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Val-Trp (Valyltryptophan)</w:t>
            </w:r>
          </w:p>
        </w:tc>
        <w:tc>
          <w:tcPr>
            <w:tcW w:w="810" w:type="dxa"/>
            <w:tcBorders>
              <w:top w:val="nil"/>
              <w:left w:val="nil"/>
              <w:bottom w:val="single" w:sz="4" w:space="0" w:color="auto"/>
              <w:right w:val="single" w:sz="4" w:space="0" w:color="auto"/>
            </w:tcBorders>
            <w:shd w:val="clear" w:color="auto" w:fill="auto"/>
            <w:vAlign w:val="center"/>
            <w:hideMark/>
          </w:tcPr>
          <w:p w14:paraId="13BAF74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304.167</w:t>
            </w:r>
          </w:p>
        </w:tc>
        <w:tc>
          <w:tcPr>
            <w:tcW w:w="630" w:type="dxa"/>
            <w:tcBorders>
              <w:top w:val="nil"/>
              <w:left w:val="nil"/>
              <w:bottom w:val="single" w:sz="4" w:space="0" w:color="auto"/>
              <w:right w:val="single" w:sz="4" w:space="0" w:color="auto"/>
            </w:tcBorders>
            <w:shd w:val="clear" w:color="auto" w:fill="auto"/>
            <w:vAlign w:val="center"/>
            <w:hideMark/>
          </w:tcPr>
          <w:p w14:paraId="06ADA20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3.02</w:t>
            </w:r>
          </w:p>
        </w:tc>
        <w:tc>
          <w:tcPr>
            <w:tcW w:w="810" w:type="dxa"/>
            <w:tcBorders>
              <w:top w:val="nil"/>
              <w:left w:val="nil"/>
              <w:bottom w:val="single" w:sz="4" w:space="0" w:color="auto"/>
              <w:right w:val="single" w:sz="4" w:space="0" w:color="auto"/>
            </w:tcBorders>
            <w:shd w:val="clear" w:color="auto" w:fill="auto"/>
            <w:vAlign w:val="center"/>
            <w:hideMark/>
          </w:tcPr>
          <w:p w14:paraId="4E2EDA90"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0.97</w:t>
            </w:r>
          </w:p>
        </w:tc>
        <w:tc>
          <w:tcPr>
            <w:tcW w:w="1170" w:type="dxa"/>
            <w:tcBorders>
              <w:top w:val="nil"/>
              <w:left w:val="nil"/>
              <w:bottom w:val="single" w:sz="4" w:space="0" w:color="auto"/>
              <w:right w:val="single" w:sz="4" w:space="0" w:color="auto"/>
            </w:tcBorders>
            <w:shd w:val="clear" w:color="auto" w:fill="auto"/>
            <w:vAlign w:val="center"/>
            <w:hideMark/>
          </w:tcPr>
          <w:p w14:paraId="76839A3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1C0B40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48C8693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B78F43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7A3DB34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Valine and tryptophan dipeptide</w:t>
            </w:r>
          </w:p>
        </w:tc>
        <w:tc>
          <w:tcPr>
            <w:tcW w:w="1440" w:type="dxa"/>
            <w:tcBorders>
              <w:top w:val="nil"/>
              <w:left w:val="nil"/>
              <w:bottom w:val="single" w:sz="4" w:space="0" w:color="auto"/>
              <w:right w:val="single" w:sz="4" w:space="0" w:color="auto"/>
            </w:tcBorders>
            <w:shd w:val="clear" w:color="auto" w:fill="auto"/>
            <w:vAlign w:val="center"/>
            <w:hideMark/>
          </w:tcPr>
          <w:p w14:paraId="2C1387B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0449E73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fungal culture, food, and animal samples. Also found in human jejunum, stomach, duodenum, vagina, spleen, ileum, and fecal samples</w:t>
            </w:r>
          </w:p>
        </w:tc>
      </w:tr>
      <w:tr w:rsidR="00C53819" w:rsidRPr="00901194" w14:paraId="0AA53381" w14:textId="77777777" w:rsidTr="00C53819">
        <w:trPr>
          <w:trHeight w:val="2348"/>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2EC3B1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Fructoselysine</w:t>
            </w:r>
          </w:p>
        </w:tc>
        <w:tc>
          <w:tcPr>
            <w:tcW w:w="810" w:type="dxa"/>
            <w:tcBorders>
              <w:top w:val="nil"/>
              <w:left w:val="nil"/>
              <w:bottom w:val="single" w:sz="4" w:space="0" w:color="auto"/>
              <w:right w:val="single" w:sz="4" w:space="0" w:color="auto"/>
            </w:tcBorders>
            <w:shd w:val="clear" w:color="auto" w:fill="auto"/>
            <w:vAlign w:val="center"/>
            <w:hideMark/>
          </w:tcPr>
          <w:p w14:paraId="1BA3431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309.164</w:t>
            </w:r>
          </w:p>
        </w:tc>
        <w:tc>
          <w:tcPr>
            <w:tcW w:w="630" w:type="dxa"/>
            <w:tcBorders>
              <w:top w:val="nil"/>
              <w:left w:val="nil"/>
              <w:bottom w:val="single" w:sz="4" w:space="0" w:color="auto"/>
              <w:right w:val="single" w:sz="4" w:space="0" w:color="auto"/>
            </w:tcBorders>
            <w:shd w:val="clear" w:color="auto" w:fill="auto"/>
            <w:vAlign w:val="center"/>
            <w:hideMark/>
          </w:tcPr>
          <w:p w14:paraId="61516E2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0.31</w:t>
            </w:r>
          </w:p>
        </w:tc>
        <w:tc>
          <w:tcPr>
            <w:tcW w:w="810" w:type="dxa"/>
            <w:tcBorders>
              <w:top w:val="nil"/>
              <w:left w:val="nil"/>
              <w:bottom w:val="single" w:sz="4" w:space="0" w:color="auto"/>
              <w:right w:val="single" w:sz="4" w:space="0" w:color="auto"/>
            </w:tcBorders>
            <w:shd w:val="clear" w:color="auto" w:fill="auto"/>
            <w:vAlign w:val="center"/>
            <w:hideMark/>
          </w:tcPr>
          <w:p w14:paraId="0BFB626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0.85</w:t>
            </w:r>
          </w:p>
        </w:tc>
        <w:tc>
          <w:tcPr>
            <w:tcW w:w="1170" w:type="dxa"/>
            <w:tcBorders>
              <w:top w:val="nil"/>
              <w:left w:val="nil"/>
              <w:bottom w:val="single" w:sz="4" w:space="0" w:color="auto"/>
              <w:right w:val="single" w:sz="4" w:space="0" w:color="auto"/>
            </w:tcBorders>
            <w:shd w:val="clear" w:color="auto" w:fill="auto"/>
            <w:vAlign w:val="center"/>
            <w:hideMark/>
          </w:tcPr>
          <w:p w14:paraId="45FABE8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F6CAC0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4710074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CF3B88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Carboxylic acids and derivatives (4.08%)</w:t>
            </w:r>
          </w:p>
        </w:tc>
        <w:tc>
          <w:tcPr>
            <w:tcW w:w="1350" w:type="dxa"/>
            <w:tcBorders>
              <w:top w:val="nil"/>
              <w:left w:val="nil"/>
              <w:bottom w:val="single" w:sz="4" w:space="0" w:color="auto"/>
              <w:right w:val="single" w:sz="4" w:space="0" w:color="auto"/>
            </w:tcBorders>
            <w:shd w:val="clear" w:color="auto" w:fill="auto"/>
            <w:vAlign w:val="center"/>
            <w:hideMark/>
          </w:tcPr>
          <w:p w14:paraId="3CFB2AC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Potential biomarker for milk and milk products</w:t>
            </w:r>
          </w:p>
        </w:tc>
        <w:tc>
          <w:tcPr>
            <w:tcW w:w="1440" w:type="dxa"/>
            <w:tcBorders>
              <w:top w:val="nil"/>
              <w:left w:val="nil"/>
              <w:bottom w:val="single" w:sz="4" w:space="0" w:color="auto"/>
              <w:right w:val="single" w:sz="4" w:space="0" w:color="auto"/>
            </w:tcBorders>
            <w:shd w:val="clear" w:color="auto" w:fill="auto"/>
            <w:vAlign w:val="center"/>
            <w:hideMark/>
          </w:tcPr>
          <w:p w14:paraId="0AA4C0F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 (found in blood)</w:t>
            </w:r>
          </w:p>
        </w:tc>
        <w:tc>
          <w:tcPr>
            <w:tcW w:w="1530" w:type="dxa"/>
            <w:tcBorders>
              <w:top w:val="nil"/>
              <w:left w:val="nil"/>
              <w:bottom w:val="single" w:sz="4" w:space="0" w:color="auto"/>
              <w:right w:val="single" w:sz="4" w:space="0" w:color="auto"/>
            </w:tcBorders>
            <w:shd w:val="clear" w:color="auto" w:fill="auto"/>
            <w:vAlign w:val="center"/>
            <w:hideMark/>
          </w:tcPr>
          <w:p w14:paraId="6D8B0E0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animal samples. Small percentage also found in food samples. Found in human jejunum, kidney, ileum, fecal, and blood samples</w:t>
            </w:r>
          </w:p>
        </w:tc>
      </w:tr>
      <w:tr w:rsidR="00C53819" w:rsidRPr="00901194" w14:paraId="3985B5EA" w14:textId="77777777" w:rsidTr="00C53819">
        <w:trPr>
          <w:trHeight w:val="9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7EB5882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N-Palmitoylglycine</w:t>
            </w:r>
          </w:p>
        </w:tc>
        <w:tc>
          <w:tcPr>
            <w:tcW w:w="810" w:type="dxa"/>
            <w:tcBorders>
              <w:top w:val="nil"/>
              <w:left w:val="nil"/>
              <w:bottom w:val="single" w:sz="4" w:space="0" w:color="auto"/>
              <w:right w:val="single" w:sz="4" w:space="0" w:color="auto"/>
            </w:tcBorders>
            <w:shd w:val="clear" w:color="auto" w:fill="auto"/>
            <w:vAlign w:val="center"/>
            <w:hideMark/>
          </w:tcPr>
          <w:p w14:paraId="1534DAB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314.27</w:t>
            </w:r>
          </w:p>
        </w:tc>
        <w:tc>
          <w:tcPr>
            <w:tcW w:w="630" w:type="dxa"/>
            <w:tcBorders>
              <w:top w:val="nil"/>
              <w:left w:val="nil"/>
              <w:bottom w:val="single" w:sz="4" w:space="0" w:color="auto"/>
              <w:right w:val="single" w:sz="4" w:space="0" w:color="auto"/>
            </w:tcBorders>
            <w:shd w:val="clear" w:color="auto" w:fill="auto"/>
            <w:vAlign w:val="center"/>
            <w:hideMark/>
          </w:tcPr>
          <w:p w14:paraId="27B69DD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7.34</w:t>
            </w:r>
          </w:p>
        </w:tc>
        <w:tc>
          <w:tcPr>
            <w:tcW w:w="810" w:type="dxa"/>
            <w:tcBorders>
              <w:top w:val="nil"/>
              <w:left w:val="nil"/>
              <w:bottom w:val="single" w:sz="4" w:space="0" w:color="auto"/>
              <w:right w:val="single" w:sz="4" w:space="0" w:color="auto"/>
            </w:tcBorders>
            <w:shd w:val="clear" w:color="auto" w:fill="auto"/>
            <w:vAlign w:val="center"/>
            <w:hideMark/>
          </w:tcPr>
          <w:p w14:paraId="23D1AC9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0.86</w:t>
            </w:r>
          </w:p>
        </w:tc>
        <w:tc>
          <w:tcPr>
            <w:tcW w:w="1170" w:type="dxa"/>
            <w:tcBorders>
              <w:top w:val="nil"/>
              <w:left w:val="nil"/>
              <w:bottom w:val="single" w:sz="4" w:space="0" w:color="auto"/>
              <w:right w:val="single" w:sz="4" w:space="0" w:color="auto"/>
            </w:tcBorders>
            <w:shd w:val="clear" w:color="auto" w:fill="auto"/>
            <w:vAlign w:val="center"/>
            <w:hideMark/>
          </w:tcPr>
          <w:p w14:paraId="3DD6661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51715E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41B157A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4B7C75B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00BDA5D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Human metabolite with fatty acid group</w:t>
            </w:r>
          </w:p>
        </w:tc>
        <w:tc>
          <w:tcPr>
            <w:tcW w:w="1440" w:type="dxa"/>
            <w:tcBorders>
              <w:top w:val="nil"/>
              <w:left w:val="nil"/>
              <w:bottom w:val="single" w:sz="4" w:space="0" w:color="auto"/>
              <w:right w:val="single" w:sz="4" w:space="0" w:color="auto"/>
            </w:tcBorders>
            <w:shd w:val="clear" w:color="auto" w:fill="auto"/>
            <w:vAlign w:val="center"/>
            <w:hideMark/>
          </w:tcPr>
          <w:p w14:paraId="0690A65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764B158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Found in environmental and animal samples. </w:t>
            </w:r>
          </w:p>
        </w:tc>
      </w:tr>
      <w:tr w:rsidR="00C53819" w:rsidRPr="00901194" w14:paraId="167FD7CC" w14:textId="77777777" w:rsidTr="00C53819">
        <w:trPr>
          <w:trHeight w:val="309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9A0B2B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Ile-Trp (Iseoleucyltryptophan)</w:t>
            </w:r>
          </w:p>
        </w:tc>
        <w:tc>
          <w:tcPr>
            <w:tcW w:w="810" w:type="dxa"/>
            <w:tcBorders>
              <w:top w:val="nil"/>
              <w:left w:val="nil"/>
              <w:bottom w:val="single" w:sz="4" w:space="0" w:color="auto"/>
              <w:right w:val="single" w:sz="4" w:space="0" w:color="auto"/>
            </w:tcBorders>
            <w:shd w:val="clear" w:color="auto" w:fill="auto"/>
            <w:vAlign w:val="center"/>
            <w:hideMark/>
          </w:tcPr>
          <w:p w14:paraId="04F5E99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318.167</w:t>
            </w:r>
          </w:p>
        </w:tc>
        <w:tc>
          <w:tcPr>
            <w:tcW w:w="630" w:type="dxa"/>
            <w:tcBorders>
              <w:top w:val="nil"/>
              <w:left w:val="nil"/>
              <w:bottom w:val="single" w:sz="4" w:space="0" w:color="auto"/>
              <w:right w:val="single" w:sz="4" w:space="0" w:color="auto"/>
            </w:tcBorders>
            <w:shd w:val="clear" w:color="auto" w:fill="auto"/>
            <w:vAlign w:val="center"/>
            <w:hideMark/>
          </w:tcPr>
          <w:p w14:paraId="690FBD3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2.27</w:t>
            </w:r>
          </w:p>
        </w:tc>
        <w:tc>
          <w:tcPr>
            <w:tcW w:w="810" w:type="dxa"/>
            <w:tcBorders>
              <w:top w:val="nil"/>
              <w:left w:val="nil"/>
              <w:bottom w:val="single" w:sz="4" w:space="0" w:color="auto"/>
              <w:right w:val="single" w:sz="4" w:space="0" w:color="auto"/>
            </w:tcBorders>
            <w:shd w:val="clear" w:color="auto" w:fill="auto"/>
            <w:vAlign w:val="center"/>
            <w:hideMark/>
          </w:tcPr>
          <w:p w14:paraId="1BD9F17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0.97</w:t>
            </w:r>
          </w:p>
        </w:tc>
        <w:tc>
          <w:tcPr>
            <w:tcW w:w="1170" w:type="dxa"/>
            <w:tcBorders>
              <w:top w:val="nil"/>
              <w:left w:val="nil"/>
              <w:bottom w:val="single" w:sz="4" w:space="0" w:color="auto"/>
              <w:right w:val="single" w:sz="4" w:space="0" w:color="auto"/>
            </w:tcBorders>
            <w:shd w:val="clear" w:color="auto" w:fill="auto"/>
            <w:vAlign w:val="center"/>
            <w:hideMark/>
          </w:tcPr>
          <w:p w14:paraId="13124FC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08C744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67562EA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7048622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23E9854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Isoleucine and tryptophan dipeptide</w:t>
            </w:r>
          </w:p>
        </w:tc>
        <w:tc>
          <w:tcPr>
            <w:tcW w:w="1440" w:type="dxa"/>
            <w:tcBorders>
              <w:top w:val="nil"/>
              <w:left w:val="nil"/>
              <w:bottom w:val="single" w:sz="4" w:space="0" w:color="auto"/>
              <w:right w:val="single" w:sz="4" w:space="0" w:color="auto"/>
            </w:tcBorders>
            <w:shd w:val="clear" w:color="auto" w:fill="auto"/>
            <w:vAlign w:val="center"/>
            <w:hideMark/>
          </w:tcPr>
          <w:p w14:paraId="50AB917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60F79E4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bacterial cultures (</w:t>
            </w:r>
            <w:r w:rsidRPr="00901194">
              <w:rPr>
                <w:rFonts w:eastAsia="Times New Roman" w:cs="Times New Roman"/>
                <w:i/>
                <w:iCs/>
                <w:color w:val="000000"/>
              </w:rPr>
              <w:t>Bacteroides stercoris</w:t>
            </w:r>
            <w:r w:rsidRPr="00901194">
              <w:rPr>
                <w:rFonts w:eastAsia="Times New Roman" w:cs="Times New Roman"/>
                <w:color w:val="000000"/>
              </w:rPr>
              <w:t xml:space="preserve"> CC31F, </w:t>
            </w:r>
            <w:r w:rsidRPr="00901194">
              <w:rPr>
                <w:rFonts w:eastAsia="Times New Roman" w:cs="Times New Roman"/>
                <w:i/>
                <w:iCs/>
                <w:color w:val="000000"/>
              </w:rPr>
              <w:t>Selenomonas noxia</w:t>
            </w:r>
            <w:r w:rsidRPr="00901194">
              <w:rPr>
                <w:rFonts w:eastAsia="Times New Roman" w:cs="Times New Roman"/>
                <w:color w:val="000000"/>
              </w:rPr>
              <w:t>, etc.). Small percentage also in animal and fungal cultures. Also found in human intestinal samples</w:t>
            </w:r>
          </w:p>
        </w:tc>
      </w:tr>
      <w:tr w:rsidR="00C53819" w:rsidRPr="00901194" w14:paraId="4A47164F" w14:textId="77777777" w:rsidTr="00C53819">
        <w:trPr>
          <w:trHeight w:val="917"/>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418663F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Lithocholic acid</w:t>
            </w:r>
          </w:p>
        </w:tc>
        <w:tc>
          <w:tcPr>
            <w:tcW w:w="810" w:type="dxa"/>
            <w:tcBorders>
              <w:top w:val="nil"/>
              <w:left w:val="nil"/>
              <w:bottom w:val="single" w:sz="4" w:space="0" w:color="auto"/>
              <w:right w:val="single" w:sz="4" w:space="0" w:color="auto"/>
            </w:tcBorders>
            <w:shd w:val="clear" w:color="auto" w:fill="auto"/>
            <w:vAlign w:val="center"/>
            <w:hideMark/>
          </w:tcPr>
          <w:p w14:paraId="5BB5865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323.273</w:t>
            </w:r>
          </w:p>
        </w:tc>
        <w:tc>
          <w:tcPr>
            <w:tcW w:w="630" w:type="dxa"/>
            <w:tcBorders>
              <w:top w:val="nil"/>
              <w:left w:val="nil"/>
              <w:bottom w:val="single" w:sz="4" w:space="0" w:color="auto"/>
              <w:right w:val="single" w:sz="4" w:space="0" w:color="auto"/>
            </w:tcBorders>
            <w:shd w:val="clear" w:color="auto" w:fill="auto"/>
            <w:vAlign w:val="center"/>
            <w:hideMark/>
          </w:tcPr>
          <w:p w14:paraId="5DEFBDBA"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6.84</w:t>
            </w:r>
          </w:p>
        </w:tc>
        <w:tc>
          <w:tcPr>
            <w:tcW w:w="810" w:type="dxa"/>
            <w:tcBorders>
              <w:top w:val="nil"/>
              <w:left w:val="nil"/>
              <w:bottom w:val="single" w:sz="4" w:space="0" w:color="auto"/>
              <w:right w:val="single" w:sz="4" w:space="0" w:color="auto"/>
            </w:tcBorders>
            <w:shd w:val="clear" w:color="auto" w:fill="auto"/>
            <w:vAlign w:val="center"/>
            <w:hideMark/>
          </w:tcPr>
          <w:p w14:paraId="514E67A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0.97</w:t>
            </w:r>
          </w:p>
        </w:tc>
        <w:tc>
          <w:tcPr>
            <w:tcW w:w="1170" w:type="dxa"/>
            <w:tcBorders>
              <w:top w:val="nil"/>
              <w:left w:val="nil"/>
              <w:bottom w:val="single" w:sz="4" w:space="0" w:color="auto"/>
              <w:right w:val="single" w:sz="4" w:space="0" w:color="auto"/>
            </w:tcBorders>
            <w:shd w:val="clear" w:color="auto" w:fill="auto"/>
            <w:vAlign w:val="center"/>
            <w:hideMark/>
          </w:tcPr>
          <w:p w14:paraId="47EB5EC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2B9F4AAA"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19001DD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3485C94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Prenol lipids (11.11%)</w:t>
            </w:r>
          </w:p>
        </w:tc>
        <w:tc>
          <w:tcPr>
            <w:tcW w:w="1350" w:type="dxa"/>
            <w:tcBorders>
              <w:top w:val="nil"/>
              <w:left w:val="nil"/>
              <w:bottom w:val="single" w:sz="4" w:space="0" w:color="auto"/>
              <w:right w:val="single" w:sz="4" w:space="0" w:color="auto"/>
            </w:tcBorders>
            <w:shd w:val="clear" w:color="auto" w:fill="auto"/>
            <w:vAlign w:val="center"/>
            <w:hideMark/>
          </w:tcPr>
          <w:p w14:paraId="0B8677A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Secondary bile acid</w:t>
            </w:r>
          </w:p>
        </w:tc>
        <w:tc>
          <w:tcPr>
            <w:tcW w:w="1440" w:type="dxa"/>
            <w:tcBorders>
              <w:top w:val="nil"/>
              <w:left w:val="nil"/>
              <w:bottom w:val="single" w:sz="4" w:space="0" w:color="auto"/>
              <w:right w:val="single" w:sz="4" w:space="0" w:color="auto"/>
            </w:tcBorders>
            <w:shd w:val="clear" w:color="auto" w:fill="auto"/>
            <w:vAlign w:val="center"/>
            <w:hideMark/>
          </w:tcPr>
          <w:p w14:paraId="40A97F5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4185EFA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human feces.</w:t>
            </w:r>
          </w:p>
        </w:tc>
      </w:tr>
      <w:tr w:rsidR="00C53819" w:rsidRPr="00901194" w14:paraId="29ACD7B4" w14:textId="77777777" w:rsidTr="00C53819">
        <w:trPr>
          <w:trHeight w:val="251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242FA33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Leucine enkephalin</w:t>
            </w:r>
          </w:p>
        </w:tc>
        <w:tc>
          <w:tcPr>
            <w:tcW w:w="810" w:type="dxa"/>
            <w:tcBorders>
              <w:top w:val="nil"/>
              <w:left w:val="nil"/>
              <w:bottom w:val="single" w:sz="4" w:space="0" w:color="auto"/>
              <w:right w:val="single" w:sz="4" w:space="0" w:color="auto"/>
            </w:tcBorders>
            <w:shd w:val="clear" w:color="auto" w:fill="auto"/>
            <w:vAlign w:val="center"/>
            <w:hideMark/>
          </w:tcPr>
          <w:p w14:paraId="5295A95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336.192</w:t>
            </w:r>
          </w:p>
        </w:tc>
        <w:tc>
          <w:tcPr>
            <w:tcW w:w="630" w:type="dxa"/>
            <w:tcBorders>
              <w:top w:val="nil"/>
              <w:left w:val="nil"/>
              <w:bottom w:val="single" w:sz="4" w:space="0" w:color="auto"/>
              <w:right w:val="single" w:sz="4" w:space="0" w:color="auto"/>
            </w:tcBorders>
            <w:shd w:val="clear" w:color="auto" w:fill="auto"/>
            <w:vAlign w:val="center"/>
            <w:hideMark/>
          </w:tcPr>
          <w:p w14:paraId="528E03B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3.22</w:t>
            </w:r>
          </w:p>
        </w:tc>
        <w:tc>
          <w:tcPr>
            <w:tcW w:w="810" w:type="dxa"/>
            <w:tcBorders>
              <w:top w:val="nil"/>
              <w:left w:val="nil"/>
              <w:bottom w:val="single" w:sz="4" w:space="0" w:color="auto"/>
              <w:right w:val="single" w:sz="4" w:space="0" w:color="auto"/>
            </w:tcBorders>
            <w:shd w:val="clear" w:color="auto" w:fill="auto"/>
            <w:vAlign w:val="center"/>
            <w:hideMark/>
          </w:tcPr>
          <w:p w14:paraId="2D3225A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0.77</w:t>
            </w:r>
          </w:p>
        </w:tc>
        <w:tc>
          <w:tcPr>
            <w:tcW w:w="1170" w:type="dxa"/>
            <w:tcBorders>
              <w:top w:val="nil"/>
              <w:left w:val="nil"/>
              <w:bottom w:val="single" w:sz="4" w:space="0" w:color="auto"/>
              <w:right w:val="single" w:sz="4" w:space="0" w:color="auto"/>
            </w:tcBorders>
            <w:shd w:val="clear" w:color="auto" w:fill="auto"/>
            <w:vAlign w:val="center"/>
            <w:hideMark/>
          </w:tcPr>
          <w:p w14:paraId="77DC4AA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59286BE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7EBFDC7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2179F53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5EC0D7C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Enkephalin peptide; Produced in brain</w:t>
            </w:r>
          </w:p>
        </w:tc>
        <w:tc>
          <w:tcPr>
            <w:tcW w:w="1440" w:type="dxa"/>
            <w:tcBorders>
              <w:top w:val="nil"/>
              <w:left w:val="nil"/>
              <w:bottom w:val="single" w:sz="4" w:space="0" w:color="auto"/>
              <w:right w:val="single" w:sz="4" w:space="0" w:color="auto"/>
            </w:tcBorders>
            <w:shd w:val="clear" w:color="auto" w:fill="auto"/>
            <w:vAlign w:val="center"/>
            <w:hideMark/>
          </w:tcPr>
          <w:p w14:paraId="2722F23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 (found in blood)</w:t>
            </w:r>
          </w:p>
        </w:tc>
        <w:tc>
          <w:tcPr>
            <w:tcW w:w="1530" w:type="dxa"/>
            <w:tcBorders>
              <w:top w:val="nil"/>
              <w:left w:val="nil"/>
              <w:bottom w:val="single" w:sz="4" w:space="0" w:color="auto"/>
              <w:right w:val="single" w:sz="4" w:space="0" w:color="auto"/>
            </w:tcBorders>
            <w:shd w:val="clear" w:color="auto" w:fill="auto"/>
            <w:vAlign w:val="center"/>
            <w:hideMark/>
          </w:tcPr>
          <w:p w14:paraId="02B30AA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bacterial cultures (</w:t>
            </w:r>
            <w:r w:rsidRPr="00901194">
              <w:rPr>
                <w:rFonts w:eastAsia="Times New Roman" w:cs="Times New Roman"/>
                <w:i/>
                <w:iCs/>
                <w:color w:val="000000"/>
              </w:rPr>
              <w:t xml:space="preserve">Parabacteroides goldsteinii </w:t>
            </w:r>
            <w:r w:rsidRPr="00901194">
              <w:rPr>
                <w:rFonts w:eastAsia="Times New Roman" w:cs="Times New Roman"/>
                <w:color w:val="000000"/>
              </w:rPr>
              <w:t xml:space="preserve">CC87F, </w:t>
            </w:r>
            <w:r w:rsidRPr="00901194">
              <w:rPr>
                <w:rFonts w:eastAsia="Times New Roman" w:cs="Times New Roman"/>
                <w:i/>
                <w:iCs/>
                <w:color w:val="000000"/>
              </w:rPr>
              <w:t>Parabacteroides merdae</w:t>
            </w:r>
            <w:r w:rsidRPr="00901194">
              <w:rPr>
                <w:rFonts w:eastAsia="Times New Roman" w:cs="Times New Roman"/>
                <w:color w:val="000000"/>
              </w:rPr>
              <w:t>, etc.)</w:t>
            </w:r>
          </w:p>
        </w:tc>
      </w:tr>
      <w:tr w:rsidR="00C53819" w:rsidRPr="00901194" w14:paraId="602A608B" w14:textId="77777777" w:rsidTr="00C53819">
        <w:trPr>
          <w:trHeight w:val="395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6DBD3D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13-Docosenamide, (Z)- (Erucamide)</w:t>
            </w:r>
          </w:p>
        </w:tc>
        <w:tc>
          <w:tcPr>
            <w:tcW w:w="810" w:type="dxa"/>
            <w:tcBorders>
              <w:top w:val="nil"/>
              <w:left w:val="nil"/>
              <w:bottom w:val="single" w:sz="4" w:space="0" w:color="auto"/>
              <w:right w:val="single" w:sz="4" w:space="0" w:color="auto"/>
            </w:tcBorders>
            <w:shd w:val="clear" w:color="auto" w:fill="auto"/>
            <w:vAlign w:val="center"/>
            <w:hideMark/>
          </w:tcPr>
          <w:p w14:paraId="1A5B63A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338.342</w:t>
            </w:r>
          </w:p>
        </w:tc>
        <w:tc>
          <w:tcPr>
            <w:tcW w:w="630" w:type="dxa"/>
            <w:tcBorders>
              <w:top w:val="nil"/>
              <w:left w:val="nil"/>
              <w:bottom w:val="single" w:sz="4" w:space="0" w:color="auto"/>
              <w:right w:val="single" w:sz="4" w:space="0" w:color="auto"/>
            </w:tcBorders>
            <w:shd w:val="clear" w:color="auto" w:fill="auto"/>
            <w:vAlign w:val="center"/>
            <w:hideMark/>
          </w:tcPr>
          <w:p w14:paraId="3F0A06F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9.19</w:t>
            </w:r>
          </w:p>
        </w:tc>
        <w:tc>
          <w:tcPr>
            <w:tcW w:w="810" w:type="dxa"/>
            <w:tcBorders>
              <w:top w:val="nil"/>
              <w:left w:val="nil"/>
              <w:bottom w:val="single" w:sz="4" w:space="0" w:color="auto"/>
              <w:right w:val="single" w:sz="4" w:space="0" w:color="auto"/>
            </w:tcBorders>
            <w:shd w:val="clear" w:color="auto" w:fill="auto"/>
            <w:vAlign w:val="center"/>
            <w:hideMark/>
          </w:tcPr>
          <w:p w14:paraId="7EBAAFC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0.83</w:t>
            </w:r>
          </w:p>
        </w:tc>
        <w:tc>
          <w:tcPr>
            <w:tcW w:w="1170" w:type="dxa"/>
            <w:tcBorders>
              <w:top w:val="nil"/>
              <w:left w:val="nil"/>
              <w:bottom w:val="single" w:sz="4" w:space="0" w:color="auto"/>
              <w:right w:val="single" w:sz="4" w:space="0" w:color="auto"/>
            </w:tcBorders>
            <w:shd w:val="clear" w:color="auto" w:fill="auto"/>
            <w:vAlign w:val="center"/>
            <w:hideMark/>
          </w:tcPr>
          <w:p w14:paraId="5AF7963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74B1CF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47A401A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79E06B8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3189667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Fatty amide</w:t>
            </w:r>
          </w:p>
        </w:tc>
        <w:tc>
          <w:tcPr>
            <w:tcW w:w="1440" w:type="dxa"/>
            <w:tcBorders>
              <w:top w:val="nil"/>
              <w:left w:val="nil"/>
              <w:bottom w:val="single" w:sz="4" w:space="0" w:color="auto"/>
              <w:right w:val="single" w:sz="4" w:space="0" w:color="auto"/>
            </w:tcBorders>
            <w:shd w:val="clear" w:color="auto" w:fill="auto"/>
            <w:vAlign w:val="center"/>
            <w:hideMark/>
          </w:tcPr>
          <w:p w14:paraId="7F2DCAC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1ACA5BA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human colon, upper digestive tract, liver, and fecal samples. Also found in bacterial cultures (</w:t>
            </w:r>
            <w:r w:rsidRPr="00901194">
              <w:rPr>
                <w:rFonts w:eastAsia="Times New Roman" w:cs="Times New Roman"/>
                <w:i/>
                <w:iCs/>
                <w:color w:val="000000"/>
              </w:rPr>
              <w:t>Peptostreptococcus sp.</w:t>
            </w:r>
            <w:r w:rsidRPr="00901194">
              <w:rPr>
                <w:rFonts w:eastAsia="Times New Roman" w:cs="Times New Roman"/>
                <w:color w:val="000000"/>
              </w:rPr>
              <w:t xml:space="preserve"> CC14N, </w:t>
            </w:r>
            <w:r w:rsidRPr="00901194">
              <w:rPr>
                <w:rFonts w:eastAsia="Times New Roman" w:cs="Times New Roman"/>
                <w:i/>
                <w:iCs/>
                <w:color w:val="000000"/>
              </w:rPr>
              <w:t xml:space="preserve">Bifidobacterium longum subsp. longum </w:t>
            </w:r>
            <w:r w:rsidRPr="00901194">
              <w:rPr>
                <w:rFonts w:eastAsia="Times New Roman" w:cs="Times New Roman"/>
                <w:color w:val="000000"/>
              </w:rPr>
              <w:t>44B, etc.) and fungal cultures</w:t>
            </w:r>
          </w:p>
        </w:tc>
      </w:tr>
      <w:tr w:rsidR="00C53819" w:rsidRPr="00901194" w14:paraId="13B66A00" w14:textId="77777777" w:rsidTr="00C53819">
        <w:trPr>
          <w:trHeight w:val="917"/>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4C696A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Phe-Trp (Phenylalanyltryptophan)</w:t>
            </w:r>
          </w:p>
        </w:tc>
        <w:tc>
          <w:tcPr>
            <w:tcW w:w="810" w:type="dxa"/>
            <w:tcBorders>
              <w:top w:val="nil"/>
              <w:left w:val="nil"/>
              <w:bottom w:val="single" w:sz="4" w:space="0" w:color="auto"/>
              <w:right w:val="single" w:sz="4" w:space="0" w:color="auto"/>
            </w:tcBorders>
            <w:shd w:val="clear" w:color="auto" w:fill="auto"/>
            <w:vAlign w:val="center"/>
            <w:hideMark/>
          </w:tcPr>
          <w:p w14:paraId="618E5C8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352.166</w:t>
            </w:r>
          </w:p>
        </w:tc>
        <w:tc>
          <w:tcPr>
            <w:tcW w:w="630" w:type="dxa"/>
            <w:tcBorders>
              <w:top w:val="nil"/>
              <w:left w:val="nil"/>
              <w:bottom w:val="single" w:sz="4" w:space="0" w:color="auto"/>
              <w:right w:val="single" w:sz="4" w:space="0" w:color="auto"/>
            </w:tcBorders>
            <w:shd w:val="clear" w:color="auto" w:fill="auto"/>
            <w:vAlign w:val="center"/>
            <w:hideMark/>
          </w:tcPr>
          <w:p w14:paraId="2D81B64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3.28</w:t>
            </w:r>
          </w:p>
        </w:tc>
        <w:tc>
          <w:tcPr>
            <w:tcW w:w="810" w:type="dxa"/>
            <w:tcBorders>
              <w:top w:val="nil"/>
              <w:left w:val="nil"/>
              <w:bottom w:val="single" w:sz="4" w:space="0" w:color="auto"/>
              <w:right w:val="single" w:sz="4" w:space="0" w:color="auto"/>
            </w:tcBorders>
            <w:shd w:val="clear" w:color="auto" w:fill="auto"/>
            <w:vAlign w:val="center"/>
            <w:hideMark/>
          </w:tcPr>
          <w:p w14:paraId="6439F9C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0.96</w:t>
            </w:r>
          </w:p>
        </w:tc>
        <w:tc>
          <w:tcPr>
            <w:tcW w:w="1170" w:type="dxa"/>
            <w:tcBorders>
              <w:top w:val="nil"/>
              <w:left w:val="nil"/>
              <w:bottom w:val="single" w:sz="4" w:space="0" w:color="auto"/>
              <w:right w:val="single" w:sz="4" w:space="0" w:color="auto"/>
            </w:tcBorders>
            <w:shd w:val="clear" w:color="auto" w:fill="auto"/>
            <w:vAlign w:val="center"/>
            <w:hideMark/>
          </w:tcPr>
          <w:p w14:paraId="1F307ED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227FE53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1F8A1FC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10F25EE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3D307C1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Phenylalanine and tryptophan dipeptide</w:t>
            </w:r>
          </w:p>
        </w:tc>
        <w:tc>
          <w:tcPr>
            <w:tcW w:w="1440" w:type="dxa"/>
            <w:tcBorders>
              <w:top w:val="nil"/>
              <w:left w:val="nil"/>
              <w:bottom w:val="single" w:sz="4" w:space="0" w:color="auto"/>
              <w:right w:val="single" w:sz="4" w:space="0" w:color="auto"/>
            </w:tcBorders>
            <w:shd w:val="clear" w:color="auto" w:fill="auto"/>
            <w:vAlign w:val="center"/>
            <w:hideMark/>
          </w:tcPr>
          <w:p w14:paraId="08148D71"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782E5C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fungal cultures (species not specified)</w:t>
            </w:r>
          </w:p>
        </w:tc>
      </w:tr>
      <w:tr w:rsidR="00C53819" w:rsidRPr="00901194" w14:paraId="0E4F6365" w14:textId="77777777" w:rsidTr="00C53819">
        <w:trPr>
          <w:trHeight w:val="24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80D3FE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Ile-Val-Lys (Isoleucylvalyllysine)</w:t>
            </w:r>
          </w:p>
        </w:tc>
        <w:tc>
          <w:tcPr>
            <w:tcW w:w="810" w:type="dxa"/>
            <w:tcBorders>
              <w:top w:val="nil"/>
              <w:left w:val="nil"/>
              <w:bottom w:val="single" w:sz="4" w:space="0" w:color="auto"/>
              <w:right w:val="single" w:sz="4" w:space="0" w:color="auto"/>
            </w:tcBorders>
            <w:shd w:val="clear" w:color="auto" w:fill="auto"/>
            <w:vAlign w:val="center"/>
            <w:hideMark/>
          </w:tcPr>
          <w:p w14:paraId="0F58E90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359.266</w:t>
            </w:r>
          </w:p>
        </w:tc>
        <w:tc>
          <w:tcPr>
            <w:tcW w:w="630" w:type="dxa"/>
            <w:tcBorders>
              <w:top w:val="nil"/>
              <w:left w:val="nil"/>
              <w:bottom w:val="single" w:sz="4" w:space="0" w:color="auto"/>
              <w:right w:val="single" w:sz="4" w:space="0" w:color="auto"/>
            </w:tcBorders>
            <w:shd w:val="clear" w:color="auto" w:fill="auto"/>
            <w:vAlign w:val="center"/>
            <w:hideMark/>
          </w:tcPr>
          <w:p w14:paraId="60F01A7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0.60</w:t>
            </w:r>
          </w:p>
        </w:tc>
        <w:tc>
          <w:tcPr>
            <w:tcW w:w="810" w:type="dxa"/>
            <w:tcBorders>
              <w:top w:val="nil"/>
              <w:left w:val="nil"/>
              <w:bottom w:val="single" w:sz="4" w:space="0" w:color="auto"/>
              <w:right w:val="single" w:sz="4" w:space="0" w:color="auto"/>
            </w:tcBorders>
            <w:shd w:val="clear" w:color="auto" w:fill="auto"/>
            <w:vAlign w:val="center"/>
            <w:hideMark/>
          </w:tcPr>
          <w:p w14:paraId="7634232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0.91</w:t>
            </w:r>
          </w:p>
        </w:tc>
        <w:tc>
          <w:tcPr>
            <w:tcW w:w="1170" w:type="dxa"/>
            <w:tcBorders>
              <w:top w:val="nil"/>
              <w:left w:val="nil"/>
              <w:bottom w:val="single" w:sz="4" w:space="0" w:color="auto"/>
              <w:right w:val="single" w:sz="4" w:space="0" w:color="auto"/>
            </w:tcBorders>
            <w:shd w:val="clear" w:color="auto" w:fill="auto"/>
            <w:vAlign w:val="center"/>
            <w:hideMark/>
          </w:tcPr>
          <w:p w14:paraId="4935FD97"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74E631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553C765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0B95EE8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11EBBC7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Isoleucine, valine, and lysine tripeptide</w:t>
            </w:r>
          </w:p>
        </w:tc>
        <w:tc>
          <w:tcPr>
            <w:tcW w:w="1440" w:type="dxa"/>
            <w:tcBorders>
              <w:top w:val="nil"/>
              <w:left w:val="nil"/>
              <w:bottom w:val="single" w:sz="4" w:space="0" w:color="auto"/>
              <w:right w:val="single" w:sz="4" w:space="0" w:color="auto"/>
            </w:tcBorders>
            <w:shd w:val="clear" w:color="auto" w:fill="auto"/>
            <w:vAlign w:val="center"/>
            <w:hideMark/>
          </w:tcPr>
          <w:p w14:paraId="1BA9961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53EEE18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animal and bacterial culture samples. Also found in human jejunum, duodenum, ileum, caecum, colon, vaginal, and fecal samples</w:t>
            </w:r>
          </w:p>
        </w:tc>
      </w:tr>
      <w:tr w:rsidR="00C53819" w:rsidRPr="00901194" w14:paraId="1323A1EC" w14:textId="77777777" w:rsidTr="00C53819">
        <w:trPr>
          <w:trHeight w:val="134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16A4E1A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lastRenderedPageBreak/>
              <w:t>Cholesterol</w:t>
            </w:r>
          </w:p>
        </w:tc>
        <w:tc>
          <w:tcPr>
            <w:tcW w:w="810" w:type="dxa"/>
            <w:tcBorders>
              <w:top w:val="nil"/>
              <w:left w:val="nil"/>
              <w:bottom w:val="single" w:sz="4" w:space="0" w:color="auto"/>
              <w:right w:val="single" w:sz="4" w:space="0" w:color="auto"/>
            </w:tcBorders>
            <w:shd w:val="clear" w:color="auto" w:fill="auto"/>
            <w:vAlign w:val="center"/>
            <w:hideMark/>
          </w:tcPr>
          <w:p w14:paraId="4E7078F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369.352</w:t>
            </w:r>
          </w:p>
        </w:tc>
        <w:tc>
          <w:tcPr>
            <w:tcW w:w="630" w:type="dxa"/>
            <w:tcBorders>
              <w:top w:val="nil"/>
              <w:left w:val="nil"/>
              <w:bottom w:val="single" w:sz="4" w:space="0" w:color="auto"/>
              <w:right w:val="single" w:sz="4" w:space="0" w:color="auto"/>
            </w:tcBorders>
            <w:shd w:val="clear" w:color="auto" w:fill="auto"/>
            <w:vAlign w:val="center"/>
            <w:hideMark/>
          </w:tcPr>
          <w:p w14:paraId="4BDE4EC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10.50</w:t>
            </w:r>
          </w:p>
        </w:tc>
        <w:tc>
          <w:tcPr>
            <w:tcW w:w="810" w:type="dxa"/>
            <w:tcBorders>
              <w:top w:val="nil"/>
              <w:left w:val="nil"/>
              <w:bottom w:val="single" w:sz="4" w:space="0" w:color="auto"/>
              <w:right w:val="single" w:sz="4" w:space="0" w:color="auto"/>
            </w:tcBorders>
            <w:shd w:val="clear" w:color="auto" w:fill="auto"/>
            <w:vAlign w:val="center"/>
            <w:hideMark/>
          </w:tcPr>
          <w:p w14:paraId="2A815CC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0.97</w:t>
            </w:r>
          </w:p>
        </w:tc>
        <w:tc>
          <w:tcPr>
            <w:tcW w:w="1170" w:type="dxa"/>
            <w:tcBorders>
              <w:top w:val="nil"/>
              <w:left w:val="nil"/>
              <w:bottom w:val="single" w:sz="4" w:space="0" w:color="auto"/>
              <w:right w:val="single" w:sz="4" w:space="0" w:color="auto"/>
            </w:tcBorders>
            <w:shd w:val="clear" w:color="auto" w:fill="auto"/>
            <w:vAlign w:val="center"/>
            <w:hideMark/>
          </w:tcPr>
          <w:p w14:paraId="3FD1C78A"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DE0D34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6515EB9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14FCAF1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3CD5E30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Animal sterol from body tissues and plasma</w:t>
            </w:r>
          </w:p>
        </w:tc>
        <w:tc>
          <w:tcPr>
            <w:tcW w:w="1440" w:type="dxa"/>
            <w:tcBorders>
              <w:top w:val="nil"/>
              <w:left w:val="nil"/>
              <w:bottom w:val="single" w:sz="4" w:space="0" w:color="auto"/>
              <w:right w:val="single" w:sz="4" w:space="0" w:color="auto"/>
            </w:tcBorders>
            <w:shd w:val="clear" w:color="auto" w:fill="auto"/>
            <w:vAlign w:val="center"/>
            <w:hideMark/>
          </w:tcPr>
          <w:p w14:paraId="7472EC3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77DDCD8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plant and environmental samples.</w:t>
            </w:r>
          </w:p>
        </w:tc>
      </w:tr>
      <w:tr w:rsidR="00C53819" w:rsidRPr="00901194" w14:paraId="2BA71ADB" w14:textId="77777777" w:rsidTr="00C53819">
        <w:trPr>
          <w:trHeight w:val="318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9078C6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(R)-4-((3R,5S,8R,9S,10S,13R,14S,17R)-3-hydroxy-10,13-dimethyl-7,12-dioxohexadecahydro-1H-cyclopenta[a]phenanthren-17-yl)pentanoic acid</w:t>
            </w:r>
          </w:p>
        </w:tc>
        <w:tc>
          <w:tcPr>
            <w:tcW w:w="810" w:type="dxa"/>
            <w:tcBorders>
              <w:top w:val="nil"/>
              <w:left w:val="nil"/>
              <w:bottom w:val="single" w:sz="4" w:space="0" w:color="auto"/>
              <w:right w:val="single" w:sz="4" w:space="0" w:color="auto"/>
            </w:tcBorders>
            <w:shd w:val="clear" w:color="auto" w:fill="auto"/>
            <w:vAlign w:val="center"/>
            <w:hideMark/>
          </w:tcPr>
          <w:p w14:paraId="11A2826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405.264</w:t>
            </w:r>
          </w:p>
        </w:tc>
        <w:tc>
          <w:tcPr>
            <w:tcW w:w="630" w:type="dxa"/>
            <w:tcBorders>
              <w:top w:val="nil"/>
              <w:left w:val="nil"/>
              <w:bottom w:val="single" w:sz="4" w:space="0" w:color="auto"/>
              <w:right w:val="single" w:sz="4" w:space="0" w:color="auto"/>
            </w:tcBorders>
            <w:shd w:val="clear" w:color="auto" w:fill="auto"/>
            <w:vAlign w:val="center"/>
            <w:hideMark/>
          </w:tcPr>
          <w:p w14:paraId="227125E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4.81</w:t>
            </w:r>
          </w:p>
        </w:tc>
        <w:tc>
          <w:tcPr>
            <w:tcW w:w="810" w:type="dxa"/>
            <w:tcBorders>
              <w:top w:val="nil"/>
              <w:left w:val="nil"/>
              <w:bottom w:val="single" w:sz="4" w:space="0" w:color="auto"/>
              <w:right w:val="single" w:sz="4" w:space="0" w:color="auto"/>
            </w:tcBorders>
            <w:shd w:val="clear" w:color="auto" w:fill="auto"/>
            <w:vAlign w:val="center"/>
            <w:hideMark/>
          </w:tcPr>
          <w:p w14:paraId="69C7ADC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0.92</w:t>
            </w:r>
          </w:p>
        </w:tc>
        <w:tc>
          <w:tcPr>
            <w:tcW w:w="1170" w:type="dxa"/>
            <w:tcBorders>
              <w:top w:val="nil"/>
              <w:left w:val="nil"/>
              <w:bottom w:val="single" w:sz="4" w:space="0" w:color="auto"/>
              <w:right w:val="single" w:sz="4" w:space="0" w:color="auto"/>
            </w:tcBorders>
            <w:shd w:val="clear" w:color="auto" w:fill="auto"/>
            <w:vAlign w:val="center"/>
            <w:hideMark/>
          </w:tcPr>
          <w:p w14:paraId="2C62F1EE"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6AE7FF3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6137C7C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33F94BC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Steroids and steroid derivatives (46.15%)</w:t>
            </w:r>
          </w:p>
        </w:tc>
        <w:tc>
          <w:tcPr>
            <w:tcW w:w="1350" w:type="dxa"/>
            <w:tcBorders>
              <w:top w:val="nil"/>
              <w:left w:val="nil"/>
              <w:bottom w:val="single" w:sz="4" w:space="0" w:color="auto"/>
              <w:right w:val="single" w:sz="4" w:space="0" w:color="auto"/>
            </w:tcBorders>
            <w:shd w:val="clear" w:color="auto" w:fill="auto"/>
            <w:vAlign w:val="center"/>
            <w:hideMark/>
          </w:tcPr>
          <w:p w14:paraId="7DDC191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NA</w:t>
            </w:r>
          </w:p>
        </w:tc>
        <w:tc>
          <w:tcPr>
            <w:tcW w:w="1440" w:type="dxa"/>
            <w:tcBorders>
              <w:top w:val="nil"/>
              <w:left w:val="nil"/>
              <w:bottom w:val="single" w:sz="4" w:space="0" w:color="auto"/>
              <w:right w:val="single" w:sz="4" w:space="0" w:color="auto"/>
            </w:tcBorders>
            <w:shd w:val="clear" w:color="auto" w:fill="auto"/>
            <w:vAlign w:val="center"/>
            <w:hideMark/>
          </w:tcPr>
          <w:p w14:paraId="7FBC138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6D45D91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Predominantly found in bacterial cultures (</w:t>
            </w:r>
            <w:r w:rsidRPr="00901194">
              <w:rPr>
                <w:rFonts w:eastAsia="Times New Roman" w:cs="Times New Roman"/>
                <w:b/>
                <w:bCs/>
                <w:i/>
                <w:iCs/>
                <w:color w:val="000000"/>
              </w:rPr>
              <w:t>Bacteroides caccae</w:t>
            </w:r>
            <w:r w:rsidRPr="00901194">
              <w:rPr>
                <w:rFonts w:eastAsia="Times New Roman" w:cs="Times New Roman"/>
                <w:b/>
                <w:bCs/>
                <w:color w:val="000000"/>
              </w:rPr>
              <w:t xml:space="preserve">, </w:t>
            </w:r>
            <w:r w:rsidRPr="00901194">
              <w:rPr>
                <w:rFonts w:eastAsia="Times New Roman" w:cs="Times New Roman"/>
                <w:b/>
                <w:bCs/>
                <w:i/>
                <w:iCs/>
                <w:color w:val="000000"/>
              </w:rPr>
              <w:t>Bacteroides ovatus</w:t>
            </w:r>
            <w:r w:rsidRPr="00901194">
              <w:rPr>
                <w:rFonts w:eastAsia="Times New Roman" w:cs="Times New Roman"/>
                <w:b/>
                <w:bCs/>
                <w:color w:val="000000"/>
              </w:rPr>
              <w:t>,</w:t>
            </w:r>
            <w:r w:rsidRPr="00901194">
              <w:rPr>
                <w:rFonts w:eastAsia="Times New Roman" w:cs="Times New Roman"/>
                <w:b/>
                <w:bCs/>
                <w:i/>
                <w:iCs/>
                <w:color w:val="000000"/>
              </w:rPr>
              <w:t>Clostridium orbiscindens</w:t>
            </w:r>
            <w:r w:rsidRPr="00901194">
              <w:rPr>
                <w:rFonts w:eastAsia="Times New Roman" w:cs="Times New Roman"/>
                <w:b/>
                <w:bCs/>
                <w:color w:val="000000"/>
              </w:rPr>
              <w:t>, etc.). Also found in mouse and human digestive tract and fecal samples.</w:t>
            </w:r>
          </w:p>
        </w:tc>
      </w:tr>
      <w:tr w:rsidR="00C53819" w:rsidRPr="00901194" w14:paraId="2525CFA2" w14:textId="77777777" w:rsidTr="00C53819">
        <w:trPr>
          <w:trHeight w:val="285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44BE1DF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Glycoursodeoxycholic acid</w:t>
            </w:r>
          </w:p>
        </w:tc>
        <w:tc>
          <w:tcPr>
            <w:tcW w:w="810" w:type="dxa"/>
            <w:tcBorders>
              <w:top w:val="nil"/>
              <w:left w:val="nil"/>
              <w:bottom w:val="single" w:sz="4" w:space="0" w:color="auto"/>
              <w:right w:val="single" w:sz="4" w:space="0" w:color="auto"/>
            </w:tcBorders>
            <w:shd w:val="clear" w:color="auto" w:fill="auto"/>
            <w:vAlign w:val="center"/>
            <w:hideMark/>
          </w:tcPr>
          <w:p w14:paraId="4C91A2B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414.301</w:t>
            </w:r>
          </w:p>
        </w:tc>
        <w:tc>
          <w:tcPr>
            <w:tcW w:w="630" w:type="dxa"/>
            <w:tcBorders>
              <w:top w:val="nil"/>
              <w:left w:val="nil"/>
              <w:bottom w:val="single" w:sz="4" w:space="0" w:color="auto"/>
              <w:right w:val="single" w:sz="4" w:space="0" w:color="auto"/>
            </w:tcBorders>
            <w:shd w:val="clear" w:color="auto" w:fill="auto"/>
            <w:vAlign w:val="center"/>
            <w:hideMark/>
          </w:tcPr>
          <w:p w14:paraId="0A1B3F1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5.01</w:t>
            </w:r>
          </w:p>
        </w:tc>
        <w:tc>
          <w:tcPr>
            <w:tcW w:w="810" w:type="dxa"/>
            <w:tcBorders>
              <w:top w:val="nil"/>
              <w:left w:val="nil"/>
              <w:bottom w:val="single" w:sz="4" w:space="0" w:color="auto"/>
              <w:right w:val="single" w:sz="4" w:space="0" w:color="auto"/>
            </w:tcBorders>
            <w:shd w:val="clear" w:color="auto" w:fill="auto"/>
            <w:vAlign w:val="center"/>
            <w:hideMark/>
          </w:tcPr>
          <w:p w14:paraId="5250003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w:t>
            </w:r>
          </w:p>
        </w:tc>
        <w:tc>
          <w:tcPr>
            <w:tcW w:w="1170" w:type="dxa"/>
            <w:tcBorders>
              <w:top w:val="nil"/>
              <w:left w:val="nil"/>
              <w:bottom w:val="single" w:sz="4" w:space="0" w:color="auto"/>
              <w:right w:val="single" w:sz="4" w:space="0" w:color="auto"/>
            </w:tcBorders>
            <w:shd w:val="clear" w:color="auto" w:fill="auto"/>
            <w:vAlign w:val="center"/>
            <w:hideMark/>
          </w:tcPr>
          <w:p w14:paraId="622513E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37A2BB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40EAC87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0A18782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Steroids and steroid derivatives (36.71%)</w:t>
            </w:r>
          </w:p>
        </w:tc>
        <w:tc>
          <w:tcPr>
            <w:tcW w:w="1350" w:type="dxa"/>
            <w:tcBorders>
              <w:top w:val="nil"/>
              <w:left w:val="nil"/>
              <w:bottom w:val="single" w:sz="4" w:space="0" w:color="auto"/>
              <w:right w:val="single" w:sz="4" w:space="0" w:color="auto"/>
            </w:tcBorders>
            <w:shd w:val="clear" w:color="auto" w:fill="auto"/>
            <w:vAlign w:val="center"/>
            <w:hideMark/>
          </w:tcPr>
          <w:p w14:paraId="67C67FF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Secondary bile acid</w:t>
            </w:r>
          </w:p>
        </w:tc>
        <w:tc>
          <w:tcPr>
            <w:tcW w:w="1440" w:type="dxa"/>
            <w:tcBorders>
              <w:top w:val="nil"/>
              <w:left w:val="nil"/>
              <w:bottom w:val="single" w:sz="4" w:space="0" w:color="auto"/>
              <w:right w:val="single" w:sz="4" w:space="0" w:color="auto"/>
            </w:tcBorders>
            <w:shd w:val="clear" w:color="auto" w:fill="auto"/>
            <w:vAlign w:val="center"/>
            <w:hideMark/>
          </w:tcPr>
          <w:p w14:paraId="4527A34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CAFF3B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 xml:space="preserve">Found in animal samples (rats and humans). Also found in human blood plasma, blood serum, urine, skin, and fecal samples. </w:t>
            </w:r>
          </w:p>
        </w:tc>
      </w:tr>
      <w:tr w:rsidR="00C53819" w:rsidRPr="00901194" w14:paraId="381D0822" w14:textId="77777777" w:rsidTr="00C53819">
        <w:trPr>
          <w:trHeight w:val="152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369B420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lastRenderedPageBreak/>
              <w:t>Cholic acid</w:t>
            </w:r>
          </w:p>
        </w:tc>
        <w:tc>
          <w:tcPr>
            <w:tcW w:w="810" w:type="dxa"/>
            <w:tcBorders>
              <w:top w:val="nil"/>
              <w:left w:val="nil"/>
              <w:bottom w:val="single" w:sz="4" w:space="0" w:color="auto"/>
              <w:right w:val="single" w:sz="4" w:space="0" w:color="auto"/>
            </w:tcBorders>
            <w:shd w:val="clear" w:color="auto" w:fill="auto"/>
            <w:vAlign w:val="center"/>
            <w:hideMark/>
          </w:tcPr>
          <w:p w14:paraId="7D401D7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426.318</w:t>
            </w:r>
          </w:p>
        </w:tc>
        <w:tc>
          <w:tcPr>
            <w:tcW w:w="630" w:type="dxa"/>
            <w:tcBorders>
              <w:top w:val="nil"/>
              <w:left w:val="nil"/>
              <w:bottom w:val="single" w:sz="4" w:space="0" w:color="auto"/>
              <w:right w:val="single" w:sz="4" w:space="0" w:color="auto"/>
            </w:tcBorders>
            <w:shd w:val="clear" w:color="auto" w:fill="auto"/>
            <w:vAlign w:val="center"/>
            <w:hideMark/>
          </w:tcPr>
          <w:p w14:paraId="1FB851A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5.19</w:t>
            </w:r>
          </w:p>
        </w:tc>
        <w:tc>
          <w:tcPr>
            <w:tcW w:w="810" w:type="dxa"/>
            <w:tcBorders>
              <w:top w:val="nil"/>
              <w:left w:val="nil"/>
              <w:bottom w:val="single" w:sz="4" w:space="0" w:color="auto"/>
              <w:right w:val="single" w:sz="4" w:space="0" w:color="auto"/>
            </w:tcBorders>
            <w:shd w:val="clear" w:color="auto" w:fill="auto"/>
            <w:vAlign w:val="center"/>
            <w:hideMark/>
          </w:tcPr>
          <w:p w14:paraId="7D21364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0.98</w:t>
            </w:r>
          </w:p>
        </w:tc>
        <w:tc>
          <w:tcPr>
            <w:tcW w:w="1170" w:type="dxa"/>
            <w:tcBorders>
              <w:top w:val="nil"/>
              <w:left w:val="nil"/>
              <w:bottom w:val="single" w:sz="4" w:space="0" w:color="auto"/>
              <w:right w:val="single" w:sz="4" w:space="0" w:color="auto"/>
            </w:tcBorders>
            <w:shd w:val="clear" w:color="auto" w:fill="auto"/>
            <w:vAlign w:val="center"/>
            <w:hideMark/>
          </w:tcPr>
          <w:p w14:paraId="7E2C2DF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FED27D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481E305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4931F76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Steroids and steroid derivatives (8%)</w:t>
            </w:r>
          </w:p>
        </w:tc>
        <w:tc>
          <w:tcPr>
            <w:tcW w:w="1350" w:type="dxa"/>
            <w:tcBorders>
              <w:top w:val="nil"/>
              <w:left w:val="nil"/>
              <w:bottom w:val="single" w:sz="4" w:space="0" w:color="auto"/>
              <w:right w:val="single" w:sz="4" w:space="0" w:color="auto"/>
            </w:tcBorders>
            <w:shd w:val="clear" w:color="auto" w:fill="auto"/>
            <w:vAlign w:val="center"/>
            <w:hideMark/>
          </w:tcPr>
          <w:p w14:paraId="1CEC732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Bile acid produced in liver</w:t>
            </w:r>
          </w:p>
        </w:tc>
        <w:tc>
          <w:tcPr>
            <w:tcW w:w="1440" w:type="dxa"/>
            <w:tcBorders>
              <w:top w:val="nil"/>
              <w:left w:val="nil"/>
              <w:bottom w:val="single" w:sz="4" w:space="0" w:color="auto"/>
              <w:right w:val="single" w:sz="4" w:space="0" w:color="auto"/>
            </w:tcBorders>
            <w:shd w:val="clear" w:color="auto" w:fill="auto"/>
            <w:vAlign w:val="center"/>
            <w:hideMark/>
          </w:tcPr>
          <w:p w14:paraId="3609442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C88687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 xml:space="preserve">Found in human GI tract and feces. Associated with urban samples. Also found in bacterial cultures </w:t>
            </w:r>
          </w:p>
        </w:tc>
      </w:tr>
      <w:tr w:rsidR="00C53819" w:rsidRPr="00901194" w14:paraId="5C312803" w14:textId="77777777" w:rsidTr="00C53819">
        <w:trPr>
          <w:trHeight w:val="210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4CCDC4D6"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6R)-2-(hydroxymethyl)-6-((3R,5R,7R,8R,9S,10S,12S,13R,14S,17R)-3,7,12-trihydroxy-10,13-dimethylhexadecahydro-1H-cyclopenta[a]phenanthren-17-yl)heptanoic acid</w:t>
            </w:r>
          </w:p>
        </w:tc>
        <w:tc>
          <w:tcPr>
            <w:tcW w:w="810" w:type="dxa"/>
            <w:tcBorders>
              <w:top w:val="nil"/>
              <w:left w:val="nil"/>
              <w:bottom w:val="single" w:sz="4" w:space="0" w:color="auto"/>
              <w:right w:val="single" w:sz="4" w:space="0" w:color="auto"/>
            </w:tcBorders>
            <w:shd w:val="clear" w:color="auto" w:fill="auto"/>
            <w:vAlign w:val="center"/>
            <w:hideMark/>
          </w:tcPr>
          <w:p w14:paraId="0D05205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431.318</w:t>
            </w:r>
          </w:p>
        </w:tc>
        <w:tc>
          <w:tcPr>
            <w:tcW w:w="630" w:type="dxa"/>
            <w:tcBorders>
              <w:top w:val="nil"/>
              <w:left w:val="nil"/>
              <w:bottom w:val="single" w:sz="4" w:space="0" w:color="auto"/>
              <w:right w:val="single" w:sz="4" w:space="0" w:color="auto"/>
            </w:tcBorders>
            <w:shd w:val="clear" w:color="auto" w:fill="auto"/>
            <w:vAlign w:val="center"/>
            <w:hideMark/>
          </w:tcPr>
          <w:p w14:paraId="18B6278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5.25</w:t>
            </w:r>
          </w:p>
        </w:tc>
        <w:tc>
          <w:tcPr>
            <w:tcW w:w="810" w:type="dxa"/>
            <w:tcBorders>
              <w:top w:val="nil"/>
              <w:left w:val="nil"/>
              <w:bottom w:val="single" w:sz="4" w:space="0" w:color="auto"/>
              <w:right w:val="single" w:sz="4" w:space="0" w:color="auto"/>
            </w:tcBorders>
            <w:shd w:val="clear" w:color="auto" w:fill="auto"/>
            <w:vAlign w:val="center"/>
            <w:hideMark/>
          </w:tcPr>
          <w:p w14:paraId="1F167CC5"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0.86</w:t>
            </w:r>
          </w:p>
        </w:tc>
        <w:tc>
          <w:tcPr>
            <w:tcW w:w="1170" w:type="dxa"/>
            <w:tcBorders>
              <w:top w:val="nil"/>
              <w:left w:val="nil"/>
              <w:bottom w:val="single" w:sz="4" w:space="0" w:color="auto"/>
              <w:right w:val="single" w:sz="4" w:space="0" w:color="auto"/>
            </w:tcBorders>
            <w:shd w:val="clear" w:color="auto" w:fill="auto"/>
            <w:vAlign w:val="center"/>
            <w:hideMark/>
          </w:tcPr>
          <w:p w14:paraId="3CBD638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8A0740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4E903B0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0E34AF58"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Steroids and steroid derivatives (6.12%)</w:t>
            </w:r>
          </w:p>
        </w:tc>
        <w:tc>
          <w:tcPr>
            <w:tcW w:w="1350" w:type="dxa"/>
            <w:tcBorders>
              <w:top w:val="nil"/>
              <w:left w:val="nil"/>
              <w:bottom w:val="single" w:sz="4" w:space="0" w:color="auto"/>
              <w:right w:val="single" w:sz="4" w:space="0" w:color="auto"/>
            </w:tcBorders>
            <w:shd w:val="clear" w:color="auto" w:fill="auto"/>
            <w:vAlign w:val="center"/>
            <w:hideMark/>
          </w:tcPr>
          <w:p w14:paraId="163780DD"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440" w:type="dxa"/>
            <w:tcBorders>
              <w:top w:val="nil"/>
              <w:left w:val="nil"/>
              <w:bottom w:val="single" w:sz="4" w:space="0" w:color="auto"/>
              <w:right w:val="single" w:sz="4" w:space="0" w:color="auto"/>
            </w:tcBorders>
            <w:shd w:val="clear" w:color="auto" w:fill="auto"/>
            <w:vAlign w:val="center"/>
            <w:hideMark/>
          </w:tcPr>
          <w:p w14:paraId="6A57531B"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530" w:type="dxa"/>
            <w:tcBorders>
              <w:top w:val="nil"/>
              <w:left w:val="nil"/>
              <w:bottom w:val="single" w:sz="4" w:space="0" w:color="auto"/>
              <w:right w:val="single" w:sz="4" w:space="0" w:color="auto"/>
            </w:tcBorders>
            <w:shd w:val="clear" w:color="auto" w:fill="auto"/>
            <w:vAlign w:val="center"/>
            <w:hideMark/>
          </w:tcPr>
          <w:p w14:paraId="331C352F"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human feces (&lt;18 years old)</w:t>
            </w:r>
          </w:p>
        </w:tc>
      </w:tr>
      <w:tr w:rsidR="00C53819" w:rsidRPr="00901194" w14:paraId="6A8D5DFF" w14:textId="77777777" w:rsidTr="00C53819">
        <w:trPr>
          <w:trHeight w:val="393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64D8D00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Oleanolic acid</w:t>
            </w:r>
          </w:p>
        </w:tc>
        <w:tc>
          <w:tcPr>
            <w:tcW w:w="810" w:type="dxa"/>
            <w:tcBorders>
              <w:top w:val="nil"/>
              <w:left w:val="nil"/>
              <w:bottom w:val="single" w:sz="4" w:space="0" w:color="auto"/>
              <w:right w:val="single" w:sz="4" w:space="0" w:color="auto"/>
            </w:tcBorders>
            <w:shd w:val="clear" w:color="auto" w:fill="auto"/>
            <w:vAlign w:val="center"/>
            <w:hideMark/>
          </w:tcPr>
          <w:p w14:paraId="6CB2A889"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439.359</w:t>
            </w:r>
          </w:p>
        </w:tc>
        <w:tc>
          <w:tcPr>
            <w:tcW w:w="630" w:type="dxa"/>
            <w:tcBorders>
              <w:top w:val="nil"/>
              <w:left w:val="nil"/>
              <w:bottom w:val="single" w:sz="4" w:space="0" w:color="auto"/>
              <w:right w:val="single" w:sz="4" w:space="0" w:color="auto"/>
            </w:tcBorders>
            <w:shd w:val="clear" w:color="auto" w:fill="auto"/>
            <w:vAlign w:val="center"/>
            <w:hideMark/>
          </w:tcPr>
          <w:p w14:paraId="1CF88EDA"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7.62</w:t>
            </w:r>
          </w:p>
        </w:tc>
        <w:tc>
          <w:tcPr>
            <w:tcW w:w="810" w:type="dxa"/>
            <w:tcBorders>
              <w:top w:val="nil"/>
              <w:left w:val="nil"/>
              <w:bottom w:val="single" w:sz="4" w:space="0" w:color="auto"/>
              <w:right w:val="single" w:sz="4" w:space="0" w:color="auto"/>
            </w:tcBorders>
            <w:shd w:val="clear" w:color="auto" w:fill="auto"/>
            <w:vAlign w:val="center"/>
            <w:hideMark/>
          </w:tcPr>
          <w:p w14:paraId="068CF71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0.92</w:t>
            </w:r>
          </w:p>
        </w:tc>
        <w:tc>
          <w:tcPr>
            <w:tcW w:w="1170" w:type="dxa"/>
            <w:tcBorders>
              <w:top w:val="nil"/>
              <w:left w:val="nil"/>
              <w:bottom w:val="single" w:sz="4" w:space="0" w:color="auto"/>
              <w:right w:val="single" w:sz="4" w:space="0" w:color="auto"/>
            </w:tcBorders>
            <w:shd w:val="clear" w:color="auto" w:fill="auto"/>
            <w:vAlign w:val="center"/>
            <w:hideMark/>
          </w:tcPr>
          <w:p w14:paraId="68EF3804"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3C44E06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39626973"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0F742EE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7739253E"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Plant metabolite</w:t>
            </w:r>
          </w:p>
        </w:tc>
        <w:tc>
          <w:tcPr>
            <w:tcW w:w="1440" w:type="dxa"/>
            <w:tcBorders>
              <w:top w:val="nil"/>
              <w:left w:val="nil"/>
              <w:bottom w:val="single" w:sz="4" w:space="0" w:color="auto"/>
              <w:right w:val="single" w:sz="4" w:space="0" w:color="auto"/>
            </w:tcBorders>
            <w:shd w:val="clear" w:color="auto" w:fill="auto"/>
            <w:vAlign w:val="center"/>
            <w:hideMark/>
          </w:tcPr>
          <w:p w14:paraId="6656B1FC"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26F6F122" w14:textId="77777777" w:rsidR="00C53819" w:rsidRPr="00901194" w:rsidRDefault="00C53819" w:rsidP="00A3769A">
            <w:pPr>
              <w:spacing w:after="0" w:line="240" w:lineRule="auto"/>
              <w:jc w:val="center"/>
              <w:rPr>
                <w:rFonts w:eastAsia="Times New Roman" w:cs="Times New Roman"/>
                <w:color w:val="000000"/>
              </w:rPr>
            </w:pPr>
            <w:r w:rsidRPr="00901194">
              <w:rPr>
                <w:rFonts w:eastAsia="Times New Roman" w:cs="Times New Roman"/>
                <w:color w:val="000000"/>
              </w:rPr>
              <w:t>Found in fungal culture, food, plant, environment, and beverage samples. In humans, found in caecum and fecal samples.</w:t>
            </w:r>
          </w:p>
        </w:tc>
      </w:tr>
      <w:tr w:rsidR="00C53819" w:rsidRPr="00901194" w14:paraId="056FADD1" w14:textId="77777777" w:rsidTr="00C53819">
        <w:trPr>
          <w:trHeight w:val="278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4C5BE5C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Glycocholic acid</w:t>
            </w:r>
          </w:p>
        </w:tc>
        <w:tc>
          <w:tcPr>
            <w:tcW w:w="810" w:type="dxa"/>
            <w:tcBorders>
              <w:top w:val="nil"/>
              <w:left w:val="nil"/>
              <w:bottom w:val="single" w:sz="4" w:space="0" w:color="auto"/>
              <w:right w:val="single" w:sz="4" w:space="0" w:color="auto"/>
            </w:tcBorders>
            <w:shd w:val="clear" w:color="auto" w:fill="auto"/>
            <w:vAlign w:val="center"/>
            <w:hideMark/>
          </w:tcPr>
          <w:p w14:paraId="7C8A59C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466.32</w:t>
            </w:r>
          </w:p>
        </w:tc>
        <w:tc>
          <w:tcPr>
            <w:tcW w:w="630" w:type="dxa"/>
            <w:tcBorders>
              <w:top w:val="nil"/>
              <w:left w:val="nil"/>
              <w:bottom w:val="single" w:sz="4" w:space="0" w:color="auto"/>
              <w:right w:val="single" w:sz="4" w:space="0" w:color="auto"/>
            </w:tcBorders>
            <w:shd w:val="clear" w:color="auto" w:fill="auto"/>
            <w:vAlign w:val="center"/>
            <w:hideMark/>
          </w:tcPr>
          <w:p w14:paraId="62A335B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4.69</w:t>
            </w:r>
          </w:p>
        </w:tc>
        <w:tc>
          <w:tcPr>
            <w:tcW w:w="810" w:type="dxa"/>
            <w:tcBorders>
              <w:top w:val="nil"/>
              <w:left w:val="nil"/>
              <w:bottom w:val="single" w:sz="4" w:space="0" w:color="auto"/>
              <w:right w:val="single" w:sz="4" w:space="0" w:color="auto"/>
            </w:tcBorders>
            <w:shd w:val="clear" w:color="auto" w:fill="auto"/>
            <w:vAlign w:val="center"/>
            <w:hideMark/>
          </w:tcPr>
          <w:p w14:paraId="2A512C5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0.96</w:t>
            </w:r>
          </w:p>
        </w:tc>
        <w:tc>
          <w:tcPr>
            <w:tcW w:w="1170" w:type="dxa"/>
            <w:tcBorders>
              <w:top w:val="nil"/>
              <w:left w:val="nil"/>
              <w:bottom w:val="single" w:sz="4" w:space="0" w:color="auto"/>
              <w:right w:val="single" w:sz="4" w:space="0" w:color="auto"/>
            </w:tcBorders>
            <w:shd w:val="clear" w:color="auto" w:fill="auto"/>
            <w:vAlign w:val="center"/>
            <w:hideMark/>
          </w:tcPr>
          <w:p w14:paraId="071DC9B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1CCF298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5277CEB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5941492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Steroids and steroid derivatives (13.04%)</w:t>
            </w:r>
          </w:p>
        </w:tc>
        <w:tc>
          <w:tcPr>
            <w:tcW w:w="1350" w:type="dxa"/>
            <w:tcBorders>
              <w:top w:val="nil"/>
              <w:left w:val="nil"/>
              <w:bottom w:val="single" w:sz="4" w:space="0" w:color="auto"/>
              <w:right w:val="single" w:sz="4" w:space="0" w:color="auto"/>
            </w:tcBorders>
            <w:shd w:val="clear" w:color="auto" w:fill="auto"/>
            <w:vAlign w:val="center"/>
            <w:hideMark/>
          </w:tcPr>
          <w:p w14:paraId="38A0F3E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Secondary bile acid</w:t>
            </w:r>
          </w:p>
        </w:tc>
        <w:tc>
          <w:tcPr>
            <w:tcW w:w="1440" w:type="dxa"/>
            <w:tcBorders>
              <w:top w:val="nil"/>
              <w:left w:val="nil"/>
              <w:bottom w:val="single" w:sz="4" w:space="0" w:color="auto"/>
              <w:right w:val="single" w:sz="4" w:space="0" w:color="auto"/>
            </w:tcBorders>
            <w:shd w:val="clear" w:color="auto" w:fill="auto"/>
            <w:vAlign w:val="center"/>
            <w:hideMark/>
          </w:tcPr>
          <w:p w14:paraId="11B9B35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1C22FDC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 xml:space="preserve">Found in bacterial culture (e.g., </w:t>
            </w:r>
            <w:r w:rsidRPr="00901194">
              <w:rPr>
                <w:rFonts w:eastAsia="Times New Roman" w:cs="Times New Roman"/>
                <w:b/>
                <w:bCs/>
                <w:i/>
                <w:iCs/>
                <w:color w:val="000000"/>
              </w:rPr>
              <w:t>Enterococcus faecium</w:t>
            </w:r>
            <w:r w:rsidRPr="00901194">
              <w:rPr>
                <w:rFonts w:eastAsia="Times New Roman" w:cs="Times New Roman"/>
                <w:b/>
                <w:bCs/>
                <w:color w:val="000000"/>
              </w:rPr>
              <w:t xml:space="preserve">, </w:t>
            </w:r>
            <w:r w:rsidRPr="00901194">
              <w:rPr>
                <w:rFonts w:eastAsia="Times New Roman" w:cs="Times New Roman"/>
                <w:b/>
                <w:bCs/>
                <w:i/>
                <w:iCs/>
                <w:color w:val="000000"/>
              </w:rPr>
              <w:t>Prevotella oralis</w:t>
            </w:r>
            <w:r w:rsidRPr="00901194">
              <w:rPr>
                <w:rFonts w:eastAsia="Times New Roman" w:cs="Times New Roman"/>
                <w:b/>
                <w:bCs/>
                <w:color w:val="000000"/>
              </w:rPr>
              <w:t>, etc.) and food samples. In humans, found in urine, jejunum, digestive tract, and fecal samples.</w:t>
            </w:r>
          </w:p>
        </w:tc>
      </w:tr>
      <w:tr w:rsidR="00C53819" w:rsidRPr="00901194" w14:paraId="4584531A" w14:textId="77777777" w:rsidTr="00C53819">
        <w:trPr>
          <w:trHeight w:val="2415"/>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286BE69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lastRenderedPageBreak/>
              <w:t>Enoxolone</w:t>
            </w:r>
          </w:p>
        </w:tc>
        <w:tc>
          <w:tcPr>
            <w:tcW w:w="810" w:type="dxa"/>
            <w:tcBorders>
              <w:top w:val="nil"/>
              <w:left w:val="nil"/>
              <w:bottom w:val="single" w:sz="4" w:space="0" w:color="auto"/>
              <w:right w:val="single" w:sz="4" w:space="0" w:color="auto"/>
            </w:tcBorders>
            <w:shd w:val="clear" w:color="auto" w:fill="auto"/>
            <w:vAlign w:val="center"/>
            <w:hideMark/>
          </w:tcPr>
          <w:p w14:paraId="4E7938FE"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471.347</w:t>
            </w:r>
          </w:p>
        </w:tc>
        <w:tc>
          <w:tcPr>
            <w:tcW w:w="630" w:type="dxa"/>
            <w:tcBorders>
              <w:top w:val="nil"/>
              <w:left w:val="nil"/>
              <w:bottom w:val="single" w:sz="4" w:space="0" w:color="auto"/>
              <w:right w:val="single" w:sz="4" w:space="0" w:color="auto"/>
            </w:tcBorders>
            <w:shd w:val="clear" w:color="auto" w:fill="auto"/>
            <w:vAlign w:val="center"/>
            <w:hideMark/>
          </w:tcPr>
          <w:p w14:paraId="1B8C4CD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6.92</w:t>
            </w:r>
          </w:p>
        </w:tc>
        <w:tc>
          <w:tcPr>
            <w:tcW w:w="810" w:type="dxa"/>
            <w:tcBorders>
              <w:top w:val="nil"/>
              <w:left w:val="nil"/>
              <w:bottom w:val="single" w:sz="4" w:space="0" w:color="auto"/>
              <w:right w:val="single" w:sz="4" w:space="0" w:color="auto"/>
            </w:tcBorders>
            <w:shd w:val="clear" w:color="auto" w:fill="auto"/>
            <w:vAlign w:val="center"/>
            <w:hideMark/>
          </w:tcPr>
          <w:p w14:paraId="706C31B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0.86</w:t>
            </w:r>
          </w:p>
        </w:tc>
        <w:tc>
          <w:tcPr>
            <w:tcW w:w="1170" w:type="dxa"/>
            <w:tcBorders>
              <w:top w:val="nil"/>
              <w:left w:val="nil"/>
              <w:bottom w:val="single" w:sz="4" w:space="0" w:color="auto"/>
              <w:right w:val="single" w:sz="4" w:space="0" w:color="auto"/>
            </w:tcBorders>
            <w:shd w:val="clear" w:color="auto" w:fill="auto"/>
            <w:vAlign w:val="center"/>
            <w:hideMark/>
          </w:tcPr>
          <w:p w14:paraId="01BC050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2518FB2A"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990" w:type="dxa"/>
            <w:tcBorders>
              <w:top w:val="nil"/>
              <w:left w:val="nil"/>
              <w:bottom w:val="single" w:sz="4" w:space="0" w:color="auto"/>
              <w:right w:val="single" w:sz="4" w:space="0" w:color="auto"/>
            </w:tcBorders>
            <w:shd w:val="clear" w:color="auto" w:fill="auto"/>
            <w:vAlign w:val="center"/>
            <w:hideMark/>
          </w:tcPr>
          <w:p w14:paraId="4A68412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1C97EC7B"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0B57DB7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Derived from plant metabolite; Commonly used as artificial sweetener</w:t>
            </w:r>
          </w:p>
        </w:tc>
        <w:tc>
          <w:tcPr>
            <w:tcW w:w="1440" w:type="dxa"/>
            <w:tcBorders>
              <w:top w:val="nil"/>
              <w:left w:val="nil"/>
              <w:bottom w:val="single" w:sz="4" w:space="0" w:color="auto"/>
              <w:right w:val="single" w:sz="4" w:space="0" w:color="auto"/>
            </w:tcBorders>
            <w:shd w:val="clear" w:color="auto" w:fill="auto"/>
            <w:vAlign w:val="center"/>
            <w:hideMark/>
          </w:tcPr>
          <w:p w14:paraId="448B213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 (found in blood)</w:t>
            </w:r>
          </w:p>
        </w:tc>
        <w:tc>
          <w:tcPr>
            <w:tcW w:w="1530" w:type="dxa"/>
            <w:tcBorders>
              <w:top w:val="nil"/>
              <w:left w:val="nil"/>
              <w:bottom w:val="single" w:sz="4" w:space="0" w:color="auto"/>
              <w:right w:val="single" w:sz="4" w:space="0" w:color="auto"/>
            </w:tcBorders>
            <w:shd w:val="clear" w:color="auto" w:fill="auto"/>
            <w:vAlign w:val="center"/>
            <w:hideMark/>
          </w:tcPr>
          <w:p w14:paraId="28865C0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human feces (largely individuals &lt;18 years) and fungal cultures</w:t>
            </w:r>
          </w:p>
        </w:tc>
      </w:tr>
      <w:tr w:rsidR="00C53819" w:rsidRPr="00901194" w14:paraId="4CD9703D" w14:textId="77777777" w:rsidTr="00C53819">
        <w:trPr>
          <w:trHeight w:val="17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0074E3E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Bilirubin</w:t>
            </w:r>
          </w:p>
        </w:tc>
        <w:tc>
          <w:tcPr>
            <w:tcW w:w="810" w:type="dxa"/>
            <w:tcBorders>
              <w:top w:val="nil"/>
              <w:left w:val="nil"/>
              <w:bottom w:val="single" w:sz="4" w:space="0" w:color="auto"/>
              <w:right w:val="single" w:sz="4" w:space="0" w:color="auto"/>
            </w:tcBorders>
            <w:shd w:val="clear" w:color="auto" w:fill="auto"/>
            <w:vAlign w:val="center"/>
            <w:hideMark/>
          </w:tcPr>
          <w:p w14:paraId="1F57545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585.272</w:t>
            </w:r>
          </w:p>
        </w:tc>
        <w:tc>
          <w:tcPr>
            <w:tcW w:w="630" w:type="dxa"/>
            <w:tcBorders>
              <w:top w:val="nil"/>
              <w:left w:val="nil"/>
              <w:bottom w:val="single" w:sz="4" w:space="0" w:color="auto"/>
              <w:right w:val="single" w:sz="4" w:space="0" w:color="auto"/>
            </w:tcBorders>
            <w:shd w:val="clear" w:color="auto" w:fill="auto"/>
            <w:vAlign w:val="center"/>
            <w:hideMark/>
          </w:tcPr>
          <w:p w14:paraId="744B04B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8.90</w:t>
            </w:r>
          </w:p>
        </w:tc>
        <w:tc>
          <w:tcPr>
            <w:tcW w:w="810" w:type="dxa"/>
            <w:tcBorders>
              <w:top w:val="nil"/>
              <w:left w:val="nil"/>
              <w:bottom w:val="single" w:sz="4" w:space="0" w:color="auto"/>
              <w:right w:val="single" w:sz="4" w:space="0" w:color="auto"/>
            </w:tcBorders>
            <w:shd w:val="clear" w:color="auto" w:fill="auto"/>
            <w:vAlign w:val="center"/>
            <w:hideMark/>
          </w:tcPr>
          <w:p w14:paraId="7CFFC80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0.95</w:t>
            </w:r>
          </w:p>
        </w:tc>
        <w:tc>
          <w:tcPr>
            <w:tcW w:w="1170" w:type="dxa"/>
            <w:tcBorders>
              <w:top w:val="nil"/>
              <w:left w:val="nil"/>
              <w:bottom w:val="single" w:sz="4" w:space="0" w:color="auto"/>
              <w:right w:val="single" w:sz="4" w:space="0" w:color="auto"/>
            </w:tcBorders>
            <w:shd w:val="clear" w:color="auto" w:fill="auto"/>
            <w:vAlign w:val="center"/>
            <w:hideMark/>
          </w:tcPr>
          <w:p w14:paraId="7BA9FFA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43C253C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1115FC7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13828FD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12D5BAB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Bile pigment produced during heme breakdown</w:t>
            </w:r>
          </w:p>
        </w:tc>
        <w:tc>
          <w:tcPr>
            <w:tcW w:w="1440" w:type="dxa"/>
            <w:tcBorders>
              <w:top w:val="nil"/>
              <w:left w:val="nil"/>
              <w:bottom w:val="single" w:sz="4" w:space="0" w:color="auto"/>
              <w:right w:val="single" w:sz="4" w:space="0" w:color="auto"/>
            </w:tcBorders>
            <w:shd w:val="clear" w:color="auto" w:fill="auto"/>
            <w:vAlign w:val="center"/>
            <w:hideMark/>
          </w:tcPr>
          <w:p w14:paraId="2C690FD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559193A1"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upper digestive tract and feces of humans.</w:t>
            </w:r>
          </w:p>
        </w:tc>
      </w:tr>
      <w:tr w:rsidR="00C53819" w:rsidRPr="00901194" w14:paraId="5DB083EE" w14:textId="77777777" w:rsidTr="00C53819">
        <w:trPr>
          <w:trHeight w:val="890"/>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4CB3AB73"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Urobilin</w:t>
            </w:r>
          </w:p>
        </w:tc>
        <w:tc>
          <w:tcPr>
            <w:tcW w:w="810" w:type="dxa"/>
            <w:tcBorders>
              <w:top w:val="nil"/>
              <w:left w:val="nil"/>
              <w:bottom w:val="single" w:sz="4" w:space="0" w:color="auto"/>
              <w:right w:val="single" w:sz="4" w:space="0" w:color="auto"/>
            </w:tcBorders>
            <w:shd w:val="clear" w:color="auto" w:fill="auto"/>
            <w:vAlign w:val="center"/>
            <w:hideMark/>
          </w:tcPr>
          <w:p w14:paraId="23C54C12"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591.318</w:t>
            </w:r>
          </w:p>
        </w:tc>
        <w:tc>
          <w:tcPr>
            <w:tcW w:w="630" w:type="dxa"/>
            <w:tcBorders>
              <w:top w:val="nil"/>
              <w:left w:val="nil"/>
              <w:bottom w:val="single" w:sz="4" w:space="0" w:color="auto"/>
              <w:right w:val="single" w:sz="4" w:space="0" w:color="auto"/>
            </w:tcBorders>
            <w:shd w:val="clear" w:color="auto" w:fill="auto"/>
            <w:vAlign w:val="center"/>
            <w:hideMark/>
          </w:tcPr>
          <w:p w14:paraId="63041A9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4.07</w:t>
            </w:r>
          </w:p>
        </w:tc>
        <w:tc>
          <w:tcPr>
            <w:tcW w:w="810" w:type="dxa"/>
            <w:tcBorders>
              <w:top w:val="nil"/>
              <w:left w:val="nil"/>
              <w:bottom w:val="single" w:sz="4" w:space="0" w:color="auto"/>
              <w:right w:val="single" w:sz="4" w:space="0" w:color="auto"/>
            </w:tcBorders>
            <w:shd w:val="clear" w:color="auto" w:fill="auto"/>
            <w:vAlign w:val="center"/>
            <w:hideMark/>
          </w:tcPr>
          <w:p w14:paraId="2F7CFAB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0.96</w:t>
            </w:r>
          </w:p>
        </w:tc>
        <w:tc>
          <w:tcPr>
            <w:tcW w:w="1170" w:type="dxa"/>
            <w:tcBorders>
              <w:top w:val="nil"/>
              <w:left w:val="nil"/>
              <w:bottom w:val="single" w:sz="4" w:space="0" w:color="auto"/>
              <w:right w:val="single" w:sz="4" w:space="0" w:color="auto"/>
            </w:tcBorders>
            <w:shd w:val="clear" w:color="auto" w:fill="auto"/>
            <w:vAlign w:val="center"/>
            <w:hideMark/>
          </w:tcPr>
          <w:p w14:paraId="68AAC22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79E7282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33FD80F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350" w:type="dxa"/>
            <w:tcBorders>
              <w:top w:val="nil"/>
              <w:left w:val="nil"/>
              <w:bottom w:val="single" w:sz="4" w:space="0" w:color="auto"/>
              <w:right w:val="single" w:sz="4" w:space="0" w:color="auto"/>
            </w:tcBorders>
            <w:shd w:val="clear" w:color="auto" w:fill="auto"/>
            <w:vAlign w:val="center"/>
            <w:hideMark/>
          </w:tcPr>
          <w:p w14:paraId="1F4A7C1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w:t>
            </w:r>
          </w:p>
        </w:tc>
        <w:tc>
          <w:tcPr>
            <w:tcW w:w="1350" w:type="dxa"/>
            <w:tcBorders>
              <w:top w:val="nil"/>
              <w:left w:val="nil"/>
              <w:bottom w:val="single" w:sz="4" w:space="0" w:color="auto"/>
              <w:right w:val="single" w:sz="4" w:space="0" w:color="auto"/>
            </w:tcBorders>
            <w:shd w:val="clear" w:color="auto" w:fill="auto"/>
            <w:vAlign w:val="center"/>
            <w:hideMark/>
          </w:tcPr>
          <w:p w14:paraId="07878D2C"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Responsible for yellow coloring of urine</w:t>
            </w:r>
          </w:p>
        </w:tc>
        <w:tc>
          <w:tcPr>
            <w:tcW w:w="1440" w:type="dxa"/>
            <w:tcBorders>
              <w:top w:val="nil"/>
              <w:left w:val="nil"/>
              <w:bottom w:val="single" w:sz="4" w:space="0" w:color="auto"/>
              <w:right w:val="single" w:sz="4" w:space="0" w:color="auto"/>
            </w:tcBorders>
            <w:shd w:val="clear" w:color="auto" w:fill="auto"/>
            <w:vAlign w:val="center"/>
            <w:hideMark/>
          </w:tcPr>
          <w:p w14:paraId="763F8C66"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530" w:type="dxa"/>
            <w:tcBorders>
              <w:top w:val="nil"/>
              <w:left w:val="nil"/>
              <w:bottom w:val="single" w:sz="4" w:space="0" w:color="auto"/>
              <w:right w:val="single" w:sz="4" w:space="0" w:color="auto"/>
            </w:tcBorders>
            <w:shd w:val="clear" w:color="auto" w:fill="auto"/>
            <w:vAlign w:val="center"/>
            <w:hideMark/>
          </w:tcPr>
          <w:p w14:paraId="7EFA26D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urban human colon and fecal samples.</w:t>
            </w:r>
          </w:p>
        </w:tc>
      </w:tr>
      <w:tr w:rsidR="00C53819" w:rsidRPr="00901194" w14:paraId="03D7DB85" w14:textId="77777777" w:rsidTr="00C53819">
        <w:trPr>
          <w:trHeight w:val="85"/>
        </w:trPr>
        <w:tc>
          <w:tcPr>
            <w:tcW w:w="1605" w:type="dxa"/>
            <w:tcBorders>
              <w:top w:val="nil"/>
              <w:left w:val="single" w:sz="4" w:space="0" w:color="auto"/>
              <w:bottom w:val="single" w:sz="4" w:space="0" w:color="auto"/>
              <w:right w:val="single" w:sz="4" w:space="0" w:color="auto"/>
            </w:tcBorders>
            <w:shd w:val="clear" w:color="auto" w:fill="auto"/>
            <w:vAlign w:val="center"/>
            <w:hideMark/>
          </w:tcPr>
          <w:p w14:paraId="57C2377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Stercobilin</w:t>
            </w:r>
          </w:p>
        </w:tc>
        <w:tc>
          <w:tcPr>
            <w:tcW w:w="810" w:type="dxa"/>
            <w:tcBorders>
              <w:top w:val="nil"/>
              <w:left w:val="nil"/>
              <w:bottom w:val="single" w:sz="4" w:space="0" w:color="auto"/>
              <w:right w:val="single" w:sz="4" w:space="0" w:color="auto"/>
            </w:tcBorders>
            <w:shd w:val="clear" w:color="auto" w:fill="auto"/>
            <w:vAlign w:val="center"/>
            <w:hideMark/>
          </w:tcPr>
          <w:p w14:paraId="50D6FA04"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595.349</w:t>
            </w:r>
          </w:p>
        </w:tc>
        <w:tc>
          <w:tcPr>
            <w:tcW w:w="630" w:type="dxa"/>
            <w:tcBorders>
              <w:top w:val="nil"/>
              <w:left w:val="nil"/>
              <w:bottom w:val="single" w:sz="4" w:space="0" w:color="auto"/>
              <w:right w:val="single" w:sz="4" w:space="0" w:color="auto"/>
            </w:tcBorders>
            <w:shd w:val="clear" w:color="auto" w:fill="auto"/>
            <w:vAlign w:val="center"/>
            <w:hideMark/>
          </w:tcPr>
          <w:p w14:paraId="62425C38"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4.05</w:t>
            </w:r>
          </w:p>
        </w:tc>
        <w:tc>
          <w:tcPr>
            <w:tcW w:w="810" w:type="dxa"/>
            <w:tcBorders>
              <w:top w:val="nil"/>
              <w:left w:val="nil"/>
              <w:bottom w:val="single" w:sz="4" w:space="0" w:color="auto"/>
              <w:right w:val="single" w:sz="4" w:space="0" w:color="auto"/>
            </w:tcBorders>
            <w:shd w:val="clear" w:color="auto" w:fill="auto"/>
            <w:vAlign w:val="center"/>
            <w:hideMark/>
          </w:tcPr>
          <w:p w14:paraId="26D8B859"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0.94</w:t>
            </w:r>
          </w:p>
        </w:tc>
        <w:tc>
          <w:tcPr>
            <w:tcW w:w="1170" w:type="dxa"/>
            <w:tcBorders>
              <w:top w:val="nil"/>
              <w:left w:val="nil"/>
              <w:bottom w:val="single" w:sz="4" w:space="0" w:color="auto"/>
              <w:right w:val="single" w:sz="4" w:space="0" w:color="auto"/>
            </w:tcBorders>
            <w:shd w:val="clear" w:color="auto" w:fill="auto"/>
            <w:vAlign w:val="center"/>
            <w:hideMark/>
          </w:tcPr>
          <w:p w14:paraId="6324E64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1170" w:type="dxa"/>
            <w:tcBorders>
              <w:top w:val="nil"/>
              <w:left w:val="nil"/>
              <w:bottom w:val="single" w:sz="4" w:space="0" w:color="auto"/>
              <w:right w:val="single" w:sz="4" w:space="0" w:color="auto"/>
            </w:tcBorders>
            <w:shd w:val="clear" w:color="auto" w:fill="auto"/>
            <w:vAlign w:val="center"/>
            <w:hideMark/>
          </w:tcPr>
          <w:p w14:paraId="19A40C1D"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Yes</w:t>
            </w:r>
          </w:p>
        </w:tc>
        <w:tc>
          <w:tcPr>
            <w:tcW w:w="990" w:type="dxa"/>
            <w:tcBorders>
              <w:top w:val="nil"/>
              <w:left w:val="nil"/>
              <w:bottom w:val="single" w:sz="4" w:space="0" w:color="auto"/>
              <w:right w:val="single" w:sz="4" w:space="0" w:color="auto"/>
            </w:tcBorders>
            <w:shd w:val="clear" w:color="auto" w:fill="auto"/>
            <w:vAlign w:val="center"/>
            <w:hideMark/>
          </w:tcPr>
          <w:p w14:paraId="45717CD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w:t>
            </w:r>
          </w:p>
        </w:tc>
        <w:tc>
          <w:tcPr>
            <w:tcW w:w="1350" w:type="dxa"/>
            <w:tcBorders>
              <w:top w:val="nil"/>
              <w:left w:val="nil"/>
              <w:bottom w:val="single" w:sz="4" w:space="0" w:color="auto"/>
              <w:right w:val="single" w:sz="4" w:space="0" w:color="auto"/>
            </w:tcBorders>
            <w:shd w:val="clear" w:color="auto" w:fill="auto"/>
            <w:vAlign w:val="center"/>
            <w:hideMark/>
          </w:tcPr>
          <w:p w14:paraId="2DCF28CF"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Tetrapyrroles and derivatives (53.85%)</w:t>
            </w:r>
          </w:p>
        </w:tc>
        <w:tc>
          <w:tcPr>
            <w:tcW w:w="1350" w:type="dxa"/>
            <w:tcBorders>
              <w:top w:val="nil"/>
              <w:left w:val="nil"/>
              <w:bottom w:val="single" w:sz="4" w:space="0" w:color="auto"/>
              <w:right w:val="single" w:sz="4" w:space="0" w:color="auto"/>
            </w:tcBorders>
            <w:shd w:val="clear" w:color="auto" w:fill="auto"/>
            <w:vAlign w:val="center"/>
            <w:hideMark/>
          </w:tcPr>
          <w:p w14:paraId="7F5D6BD5"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Responsible for brown coloring of feces</w:t>
            </w:r>
          </w:p>
        </w:tc>
        <w:tc>
          <w:tcPr>
            <w:tcW w:w="1440" w:type="dxa"/>
            <w:tcBorders>
              <w:top w:val="nil"/>
              <w:left w:val="nil"/>
              <w:bottom w:val="single" w:sz="4" w:space="0" w:color="auto"/>
              <w:right w:val="single" w:sz="4" w:space="0" w:color="auto"/>
            </w:tcBorders>
            <w:shd w:val="clear" w:color="auto" w:fill="auto"/>
            <w:vAlign w:val="center"/>
            <w:hideMark/>
          </w:tcPr>
          <w:p w14:paraId="3DFEB407"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Not available</w:t>
            </w:r>
          </w:p>
        </w:tc>
        <w:tc>
          <w:tcPr>
            <w:tcW w:w="1530" w:type="dxa"/>
            <w:tcBorders>
              <w:top w:val="nil"/>
              <w:left w:val="nil"/>
              <w:bottom w:val="single" w:sz="4" w:space="0" w:color="auto"/>
              <w:right w:val="single" w:sz="4" w:space="0" w:color="auto"/>
            </w:tcBorders>
            <w:shd w:val="clear" w:color="auto" w:fill="auto"/>
            <w:vAlign w:val="center"/>
            <w:hideMark/>
          </w:tcPr>
          <w:p w14:paraId="6F4D4EE0" w14:textId="77777777" w:rsidR="00C53819" w:rsidRPr="00901194" w:rsidRDefault="00C53819" w:rsidP="00A3769A">
            <w:pPr>
              <w:spacing w:after="0" w:line="240" w:lineRule="auto"/>
              <w:jc w:val="center"/>
              <w:rPr>
                <w:rFonts w:eastAsia="Times New Roman" w:cs="Times New Roman"/>
                <w:b/>
                <w:bCs/>
                <w:color w:val="000000"/>
              </w:rPr>
            </w:pPr>
            <w:r w:rsidRPr="00901194">
              <w:rPr>
                <w:rFonts w:eastAsia="Times New Roman" w:cs="Times New Roman"/>
                <w:b/>
                <w:bCs/>
                <w:color w:val="000000"/>
              </w:rPr>
              <w:t>Found in human fecal samples.</w:t>
            </w:r>
          </w:p>
        </w:tc>
      </w:tr>
    </w:tbl>
    <w:p w14:paraId="6A54D584" w14:textId="77777777" w:rsidR="00C53819" w:rsidRPr="00901194" w:rsidRDefault="00C53819" w:rsidP="00274ADB">
      <w:pPr>
        <w:spacing w:after="0" w:line="240" w:lineRule="auto"/>
        <w:rPr>
          <w:rFonts w:cs="Times New Roman"/>
          <w:szCs w:val="24"/>
        </w:rPr>
      </w:pPr>
    </w:p>
    <w:p w14:paraId="265B4169" w14:textId="590D3270" w:rsidR="00C53819" w:rsidRPr="00901194" w:rsidRDefault="00C53819" w:rsidP="00274ADB">
      <w:pPr>
        <w:spacing w:after="0" w:line="240" w:lineRule="auto"/>
        <w:rPr>
          <w:rFonts w:cs="Times New Roman"/>
          <w:szCs w:val="24"/>
        </w:rPr>
        <w:sectPr w:rsidR="00C53819" w:rsidRPr="00901194" w:rsidSect="00C53819">
          <w:pgSz w:w="15840" w:h="12240" w:orient="landscape"/>
          <w:pgMar w:top="1440" w:right="1440" w:bottom="1440" w:left="1440" w:header="0" w:footer="0" w:gutter="0"/>
          <w:cols w:space="720"/>
          <w:formProt w:val="0"/>
          <w:docGrid w:linePitch="360" w:charSpace="-2049"/>
        </w:sectPr>
      </w:pPr>
    </w:p>
    <w:p w14:paraId="34BA5E97" w14:textId="77777777" w:rsidR="00C53819" w:rsidRPr="00901194" w:rsidRDefault="00C53819" w:rsidP="00274ADB">
      <w:pPr>
        <w:spacing w:after="0" w:line="240" w:lineRule="auto"/>
        <w:rPr>
          <w:rFonts w:cs="Times New Roman"/>
          <w:szCs w:val="24"/>
        </w:rPr>
      </w:pPr>
    </w:p>
    <w:p w14:paraId="6C6DFA30" w14:textId="77777777" w:rsidR="00274ADB" w:rsidRPr="00901194" w:rsidRDefault="00274ADB" w:rsidP="00274ADB">
      <w:pPr>
        <w:spacing w:after="0" w:line="240" w:lineRule="auto"/>
        <w:rPr>
          <w:rFonts w:cs="Times New Roman"/>
          <w:szCs w:val="24"/>
        </w:rPr>
      </w:pPr>
    </w:p>
    <w:p w14:paraId="5223EF55" w14:textId="09D4912E" w:rsidR="00274ADB" w:rsidRPr="00901194" w:rsidRDefault="00274ADB" w:rsidP="00AC1FAA">
      <w:pPr>
        <w:pStyle w:val="CaptionJH"/>
        <w:spacing w:line="240" w:lineRule="auto"/>
        <w:rPr>
          <w:b/>
          <w:bCs w:val="0"/>
        </w:rPr>
      </w:pPr>
      <w:bookmarkStart w:id="116" w:name="_Toc131186570"/>
      <w:r w:rsidRPr="00901194">
        <w:rPr>
          <w:b/>
          <w:bCs w:val="0"/>
        </w:rPr>
        <w:t>Table S</w:t>
      </w:r>
      <w:r w:rsidR="00AC1FAA" w:rsidRPr="00901194">
        <w:rPr>
          <w:b/>
          <w:bCs w:val="0"/>
        </w:rPr>
        <w:t>2.</w:t>
      </w:r>
      <w:r w:rsidRPr="00901194">
        <w:rPr>
          <w:b/>
          <w:bCs w:val="0"/>
        </w:rPr>
        <w:t>3</w:t>
      </w:r>
      <w:r w:rsidR="00AC1FAA" w:rsidRPr="00901194">
        <w:rPr>
          <w:b/>
          <w:bCs w:val="0"/>
        </w:rPr>
        <w:t>:</w:t>
      </w:r>
      <w:r w:rsidRPr="00901194">
        <w:rPr>
          <w:b/>
          <w:bCs w:val="0"/>
        </w:rPr>
        <w:t xml:space="preserve"> Metabolite searches from MASST and ReDU co-analysis with all available human fecal samples.</w:t>
      </w:r>
      <w:bookmarkEnd w:id="116"/>
    </w:p>
    <w:p w14:paraId="47A17F4C" w14:textId="07567991" w:rsidR="00274ADB" w:rsidRPr="00901194" w:rsidRDefault="00274ADB" w:rsidP="00FA7ED2">
      <w:pPr>
        <w:spacing w:line="240" w:lineRule="auto"/>
        <w:rPr>
          <w:rFonts w:cs="Times New Roman"/>
          <w:i/>
          <w:iCs/>
        </w:rPr>
      </w:pPr>
      <w:r w:rsidRPr="00901194">
        <w:rPr>
          <w:rFonts w:cs="Times New Roman"/>
          <w:i/>
          <w:iCs/>
        </w:rPr>
        <w:t>MASST results contain total dataset matches and common recurring sample type matches, such as mouse, rat, environment, etc. Approximate counts for dataset types, such as plants, are indicated by “~”, For ReDU All Human Fecal Sample Search, n=5,556 (our 90 samples + 5,466 ReDU fecal samples). Matched bacterial species names were provided if the bacterial species appeared once in the matches, and otherwise, only genus name was recorded (e.g., Streptomyces means multiple Streptomyces matches occurred for that metabolite). “NA” values represent no results.</w:t>
      </w:r>
      <w:r w:rsidR="00CC184B" w:rsidRPr="00901194">
        <w:rPr>
          <w:rFonts w:cs="Times New Roman"/>
          <w:i/>
          <w:iCs/>
        </w:rPr>
        <w:t xml:space="preserve"> </w:t>
      </w:r>
      <w:r w:rsidR="00640FBE" w:rsidRPr="00901194">
        <w:rPr>
          <w:rFonts w:cs="Times New Roman"/>
          <w:i/>
          <w:iCs/>
        </w:rPr>
        <w:t>Matched MASST dataset titles included study name as listed in GNPS, with cited publications (if available).</w:t>
      </w:r>
    </w:p>
    <w:tbl>
      <w:tblPr>
        <w:tblW w:w="12045" w:type="dxa"/>
        <w:tblInd w:w="10" w:type="dxa"/>
        <w:tblLayout w:type="fixed"/>
        <w:tblCellMar>
          <w:left w:w="10" w:type="dxa"/>
          <w:right w:w="10" w:type="dxa"/>
        </w:tblCellMar>
        <w:tblLook w:val="04A0" w:firstRow="1" w:lastRow="0" w:firstColumn="1" w:lastColumn="0" w:noHBand="0" w:noVBand="1"/>
      </w:tblPr>
      <w:tblGrid>
        <w:gridCol w:w="1885"/>
        <w:gridCol w:w="890"/>
        <w:gridCol w:w="910"/>
        <w:gridCol w:w="1250"/>
        <w:gridCol w:w="1710"/>
        <w:gridCol w:w="1620"/>
        <w:gridCol w:w="1710"/>
        <w:gridCol w:w="2070"/>
      </w:tblGrid>
      <w:tr w:rsidR="00AC1FAA" w:rsidRPr="00901194" w14:paraId="6D12ADC2" w14:textId="77777777" w:rsidTr="00AC1FAA">
        <w:trPr>
          <w:trHeight w:val="548"/>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5C6D2" w14:textId="77777777" w:rsidR="00AC1FAA" w:rsidRPr="00901194" w:rsidRDefault="00AC1FA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Compound Name</w:t>
            </w:r>
          </w:p>
        </w:tc>
        <w:tc>
          <w:tcPr>
            <w:tcW w:w="890" w:type="dxa"/>
            <w:tcBorders>
              <w:top w:val="single" w:sz="4" w:space="0" w:color="auto"/>
              <w:left w:val="nil"/>
              <w:bottom w:val="single" w:sz="4" w:space="0" w:color="auto"/>
              <w:right w:val="single" w:sz="4" w:space="0" w:color="auto"/>
            </w:tcBorders>
            <w:shd w:val="clear" w:color="auto" w:fill="auto"/>
            <w:vAlign w:val="center"/>
            <w:hideMark/>
          </w:tcPr>
          <w:p w14:paraId="7EA9490B" w14:textId="77777777" w:rsidR="00AC1FAA" w:rsidRPr="00901194" w:rsidRDefault="00AC1FAA" w:rsidP="00A3769A">
            <w:pPr>
              <w:spacing w:after="0" w:line="240" w:lineRule="auto"/>
              <w:jc w:val="center"/>
              <w:rPr>
                <w:rFonts w:eastAsia="Times New Roman" w:cs="Times New Roman"/>
                <w:b/>
                <w:bCs/>
                <w:i/>
                <w:iCs/>
                <w:color w:val="000000"/>
              </w:rPr>
            </w:pPr>
            <w:r w:rsidRPr="00901194">
              <w:rPr>
                <w:rFonts w:eastAsia="Times New Roman" w:cs="Times New Roman"/>
                <w:b/>
                <w:bCs/>
                <w:i/>
                <w:iCs/>
                <w:color w:val="000000"/>
              </w:rPr>
              <w:t>m/z</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3F641445" w14:textId="77777777" w:rsidR="00AC1FAA" w:rsidRPr="00901194" w:rsidRDefault="00AC1FA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RT (min)</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14:paraId="7D6A7CD8" w14:textId="77777777" w:rsidR="00AC1FAA" w:rsidRPr="00901194" w:rsidRDefault="00AC1FA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MASST Results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9446C3E" w14:textId="77777777" w:rsidR="00AC1FAA" w:rsidRPr="00901194" w:rsidRDefault="00AC1FA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Common MASST Bacterial matches</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0F97771" w14:textId="77777777" w:rsidR="00AC1FAA" w:rsidRPr="00901194" w:rsidRDefault="00AC1FA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Common MASST dataset matches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D67F9B4" w14:textId="77777777" w:rsidR="00AC1FAA" w:rsidRPr="00901194" w:rsidRDefault="00AC1FA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MASST Link</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68E32516" w14:textId="77777777" w:rsidR="00AC1FAA" w:rsidRPr="00901194" w:rsidRDefault="00AC1FAA" w:rsidP="00A3769A">
            <w:pPr>
              <w:spacing w:after="0" w:line="240" w:lineRule="auto"/>
              <w:jc w:val="center"/>
              <w:rPr>
                <w:rFonts w:eastAsia="Times New Roman" w:cs="Times New Roman"/>
                <w:b/>
                <w:bCs/>
                <w:color w:val="000000"/>
              </w:rPr>
            </w:pPr>
            <w:r w:rsidRPr="00901194">
              <w:rPr>
                <w:rFonts w:eastAsia="Times New Roman" w:cs="Times New Roman"/>
                <w:b/>
                <w:bCs/>
                <w:color w:val="000000"/>
              </w:rPr>
              <w:t>Present in ReDU All Human Fecal Sample Search</w:t>
            </w:r>
          </w:p>
        </w:tc>
      </w:tr>
      <w:tr w:rsidR="00AC1FAA" w:rsidRPr="00901194" w14:paraId="4B0365FA" w14:textId="77777777" w:rsidTr="00AC1FAA">
        <w:trPr>
          <w:trHeight w:val="188"/>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00A0D37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Hypoxanthine</w:t>
            </w:r>
          </w:p>
        </w:tc>
        <w:tc>
          <w:tcPr>
            <w:tcW w:w="890" w:type="dxa"/>
            <w:tcBorders>
              <w:top w:val="nil"/>
              <w:left w:val="nil"/>
              <w:bottom w:val="single" w:sz="4" w:space="0" w:color="auto"/>
              <w:right w:val="single" w:sz="4" w:space="0" w:color="auto"/>
            </w:tcBorders>
            <w:shd w:val="clear" w:color="auto" w:fill="auto"/>
            <w:vAlign w:val="center"/>
            <w:hideMark/>
          </w:tcPr>
          <w:p w14:paraId="34DDCDA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137.046</w:t>
            </w:r>
          </w:p>
        </w:tc>
        <w:tc>
          <w:tcPr>
            <w:tcW w:w="910" w:type="dxa"/>
            <w:tcBorders>
              <w:top w:val="nil"/>
              <w:left w:val="nil"/>
              <w:bottom w:val="single" w:sz="4" w:space="0" w:color="auto"/>
              <w:right w:val="single" w:sz="4" w:space="0" w:color="auto"/>
            </w:tcBorders>
            <w:shd w:val="clear" w:color="auto" w:fill="auto"/>
            <w:vAlign w:val="center"/>
            <w:hideMark/>
          </w:tcPr>
          <w:p w14:paraId="3C2773C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0.39</w:t>
            </w:r>
          </w:p>
        </w:tc>
        <w:tc>
          <w:tcPr>
            <w:tcW w:w="1250" w:type="dxa"/>
            <w:tcBorders>
              <w:top w:val="nil"/>
              <w:left w:val="nil"/>
              <w:bottom w:val="single" w:sz="4" w:space="0" w:color="auto"/>
              <w:right w:val="single" w:sz="4" w:space="0" w:color="auto"/>
            </w:tcBorders>
            <w:shd w:val="clear" w:color="auto" w:fill="auto"/>
            <w:vAlign w:val="center"/>
            <w:hideMark/>
          </w:tcPr>
          <w:p w14:paraId="5092A00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 dataset matches</w:t>
            </w:r>
            <w:r w:rsidRPr="00901194">
              <w:rPr>
                <w:rFonts w:eastAsia="Times New Roman" w:cs="Times New Roman"/>
                <w:color w:val="000000"/>
              </w:rPr>
              <w:t>; 1 human, 4 mouse</w:t>
            </w:r>
          </w:p>
        </w:tc>
        <w:tc>
          <w:tcPr>
            <w:tcW w:w="1710" w:type="dxa"/>
            <w:tcBorders>
              <w:top w:val="nil"/>
              <w:left w:val="nil"/>
              <w:bottom w:val="single" w:sz="4" w:space="0" w:color="auto"/>
              <w:right w:val="single" w:sz="4" w:space="0" w:color="auto"/>
            </w:tcBorders>
            <w:shd w:val="clear" w:color="auto" w:fill="auto"/>
            <w:vAlign w:val="center"/>
            <w:hideMark/>
          </w:tcPr>
          <w:p w14:paraId="241139C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43E1707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3AA4466B" w14:textId="77777777" w:rsidR="00AC1FAA" w:rsidRPr="00901194" w:rsidRDefault="00000000" w:rsidP="00A3769A">
            <w:pPr>
              <w:spacing w:after="0" w:line="240" w:lineRule="auto"/>
              <w:jc w:val="center"/>
              <w:rPr>
                <w:rFonts w:eastAsia="Times New Roman" w:cs="Times New Roman"/>
                <w:color w:val="0563C1"/>
                <w:u w:val="single"/>
              </w:rPr>
            </w:pPr>
            <w:hyperlink r:id="rId170" w:history="1">
              <w:r w:rsidR="00AC1FAA" w:rsidRPr="00901194">
                <w:rPr>
                  <w:rFonts w:eastAsia="Times New Roman" w:cs="Times New Roman"/>
                  <w:color w:val="0563C1"/>
                  <w:u w:val="single"/>
                </w:rPr>
                <w:t>https://gnps.ucsd.edu/ProteoSAFe/status.jsp?task=4a2ea5870d2e4622a5b90e4edfca3f17</w:t>
              </w:r>
            </w:hyperlink>
          </w:p>
        </w:tc>
        <w:tc>
          <w:tcPr>
            <w:tcW w:w="2070" w:type="dxa"/>
            <w:tcBorders>
              <w:top w:val="nil"/>
              <w:left w:val="nil"/>
              <w:bottom w:val="single" w:sz="4" w:space="0" w:color="auto"/>
              <w:right w:val="single" w:sz="4" w:space="0" w:color="auto"/>
            </w:tcBorders>
            <w:shd w:val="clear" w:color="auto" w:fill="auto"/>
            <w:vAlign w:val="center"/>
            <w:hideMark/>
          </w:tcPr>
          <w:p w14:paraId="4B2E51C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4BC5FAB2"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C6C143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Nicotinamide N-oxide</w:t>
            </w:r>
          </w:p>
        </w:tc>
        <w:tc>
          <w:tcPr>
            <w:tcW w:w="890" w:type="dxa"/>
            <w:tcBorders>
              <w:top w:val="nil"/>
              <w:left w:val="nil"/>
              <w:bottom w:val="single" w:sz="4" w:space="0" w:color="auto"/>
              <w:right w:val="single" w:sz="4" w:space="0" w:color="auto"/>
            </w:tcBorders>
            <w:shd w:val="clear" w:color="auto" w:fill="auto"/>
            <w:vAlign w:val="center"/>
            <w:hideMark/>
          </w:tcPr>
          <w:p w14:paraId="395161F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139.05</w:t>
            </w:r>
          </w:p>
        </w:tc>
        <w:tc>
          <w:tcPr>
            <w:tcW w:w="910" w:type="dxa"/>
            <w:tcBorders>
              <w:top w:val="nil"/>
              <w:left w:val="nil"/>
              <w:bottom w:val="single" w:sz="4" w:space="0" w:color="auto"/>
              <w:right w:val="single" w:sz="4" w:space="0" w:color="auto"/>
            </w:tcBorders>
            <w:shd w:val="clear" w:color="auto" w:fill="auto"/>
            <w:vAlign w:val="center"/>
            <w:hideMark/>
          </w:tcPr>
          <w:p w14:paraId="0229347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0.31</w:t>
            </w:r>
          </w:p>
        </w:tc>
        <w:tc>
          <w:tcPr>
            <w:tcW w:w="1250" w:type="dxa"/>
            <w:tcBorders>
              <w:top w:val="nil"/>
              <w:left w:val="nil"/>
              <w:bottom w:val="single" w:sz="4" w:space="0" w:color="auto"/>
              <w:right w:val="single" w:sz="4" w:space="0" w:color="auto"/>
            </w:tcBorders>
            <w:shd w:val="clear" w:color="auto" w:fill="auto"/>
            <w:vAlign w:val="center"/>
            <w:hideMark/>
          </w:tcPr>
          <w:p w14:paraId="01CDFE3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 dataset matches</w:t>
            </w:r>
            <w:r w:rsidRPr="00901194">
              <w:rPr>
                <w:rFonts w:eastAsia="Times New Roman" w:cs="Times New Roman"/>
                <w:color w:val="000000"/>
              </w:rPr>
              <w:t>; 1 human, 4 mouse</w:t>
            </w:r>
          </w:p>
        </w:tc>
        <w:tc>
          <w:tcPr>
            <w:tcW w:w="1710" w:type="dxa"/>
            <w:tcBorders>
              <w:top w:val="nil"/>
              <w:left w:val="nil"/>
              <w:bottom w:val="single" w:sz="4" w:space="0" w:color="auto"/>
              <w:right w:val="single" w:sz="4" w:space="0" w:color="auto"/>
            </w:tcBorders>
            <w:shd w:val="clear" w:color="auto" w:fill="auto"/>
            <w:vAlign w:val="center"/>
            <w:hideMark/>
          </w:tcPr>
          <w:p w14:paraId="569D4C2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6B80824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3C11F259" w14:textId="77777777" w:rsidR="00AC1FAA" w:rsidRPr="00901194" w:rsidRDefault="00000000" w:rsidP="00A3769A">
            <w:pPr>
              <w:spacing w:after="0" w:line="240" w:lineRule="auto"/>
              <w:jc w:val="center"/>
              <w:rPr>
                <w:rFonts w:eastAsia="Times New Roman" w:cs="Times New Roman"/>
                <w:color w:val="0563C1"/>
                <w:u w:val="single"/>
              </w:rPr>
            </w:pPr>
            <w:hyperlink r:id="rId171" w:history="1">
              <w:r w:rsidR="00AC1FAA" w:rsidRPr="00901194">
                <w:rPr>
                  <w:rFonts w:eastAsia="Times New Roman" w:cs="Times New Roman"/>
                  <w:color w:val="0563C1"/>
                  <w:u w:val="single"/>
                </w:rPr>
                <w:t>https://gnps.ucsd.edu/ProteoSAFe/status.jsp?task=6cd1ad150059472e84f3f95842588083</w:t>
              </w:r>
            </w:hyperlink>
          </w:p>
        </w:tc>
        <w:tc>
          <w:tcPr>
            <w:tcW w:w="2070" w:type="dxa"/>
            <w:tcBorders>
              <w:top w:val="nil"/>
              <w:left w:val="nil"/>
              <w:bottom w:val="single" w:sz="4" w:space="0" w:color="auto"/>
              <w:right w:val="single" w:sz="4" w:space="0" w:color="auto"/>
            </w:tcBorders>
            <w:shd w:val="clear" w:color="auto" w:fill="auto"/>
            <w:vAlign w:val="center"/>
            <w:hideMark/>
          </w:tcPr>
          <w:p w14:paraId="178B083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3F6D5F82"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052F4FA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3-methyl-2-oxindole (3-Methyloxindole)</w:t>
            </w:r>
          </w:p>
        </w:tc>
        <w:tc>
          <w:tcPr>
            <w:tcW w:w="890" w:type="dxa"/>
            <w:tcBorders>
              <w:top w:val="nil"/>
              <w:left w:val="nil"/>
              <w:bottom w:val="single" w:sz="4" w:space="0" w:color="auto"/>
              <w:right w:val="single" w:sz="4" w:space="0" w:color="auto"/>
            </w:tcBorders>
            <w:shd w:val="clear" w:color="auto" w:fill="auto"/>
            <w:vAlign w:val="center"/>
            <w:hideMark/>
          </w:tcPr>
          <w:p w14:paraId="030FEDC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148.076</w:t>
            </w:r>
          </w:p>
        </w:tc>
        <w:tc>
          <w:tcPr>
            <w:tcW w:w="910" w:type="dxa"/>
            <w:tcBorders>
              <w:top w:val="nil"/>
              <w:left w:val="nil"/>
              <w:bottom w:val="single" w:sz="4" w:space="0" w:color="auto"/>
              <w:right w:val="single" w:sz="4" w:space="0" w:color="auto"/>
            </w:tcBorders>
            <w:shd w:val="clear" w:color="auto" w:fill="auto"/>
            <w:vAlign w:val="center"/>
            <w:hideMark/>
          </w:tcPr>
          <w:p w14:paraId="1522781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3.22</w:t>
            </w:r>
          </w:p>
        </w:tc>
        <w:tc>
          <w:tcPr>
            <w:tcW w:w="1250" w:type="dxa"/>
            <w:tcBorders>
              <w:top w:val="nil"/>
              <w:left w:val="nil"/>
              <w:bottom w:val="single" w:sz="4" w:space="0" w:color="auto"/>
              <w:right w:val="single" w:sz="4" w:space="0" w:color="auto"/>
            </w:tcBorders>
            <w:shd w:val="clear" w:color="auto" w:fill="auto"/>
            <w:vAlign w:val="center"/>
            <w:hideMark/>
          </w:tcPr>
          <w:p w14:paraId="6664C63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No results</w:t>
            </w:r>
          </w:p>
        </w:tc>
        <w:tc>
          <w:tcPr>
            <w:tcW w:w="1710" w:type="dxa"/>
            <w:tcBorders>
              <w:top w:val="nil"/>
              <w:left w:val="nil"/>
              <w:bottom w:val="single" w:sz="4" w:space="0" w:color="auto"/>
              <w:right w:val="single" w:sz="4" w:space="0" w:color="auto"/>
            </w:tcBorders>
            <w:shd w:val="clear" w:color="auto" w:fill="auto"/>
            <w:vAlign w:val="center"/>
            <w:hideMark/>
          </w:tcPr>
          <w:p w14:paraId="4314487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7C2D41C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6F40E70C" w14:textId="77777777" w:rsidR="00AC1FAA" w:rsidRPr="00901194" w:rsidRDefault="00000000" w:rsidP="00A3769A">
            <w:pPr>
              <w:spacing w:after="0" w:line="240" w:lineRule="auto"/>
              <w:jc w:val="center"/>
              <w:rPr>
                <w:rFonts w:eastAsia="Times New Roman" w:cs="Times New Roman"/>
                <w:color w:val="0563C1"/>
                <w:u w:val="single"/>
              </w:rPr>
            </w:pPr>
            <w:hyperlink r:id="rId172" w:history="1">
              <w:r w:rsidR="00AC1FAA" w:rsidRPr="00901194">
                <w:rPr>
                  <w:rFonts w:eastAsia="Times New Roman" w:cs="Times New Roman"/>
                  <w:color w:val="0563C1"/>
                  <w:u w:val="single"/>
                </w:rPr>
                <w:t>https://gnps.ucsd.edu/ProteoSAFe/status.jsp?task=1</w:t>
              </w:r>
              <w:r w:rsidR="00AC1FAA" w:rsidRPr="00901194">
                <w:rPr>
                  <w:rFonts w:eastAsia="Times New Roman" w:cs="Times New Roman"/>
                  <w:color w:val="0563C1"/>
                  <w:u w:val="single"/>
                </w:rPr>
                <w:lastRenderedPageBreak/>
                <w:t>8ca57b672484cb2b4d89b5235afc96d</w:t>
              </w:r>
            </w:hyperlink>
          </w:p>
        </w:tc>
        <w:tc>
          <w:tcPr>
            <w:tcW w:w="2070" w:type="dxa"/>
            <w:tcBorders>
              <w:top w:val="nil"/>
              <w:left w:val="nil"/>
              <w:bottom w:val="single" w:sz="4" w:space="0" w:color="auto"/>
              <w:right w:val="single" w:sz="4" w:space="0" w:color="auto"/>
            </w:tcBorders>
            <w:shd w:val="clear" w:color="auto" w:fill="auto"/>
            <w:vAlign w:val="center"/>
            <w:hideMark/>
          </w:tcPr>
          <w:p w14:paraId="27ECB87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Present</w:t>
            </w:r>
          </w:p>
        </w:tc>
      </w:tr>
      <w:tr w:rsidR="00AC1FAA" w:rsidRPr="00901194" w14:paraId="4B406BD9" w14:textId="77777777" w:rsidTr="00AC1FAA">
        <w:trPr>
          <w:trHeight w:val="17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1F5D37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Hyocholic acid</w:t>
            </w:r>
          </w:p>
        </w:tc>
        <w:tc>
          <w:tcPr>
            <w:tcW w:w="890" w:type="dxa"/>
            <w:tcBorders>
              <w:top w:val="nil"/>
              <w:left w:val="nil"/>
              <w:bottom w:val="single" w:sz="4" w:space="0" w:color="auto"/>
              <w:right w:val="single" w:sz="4" w:space="0" w:color="auto"/>
            </w:tcBorders>
            <w:shd w:val="clear" w:color="auto" w:fill="auto"/>
            <w:vAlign w:val="center"/>
            <w:hideMark/>
          </w:tcPr>
          <w:p w14:paraId="2EBF7DB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158.154</w:t>
            </w:r>
          </w:p>
        </w:tc>
        <w:tc>
          <w:tcPr>
            <w:tcW w:w="910" w:type="dxa"/>
            <w:tcBorders>
              <w:top w:val="nil"/>
              <w:left w:val="nil"/>
              <w:bottom w:val="single" w:sz="4" w:space="0" w:color="auto"/>
              <w:right w:val="single" w:sz="4" w:space="0" w:color="auto"/>
            </w:tcBorders>
            <w:shd w:val="clear" w:color="auto" w:fill="auto"/>
            <w:vAlign w:val="center"/>
            <w:hideMark/>
          </w:tcPr>
          <w:p w14:paraId="034783E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4.78</w:t>
            </w:r>
          </w:p>
        </w:tc>
        <w:tc>
          <w:tcPr>
            <w:tcW w:w="1250" w:type="dxa"/>
            <w:tcBorders>
              <w:top w:val="nil"/>
              <w:left w:val="nil"/>
              <w:bottom w:val="single" w:sz="4" w:space="0" w:color="auto"/>
              <w:right w:val="single" w:sz="4" w:space="0" w:color="auto"/>
            </w:tcBorders>
            <w:shd w:val="clear" w:color="auto" w:fill="auto"/>
            <w:vAlign w:val="center"/>
            <w:hideMark/>
          </w:tcPr>
          <w:p w14:paraId="699B9F9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12 dataset matches</w:t>
            </w:r>
            <w:r w:rsidRPr="00901194">
              <w:rPr>
                <w:rFonts w:eastAsia="Times New Roman" w:cs="Times New Roman"/>
                <w:color w:val="000000"/>
              </w:rPr>
              <w:t>; 1 human, 1 mouse, 3 environmental samples</w:t>
            </w:r>
          </w:p>
        </w:tc>
        <w:tc>
          <w:tcPr>
            <w:tcW w:w="1710" w:type="dxa"/>
            <w:tcBorders>
              <w:top w:val="nil"/>
              <w:left w:val="nil"/>
              <w:bottom w:val="single" w:sz="4" w:space="0" w:color="auto"/>
              <w:right w:val="single" w:sz="4" w:space="0" w:color="auto"/>
            </w:tcBorders>
            <w:shd w:val="clear" w:color="auto" w:fill="auto"/>
            <w:vAlign w:val="center"/>
            <w:hideMark/>
          </w:tcPr>
          <w:p w14:paraId="12453A13"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Streptomyces albus, Bacillus subtilis, E. coli, Bacteroides, Eubacterium, Akkermansia</w:t>
            </w:r>
          </w:p>
        </w:tc>
        <w:tc>
          <w:tcPr>
            <w:tcW w:w="1620" w:type="dxa"/>
            <w:tcBorders>
              <w:top w:val="nil"/>
              <w:left w:val="nil"/>
              <w:bottom w:val="single" w:sz="4" w:space="0" w:color="auto"/>
              <w:right w:val="single" w:sz="4" w:space="0" w:color="auto"/>
            </w:tcBorders>
            <w:shd w:val="clear" w:color="auto" w:fill="auto"/>
            <w:vAlign w:val="center"/>
            <w:hideMark/>
          </w:tcPr>
          <w:p w14:paraId="04D19E7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w:t>
            </w:r>
          </w:p>
        </w:tc>
        <w:tc>
          <w:tcPr>
            <w:tcW w:w="1710" w:type="dxa"/>
            <w:tcBorders>
              <w:top w:val="nil"/>
              <w:left w:val="nil"/>
              <w:bottom w:val="single" w:sz="4" w:space="0" w:color="auto"/>
              <w:right w:val="single" w:sz="4" w:space="0" w:color="auto"/>
            </w:tcBorders>
            <w:shd w:val="clear" w:color="auto" w:fill="auto"/>
            <w:vAlign w:val="center"/>
            <w:hideMark/>
          </w:tcPr>
          <w:p w14:paraId="78B8A0C7" w14:textId="77777777" w:rsidR="00AC1FAA" w:rsidRPr="00901194" w:rsidRDefault="00000000" w:rsidP="00A3769A">
            <w:pPr>
              <w:spacing w:after="0" w:line="240" w:lineRule="auto"/>
              <w:jc w:val="center"/>
              <w:rPr>
                <w:rFonts w:eastAsia="Times New Roman" w:cs="Times New Roman"/>
                <w:color w:val="0563C1"/>
                <w:u w:val="single"/>
              </w:rPr>
            </w:pPr>
            <w:hyperlink r:id="rId173" w:history="1">
              <w:r w:rsidR="00AC1FAA" w:rsidRPr="00901194">
                <w:rPr>
                  <w:rFonts w:eastAsia="Times New Roman" w:cs="Times New Roman"/>
                  <w:color w:val="0563C1"/>
                  <w:u w:val="single"/>
                </w:rPr>
                <w:t>https://gnps.ucsd.edu/ProteoSAFe/status.jsp?task=b93deedfe65c46de8b656c93f0e7f50d</w:t>
              </w:r>
            </w:hyperlink>
          </w:p>
        </w:tc>
        <w:tc>
          <w:tcPr>
            <w:tcW w:w="2070" w:type="dxa"/>
            <w:tcBorders>
              <w:top w:val="nil"/>
              <w:left w:val="nil"/>
              <w:bottom w:val="single" w:sz="4" w:space="0" w:color="auto"/>
              <w:right w:val="single" w:sz="4" w:space="0" w:color="auto"/>
            </w:tcBorders>
            <w:shd w:val="clear" w:color="auto" w:fill="auto"/>
            <w:vAlign w:val="center"/>
            <w:hideMark/>
          </w:tcPr>
          <w:p w14:paraId="5DFCEDE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40FE4DDC" w14:textId="77777777" w:rsidTr="00AC1FAA">
        <w:trPr>
          <w:trHeight w:val="197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01763A0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Gly-Val (Glycylvaline)</w:t>
            </w:r>
          </w:p>
        </w:tc>
        <w:tc>
          <w:tcPr>
            <w:tcW w:w="890" w:type="dxa"/>
            <w:tcBorders>
              <w:top w:val="nil"/>
              <w:left w:val="nil"/>
              <w:bottom w:val="single" w:sz="4" w:space="0" w:color="auto"/>
              <w:right w:val="single" w:sz="4" w:space="0" w:color="auto"/>
            </w:tcBorders>
            <w:shd w:val="clear" w:color="auto" w:fill="auto"/>
            <w:vAlign w:val="center"/>
            <w:hideMark/>
          </w:tcPr>
          <w:p w14:paraId="2F9BE77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175.107</w:t>
            </w:r>
          </w:p>
        </w:tc>
        <w:tc>
          <w:tcPr>
            <w:tcW w:w="910" w:type="dxa"/>
            <w:tcBorders>
              <w:top w:val="nil"/>
              <w:left w:val="nil"/>
              <w:bottom w:val="single" w:sz="4" w:space="0" w:color="auto"/>
              <w:right w:val="single" w:sz="4" w:space="0" w:color="auto"/>
            </w:tcBorders>
            <w:shd w:val="clear" w:color="auto" w:fill="auto"/>
            <w:vAlign w:val="center"/>
            <w:hideMark/>
          </w:tcPr>
          <w:p w14:paraId="0B0CB04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0.36</w:t>
            </w:r>
          </w:p>
        </w:tc>
        <w:tc>
          <w:tcPr>
            <w:tcW w:w="1250" w:type="dxa"/>
            <w:tcBorders>
              <w:top w:val="nil"/>
              <w:left w:val="nil"/>
              <w:bottom w:val="single" w:sz="4" w:space="0" w:color="auto"/>
              <w:right w:val="single" w:sz="4" w:space="0" w:color="auto"/>
            </w:tcBorders>
            <w:shd w:val="clear" w:color="auto" w:fill="auto"/>
            <w:vAlign w:val="center"/>
            <w:hideMark/>
          </w:tcPr>
          <w:p w14:paraId="00D3818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7 dataset matches</w:t>
            </w:r>
            <w:r w:rsidRPr="00901194">
              <w:rPr>
                <w:rFonts w:eastAsia="Times New Roman" w:cs="Times New Roman"/>
                <w:color w:val="000000"/>
              </w:rPr>
              <w:t>; 1 human, 1 environmental sample</w:t>
            </w:r>
          </w:p>
        </w:tc>
        <w:tc>
          <w:tcPr>
            <w:tcW w:w="1710" w:type="dxa"/>
            <w:tcBorders>
              <w:top w:val="nil"/>
              <w:left w:val="nil"/>
              <w:bottom w:val="single" w:sz="4" w:space="0" w:color="auto"/>
              <w:right w:val="single" w:sz="4" w:space="0" w:color="auto"/>
            </w:tcBorders>
            <w:shd w:val="clear" w:color="auto" w:fill="auto"/>
            <w:vAlign w:val="center"/>
            <w:hideMark/>
          </w:tcPr>
          <w:p w14:paraId="4D1CDF30"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Streptomyces, Staphylococcus aureus</w:t>
            </w:r>
          </w:p>
        </w:tc>
        <w:tc>
          <w:tcPr>
            <w:tcW w:w="1620" w:type="dxa"/>
            <w:tcBorders>
              <w:top w:val="nil"/>
              <w:left w:val="nil"/>
              <w:bottom w:val="single" w:sz="4" w:space="0" w:color="auto"/>
              <w:right w:val="single" w:sz="4" w:space="0" w:color="auto"/>
            </w:tcBorders>
            <w:shd w:val="clear" w:color="auto" w:fill="auto"/>
            <w:vAlign w:val="center"/>
            <w:hideMark/>
          </w:tcPr>
          <w:p w14:paraId="67AB0D0A" w14:textId="7E6C382A"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Zoo mammal fecal metabolomes</w:t>
            </w:r>
            <w:r w:rsidR="00CC184B" w:rsidRPr="00901194">
              <w:rPr>
                <w:rFonts w:eastAsia="Times New Roman" w:cs="Times New Roman"/>
                <w:color w:val="000000"/>
              </w:rPr>
              <w:fldChar w:fldCharType="begin" w:fldLock="1"/>
            </w:r>
            <w:r w:rsidR="00640FBE"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CC184B" w:rsidRPr="00901194">
              <w:rPr>
                <w:rFonts w:eastAsia="Times New Roman" w:cs="Times New Roman"/>
                <w:color w:val="000000"/>
              </w:rPr>
              <w:fldChar w:fldCharType="separate"/>
            </w:r>
            <w:r w:rsidR="00CC184B" w:rsidRPr="00901194">
              <w:rPr>
                <w:rFonts w:eastAsia="Times New Roman" w:cs="Times New Roman"/>
                <w:noProof/>
                <w:color w:val="000000"/>
                <w:vertAlign w:val="superscript"/>
              </w:rPr>
              <w:t>231</w:t>
            </w:r>
            <w:r w:rsidR="00CC184B"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2820291A" w14:textId="77777777" w:rsidR="00AC1FAA" w:rsidRPr="00901194" w:rsidRDefault="00000000" w:rsidP="00A3769A">
            <w:pPr>
              <w:spacing w:after="0" w:line="240" w:lineRule="auto"/>
              <w:jc w:val="center"/>
              <w:rPr>
                <w:rFonts w:eastAsia="Times New Roman" w:cs="Times New Roman"/>
                <w:color w:val="0563C1"/>
                <w:u w:val="single"/>
              </w:rPr>
            </w:pPr>
            <w:hyperlink r:id="rId174" w:history="1">
              <w:r w:rsidR="00AC1FAA" w:rsidRPr="00901194">
                <w:rPr>
                  <w:rFonts w:eastAsia="Times New Roman" w:cs="Times New Roman"/>
                  <w:color w:val="0563C1"/>
                  <w:u w:val="single"/>
                </w:rPr>
                <w:t>https://gnps.ucsd.edu/ProteoSAFe/status.jsp?task=1ce565d3cbe842b1a3f3b82de47606a7</w:t>
              </w:r>
            </w:hyperlink>
          </w:p>
        </w:tc>
        <w:tc>
          <w:tcPr>
            <w:tcW w:w="2070" w:type="dxa"/>
            <w:tcBorders>
              <w:top w:val="nil"/>
              <w:left w:val="nil"/>
              <w:bottom w:val="single" w:sz="4" w:space="0" w:color="auto"/>
              <w:right w:val="single" w:sz="4" w:space="0" w:color="auto"/>
            </w:tcBorders>
            <w:shd w:val="clear" w:color="auto" w:fill="auto"/>
            <w:vAlign w:val="center"/>
            <w:hideMark/>
          </w:tcPr>
          <w:p w14:paraId="74D5969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1EC500AB" w14:textId="77777777" w:rsidTr="00AC1FAA">
        <w:trPr>
          <w:trHeight w:val="143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76FDBD4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3-Hydroxy-4-methoxycinnamic acid (Isoferulic acid)</w:t>
            </w:r>
          </w:p>
        </w:tc>
        <w:tc>
          <w:tcPr>
            <w:tcW w:w="890" w:type="dxa"/>
            <w:tcBorders>
              <w:top w:val="nil"/>
              <w:left w:val="nil"/>
              <w:bottom w:val="single" w:sz="4" w:space="0" w:color="auto"/>
              <w:right w:val="single" w:sz="4" w:space="0" w:color="auto"/>
            </w:tcBorders>
            <w:shd w:val="clear" w:color="auto" w:fill="auto"/>
            <w:vAlign w:val="center"/>
            <w:hideMark/>
          </w:tcPr>
          <w:p w14:paraId="7F5303C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177.055</w:t>
            </w:r>
          </w:p>
        </w:tc>
        <w:tc>
          <w:tcPr>
            <w:tcW w:w="910" w:type="dxa"/>
            <w:tcBorders>
              <w:top w:val="nil"/>
              <w:left w:val="nil"/>
              <w:bottom w:val="single" w:sz="4" w:space="0" w:color="auto"/>
              <w:right w:val="single" w:sz="4" w:space="0" w:color="auto"/>
            </w:tcBorders>
            <w:shd w:val="clear" w:color="auto" w:fill="auto"/>
            <w:vAlign w:val="center"/>
            <w:hideMark/>
          </w:tcPr>
          <w:p w14:paraId="2EC542D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4.13</w:t>
            </w:r>
          </w:p>
        </w:tc>
        <w:tc>
          <w:tcPr>
            <w:tcW w:w="1250" w:type="dxa"/>
            <w:tcBorders>
              <w:top w:val="nil"/>
              <w:left w:val="nil"/>
              <w:bottom w:val="single" w:sz="4" w:space="0" w:color="auto"/>
              <w:right w:val="single" w:sz="4" w:space="0" w:color="auto"/>
            </w:tcBorders>
            <w:shd w:val="clear" w:color="auto" w:fill="auto"/>
            <w:vAlign w:val="center"/>
            <w:hideMark/>
          </w:tcPr>
          <w:p w14:paraId="60A0E4B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18 dataset matches</w:t>
            </w:r>
            <w:r w:rsidRPr="00901194">
              <w:rPr>
                <w:rFonts w:eastAsia="Times New Roman" w:cs="Times New Roman"/>
                <w:color w:val="000000"/>
              </w:rPr>
              <w:t>; 1 human, 5 mouse, 1 environmental sample, 4 plant (sweet orange, tomato), 1 mushroom dataset</w:t>
            </w:r>
          </w:p>
        </w:tc>
        <w:tc>
          <w:tcPr>
            <w:tcW w:w="1710" w:type="dxa"/>
            <w:tcBorders>
              <w:top w:val="nil"/>
              <w:left w:val="nil"/>
              <w:bottom w:val="single" w:sz="4" w:space="0" w:color="auto"/>
              <w:right w:val="single" w:sz="4" w:space="0" w:color="auto"/>
            </w:tcBorders>
            <w:shd w:val="clear" w:color="auto" w:fill="auto"/>
            <w:vAlign w:val="center"/>
            <w:hideMark/>
          </w:tcPr>
          <w:p w14:paraId="1773922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"Bacteria"</w:t>
            </w:r>
          </w:p>
        </w:tc>
        <w:tc>
          <w:tcPr>
            <w:tcW w:w="1620" w:type="dxa"/>
            <w:tcBorders>
              <w:top w:val="nil"/>
              <w:left w:val="nil"/>
              <w:bottom w:val="single" w:sz="4" w:space="0" w:color="auto"/>
              <w:right w:val="single" w:sz="4" w:space="0" w:color="auto"/>
            </w:tcBorders>
            <w:shd w:val="clear" w:color="auto" w:fill="auto"/>
            <w:vAlign w:val="center"/>
            <w:hideMark/>
          </w:tcPr>
          <w:p w14:paraId="47B9DEA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Human-associated bacteria cultured with bile acids, Nobel twin study</w:t>
            </w:r>
          </w:p>
        </w:tc>
        <w:tc>
          <w:tcPr>
            <w:tcW w:w="1710" w:type="dxa"/>
            <w:tcBorders>
              <w:top w:val="nil"/>
              <w:left w:val="nil"/>
              <w:bottom w:val="single" w:sz="4" w:space="0" w:color="auto"/>
              <w:right w:val="single" w:sz="4" w:space="0" w:color="auto"/>
            </w:tcBorders>
            <w:shd w:val="clear" w:color="auto" w:fill="auto"/>
            <w:vAlign w:val="center"/>
            <w:hideMark/>
          </w:tcPr>
          <w:p w14:paraId="40A0286D" w14:textId="77777777" w:rsidR="00AC1FAA" w:rsidRPr="00901194" w:rsidRDefault="00000000" w:rsidP="00A3769A">
            <w:pPr>
              <w:spacing w:after="0" w:line="240" w:lineRule="auto"/>
              <w:jc w:val="center"/>
              <w:rPr>
                <w:rFonts w:eastAsia="Times New Roman" w:cs="Times New Roman"/>
                <w:color w:val="0563C1"/>
                <w:u w:val="single"/>
              </w:rPr>
            </w:pPr>
            <w:hyperlink r:id="rId175" w:history="1">
              <w:r w:rsidR="00AC1FAA" w:rsidRPr="00901194">
                <w:rPr>
                  <w:rFonts w:eastAsia="Times New Roman" w:cs="Times New Roman"/>
                  <w:color w:val="0563C1"/>
                  <w:u w:val="single"/>
                </w:rPr>
                <w:t>https://gnps.ucsd.edu/ProteoSAFe/status.jsp?task=10153589289f45448d9db441d300369a</w:t>
              </w:r>
            </w:hyperlink>
          </w:p>
        </w:tc>
        <w:tc>
          <w:tcPr>
            <w:tcW w:w="2070" w:type="dxa"/>
            <w:tcBorders>
              <w:top w:val="nil"/>
              <w:left w:val="nil"/>
              <w:bottom w:val="single" w:sz="4" w:space="0" w:color="auto"/>
              <w:right w:val="single" w:sz="4" w:space="0" w:color="auto"/>
            </w:tcBorders>
            <w:shd w:val="clear" w:color="auto" w:fill="auto"/>
            <w:vAlign w:val="center"/>
            <w:hideMark/>
          </w:tcPr>
          <w:p w14:paraId="5B3BC36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7F1A277E" w14:textId="77777777" w:rsidTr="00AC1FAA">
        <w:trPr>
          <w:trHeight w:val="305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06B7725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2-Butanone, 4-(2,6,6-trimethyl-2-cyclohexen-1-yl)</w:t>
            </w:r>
          </w:p>
        </w:tc>
        <w:tc>
          <w:tcPr>
            <w:tcW w:w="890" w:type="dxa"/>
            <w:tcBorders>
              <w:top w:val="nil"/>
              <w:left w:val="nil"/>
              <w:bottom w:val="single" w:sz="4" w:space="0" w:color="auto"/>
              <w:right w:val="single" w:sz="4" w:space="0" w:color="auto"/>
            </w:tcBorders>
            <w:shd w:val="clear" w:color="auto" w:fill="auto"/>
            <w:vAlign w:val="center"/>
            <w:hideMark/>
          </w:tcPr>
          <w:p w14:paraId="46A9713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177.164</w:t>
            </w:r>
          </w:p>
        </w:tc>
        <w:tc>
          <w:tcPr>
            <w:tcW w:w="910" w:type="dxa"/>
            <w:tcBorders>
              <w:top w:val="nil"/>
              <w:left w:val="nil"/>
              <w:bottom w:val="single" w:sz="4" w:space="0" w:color="auto"/>
              <w:right w:val="single" w:sz="4" w:space="0" w:color="auto"/>
            </w:tcBorders>
            <w:shd w:val="clear" w:color="auto" w:fill="auto"/>
            <w:vAlign w:val="center"/>
            <w:hideMark/>
          </w:tcPr>
          <w:p w14:paraId="6D69BC2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3.15</w:t>
            </w:r>
          </w:p>
        </w:tc>
        <w:tc>
          <w:tcPr>
            <w:tcW w:w="1250" w:type="dxa"/>
            <w:tcBorders>
              <w:top w:val="nil"/>
              <w:left w:val="nil"/>
              <w:bottom w:val="single" w:sz="4" w:space="0" w:color="auto"/>
              <w:right w:val="single" w:sz="4" w:space="0" w:color="auto"/>
            </w:tcBorders>
            <w:shd w:val="clear" w:color="auto" w:fill="auto"/>
            <w:vAlign w:val="center"/>
            <w:hideMark/>
          </w:tcPr>
          <w:p w14:paraId="0C64D8B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39 dataset matches</w:t>
            </w:r>
            <w:r w:rsidRPr="00901194">
              <w:rPr>
                <w:rFonts w:eastAsia="Times New Roman" w:cs="Times New Roman"/>
                <w:color w:val="000000"/>
              </w:rPr>
              <w:t xml:space="preserve">; 6 human, 4 mouse, 5 rat, 4 environmental samples, 6 plant (rosemary, </w:t>
            </w:r>
            <w:r w:rsidRPr="00901194">
              <w:rPr>
                <w:rFonts w:eastAsia="Times New Roman" w:cs="Times New Roman"/>
                <w:i/>
                <w:iCs/>
                <w:color w:val="000000"/>
              </w:rPr>
              <w:t>Eudicotyledons</w:t>
            </w:r>
            <w:r w:rsidRPr="00901194">
              <w:rPr>
                <w:rFonts w:eastAsia="Times New Roman" w:cs="Times New Roman"/>
                <w:color w:val="000000"/>
              </w:rPr>
              <w:t>, thale cress, tomato)</w:t>
            </w:r>
          </w:p>
        </w:tc>
        <w:tc>
          <w:tcPr>
            <w:tcW w:w="1710" w:type="dxa"/>
            <w:tcBorders>
              <w:top w:val="nil"/>
              <w:left w:val="nil"/>
              <w:bottom w:val="single" w:sz="4" w:space="0" w:color="auto"/>
              <w:right w:val="single" w:sz="4" w:space="0" w:color="auto"/>
            </w:tcBorders>
            <w:shd w:val="clear" w:color="auto" w:fill="auto"/>
            <w:vAlign w:val="center"/>
            <w:hideMark/>
          </w:tcPr>
          <w:p w14:paraId="13DB0B0D"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Marinobacter, Amycolatopsis, Streptomyces</w:t>
            </w:r>
          </w:p>
        </w:tc>
        <w:tc>
          <w:tcPr>
            <w:tcW w:w="1620" w:type="dxa"/>
            <w:tcBorders>
              <w:top w:val="nil"/>
              <w:left w:val="nil"/>
              <w:bottom w:val="single" w:sz="4" w:space="0" w:color="auto"/>
              <w:right w:val="single" w:sz="4" w:space="0" w:color="auto"/>
            </w:tcBorders>
            <w:shd w:val="clear" w:color="auto" w:fill="auto"/>
            <w:vAlign w:val="center"/>
            <w:hideMark/>
          </w:tcPr>
          <w:p w14:paraId="55439D08" w14:textId="422A559F"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Burger ingredients common human diet, Amerindians urbanization gradient, zoo mammal fecal metabolomes</w:t>
            </w:r>
            <w:r w:rsidR="00640FBE" w:rsidRPr="00901194">
              <w:rPr>
                <w:rFonts w:eastAsia="Times New Roman" w:cs="Times New Roman"/>
                <w:color w:val="000000"/>
              </w:rPr>
              <w:fldChar w:fldCharType="begin" w:fldLock="1"/>
            </w:r>
            <w:r w:rsidR="00812D80"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640FBE" w:rsidRPr="00901194">
              <w:rPr>
                <w:rFonts w:eastAsia="Times New Roman" w:cs="Times New Roman"/>
                <w:color w:val="000000"/>
              </w:rPr>
              <w:fldChar w:fldCharType="separate"/>
            </w:r>
            <w:r w:rsidR="00640FBE" w:rsidRPr="00901194">
              <w:rPr>
                <w:rFonts w:eastAsia="Times New Roman" w:cs="Times New Roman"/>
                <w:noProof/>
                <w:color w:val="000000"/>
                <w:vertAlign w:val="superscript"/>
              </w:rPr>
              <w:t>231</w:t>
            </w:r>
            <w:r w:rsidR="00640FBE" w:rsidRPr="00901194">
              <w:rPr>
                <w:rFonts w:eastAsia="Times New Roman" w:cs="Times New Roman"/>
                <w:color w:val="000000"/>
              </w:rPr>
              <w:fldChar w:fldCharType="end"/>
            </w:r>
            <w:r w:rsidRPr="00901194">
              <w:rPr>
                <w:rFonts w:eastAsia="Times New Roman" w:cs="Times New Roman"/>
                <w:color w:val="000000"/>
              </w:rPr>
              <w:t>, anti-inflammatory diet in rheumatoid arthritis patients</w:t>
            </w:r>
          </w:p>
        </w:tc>
        <w:tc>
          <w:tcPr>
            <w:tcW w:w="1710" w:type="dxa"/>
            <w:tcBorders>
              <w:top w:val="nil"/>
              <w:left w:val="nil"/>
              <w:bottom w:val="single" w:sz="4" w:space="0" w:color="auto"/>
              <w:right w:val="single" w:sz="4" w:space="0" w:color="auto"/>
            </w:tcBorders>
            <w:shd w:val="clear" w:color="auto" w:fill="auto"/>
            <w:vAlign w:val="center"/>
            <w:hideMark/>
          </w:tcPr>
          <w:p w14:paraId="1DEC154C" w14:textId="77777777" w:rsidR="00AC1FAA" w:rsidRPr="00901194" w:rsidRDefault="00000000" w:rsidP="00A3769A">
            <w:pPr>
              <w:spacing w:after="0" w:line="240" w:lineRule="auto"/>
              <w:jc w:val="center"/>
              <w:rPr>
                <w:rFonts w:eastAsia="Times New Roman" w:cs="Times New Roman"/>
                <w:color w:val="0563C1"/>
                <w:u w:val="single"/>
              </w:rPr>
            </w:pPr>
            <w:hyperlink r:id="rId176" w:history="1">
              <w:r w:rsidR="00AC1FAA" w:rsidRPr="00901194">
                <w:rPr>
                  <w:rFonts w:eastAsia="Times New Roman" w:cs="Times New Roman"/>
                  <w:color w:val="0563C1"/>
                  <w:u w:val="single"/>
                </w:rPr>
                <w:t>https://gnps.ucsd.edu/ProteoSAFe/status.jsp?task=d762844f0b444356a4958da4c610765f</w:t>
              </w:r>
            </w:hyperlink>
          </w:p>
        </w:tc>
        <w:tc>
          <w:tcPr>
            <w:tcW w:w="2070" w:type="dxa"/>
            <w:tcBorders>
              <w:top w:val="nil"/>
              <w:left w:val="nil"/>
              <w:bottom w:val="single" w:sz="4" w:space="0" w:color="auto"/>
              <w:right w:val="single" w:sz="4" w:space="0" w:color="auto"/>
            </w:tcBorders>
            <w:shd w:val="clear" w:color="auto" w:fill="auto"/>
            <w:vAlign w:val="center"/>
            <w:hideMark/>
          </w:tcPr>
          <w:p w14:paraId="04F9D2D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389726F9" w14:textId="77777777" w:rsidTr="00AC1FAA">
        <w:trPr>
          <w:trHeight w:val="36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2969FF1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Paraxanthine</w:t>
            </w:r>
          </w:p>
        </w:tc>
        <w:tc>
          <w:tcPr>
            <w:tcW w:w="890" w:type="dxa"/>
            <w:tcBorders>
              <w:top w:val="nil"/>
              <w:left w:val="nil"/>
              <w:bottom w:val="single" w:sz="4" w:space="0" w:color="auto"/>
              <w:right w:val="single" w:sz="4" w:space="0" w:color="auto"/>
            </w:tcBorders>
            <w:shd w:val="clear" w:color="auto" w:fill="auto"/>
            <w:vAlign w:val="center"/>
            <w:hideMark/>
          </w:tcPr>
          <w:p w14:paraId="626CDC9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181.072</w:t>
            </w:r>
          </w:p>
        </w:tc>
        <w:tc>
          <w:tcPr>
            <w:tcW w:w="910" w:type="dxa"/>
            <w:tcBorders>
              <w:top w:val="nil"/>
              <w:left w:val="nil"/>
              <w:bottom w:val="single" w:sz="4" w:space="0" w:color="auto"/>
              <w:right w:val="single" w:sz="4" w:space="0" w:color="auto"/>
            </w:tcBorders>
            <w:shd w:val="clear" w:color="auto" w:fill="auto"/>
            <w:vAlign w:val="center"/>
            <w:hideMark/>
          </w:tcPr>
          <w:p w14:paraId="0556892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0.81</w:t>
            </w:r>
          </w:p>
        </w:tc>
        <w:tc>
          <w:tcPr>
            <w:tcW w:w="1250" w:type="dxa"/>
            <w:tcBorders>
              <w:top w:val="nil"/>
              <w:left w:val="nil"/>
              <w:bottom w:val="single" w:sz="4" w:space="0" w:color="auto"/>
              <w:right w:val="single" w:sz="4" w:space="0" w:color="auto"/>
            </w:tcBorders>
            <w:shd w:val="clear" w:color="auto" w:fill="auto"/>
            <w:vAlign w:val="center"/>
            <w:hideMark/>
          </w:tcPr>
          <w:p w14:paraId="63D7AAC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14 dataset matches</w:t>
            </w:r>
            <w:r w:rsidRPr="00901194">
              <w:rPr>
                <w:rFonts w:eastAsia="Times New Roman" w:cs="Times New Roman"/>
                <w:color w:val="000000"/>
              </w:rPr>
              <w:t>; 11 human, 1 mouse, 1 environmental samples</w:t>
            </w:r>
          </w:p>
        </w:tc>
        <w:tc>
          <w:tcPr>
            <w:tcW w:w="1710" w:type="dxa"/>
            <w:tcBorders>
              <w:top w:val="nil"/>
              <w:left w:val="nil"/>
              <w:bottom w:val="single" w:sz="4" w:space="0" w:color="auto"/>
              <w:right w:val="single" w:sz="4" w:space="0" w:color="auto"/>
            </w:tcBorders>
            <w:shd w:val="clear" w:color="auto" w:fill="auto"/>
            <w:vAlign w:val="center"/>
            <w:hideMark/>
          </w:tcPr>
          <w:p w14:paraId="63BE79F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1D58E58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Anti-inflammatory diet in rheumatoid arthritis patients, Nobel twin study, Human rheumatoid arthritis, Metabolomic analysis of Alzheimer's disease</w:t>
            </w:r>
          </w:p>
        </w:tc>
        <w:tc>
          <w:tcPr>
            <w:tcW w:w="1710" w:type="dxa"/>
            <w:tcBorders>
              <w:top w:val="nil"/>
              <w:left w:val="nil"/>
              <w:bottom w:val="single" w:sz="4" w:space="0" w:color="auto"/>
              <w:right w:val="single" w:sz="4" w:space="0" w:color="auto"/>
            </w:tcBorders>
            <w:shd w:val="clear" w:color="auto" w:fill="auto"/>
            <w:vAlign w:val="center"/>
            <w:hideMark/>
          </w:tcPr>
          <w:p w14:paraId="766915E5" w14:textId="77777777" w:rsidR="00AC1FAA" w:rsidRPr="00901194" w:rsidRDefault="00000000" w:rsidP="00A3769A">
            <w:pPr>
              <w:spacing w:after="0" w:line="240" w:lineRule="auto"/>
              <w:jc w:val="center"/>
              <w:rPr>
                <w:rFonts w:eastAsia="Times New Roman" w:cs="Times New Roman"/>
                <w:color w:val="0563C1"/>
                <w:u w:val="single"/>
              </w:rPr>
            </w:pPr>
            <w:hyperlink r:id="rId177" w:history="1">
              <w:r w:rsidR="00AC1FAA" w:rsidRPr="00901194">
                <w:rPr>
                  <w:rFonts w:eastAsia="Times New Roman" w:cs="Times New Roman"/>
                  <w:color w:val="0563C1"/>
                  <w:u w:val="single"/>
                </w:rPr>
                <w:t>https://gnps.ucsd.edu/ProteoSAFe/status.jsp?task=fc336a940189429f85395db848e77d57</w:t>
              </w:r>
            </w:hyperlink>
          </w:p>
        </w:tc>
        <w:tc>
          <w:tcPr>
            <w:tcW w:w="2070" w:type="dxa"/>
            <w:tcBorders>
              <w:top w:val="nil"/>
              <w:left w:val="nil"/>
              <w:bottom w:val="single" w:sz="4" w:space="0" w:color="auto"/>
              <w:right w:val="single" w:sz="4" w:space="0" w:color="auto"/>
            </w:tcBorders>
            <w:shd w:val="clear" w:color="auto" w:fill="auto"/>
            <w:vAlign w:val="center"/>
            <w:hideMark/>
          </w:tcPr>
          <w:p w14:paraId="3879ED7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6F546F54" w14:textId="77777777" w:rsidTr="00AC1FAA">
        <w:trPr>
          <w:trHeight w:val="278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9BF024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trans-Ferulic acid</w:t>
            </w:r>
          </w:p>
        </w:tc>
        <w:tc>
          <w:tcPr>
            <w:tcW w:w="890" w:type="dxa"/>
            <w:tcBorders>
              <w:top w:val="nil"/>
              <w:left w:val="nil"/>
              <w:bottom w:val="single" w:sz="4" w:space="0" w:color="auto"/>
              <w:right w:val="single" w:sz="4" w:space="0" w:color="auto"/>
            </w:tcBorders>
            <w:shd w:val="clear" w:color="auto" w:fill="auto"/>
            <w:vAlign w:val="center"/>
            <w:hideMark/>
          </w:tcPr>
          <w:p w14:paraId="4FC69C1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195.065</w:t>
            </w:r>
          </w:p>
        </w:tc>
        <w:tc>
          <w:tcPr>
            <w:tcW w:w="910" w:type="dxa"/>
            <w:tcBorders>
              <w:top w:val="nil"/>
              <w:left w:val="nil"/>
              <w:bottom w:val="single" w:sz="4" w:space="0" w:color="auto"/>
              <w:right w:val="single" w:sz="4" w:space="0" w:color="auto"/>
            </w:tcBorders>
            <w:shd w:val="clear" w:color="auto" w:fill="auto"/>
            <w:vAlign w:val="center"/>
            <w:hideMark/>
          </w:tcPr>
          <w:p w14:paraId="115EA00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3.01</w:t>
            </w:r>
          </w:p>
        </w:tc>
        <w:tc>
          <w:tcPr>
            <w:tcW w:w="1250" w:type="dxa"/>
            <w:tcBorders>
              <w:top w:val="nil"/>
              <w:left w:val="nil"/>
              <w:bottom w:val="single" w:sz="4" w:space="0" w:color="auto"/>
              <w:right w:val="single" w:sz="4" w:space="0" w:color="auto"/>
            </w:tcBorders>
            <w:shd w:val="clear" w:color="auto" w:fill="auto"/>
            <w:vAlign w:val="center"/>
            <w:hideMark/>
          </w:tcPr>
          <w:p w14:paraId="762D200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52 dataset matches</w:t>
            </w:r>
            <w:r w:rsidRPr="00901194">
              <w:rPr>
                <w:rFonts w:eastAsia="Times New Roman" w:cs="Times New Roman"/>
                <w:color w:val="000000"/>
              </w:rPr>
              <w:t>; 11 human, 20 mouse, 1 rat, 1 environmental sample, plants (melon, corn, tomato, oranges), chemical standards with human samples</w:t>
            </w:r>
          </w:p>
        </w:tc>
        <w:tc>
          <w:tcPr>
            <w:tcW w:w="1710" w:type="dxa"/>
            <w:tcBorders>
              <w:top w:val="nil"/>
              <w:left w:val="nil"/>
              <w:bottom w:val="single" w:sz="4" w:space="0" w:color="auto"/>
              <w:right w:val="single" w:sz="4" w:space="0" w:color="auto"/>
            </w:tcBorders>
            <w:shd w:val="clear" w:color="auto" w:fill="auto"/>
            <w:vAlign w:val="center"/>
            <w:hideMark/>
          </w:tcPr>
          <w:p w14:paraId="3C337CD2"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Bacillus subtilis, Pseudomonas, Bacteroides, Bifidobacterium, Akkermansia</w:t>
            </w:r>
          </w:p>
        </w:tc>
        <w:tc>
          <w:tcPr>
            <w:tcW w:w="1620" w:type="dxa"/>
            <w:tcBorders>
              <w:top w:val="nil"/>
              <w:left w:val="nil"/>
              <w:bottom w:val="single" w:sz="4" w:space="0" w:color="auto"/>
              <w:right w:val="single" w:sz="4" w:space="0" w:color="auto"/>
            </w:tcBorders>
            <w:shd w:val="clear" w:color="auto" w:fill="auto"/>
            <w:vAlign w:val="center"/>
            <w:hideMark/>
          </w:tcPr>
          <w:p w14:paraId="1E4865E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w:t>
            </w:r>
          </w:p>
        </w:tc>
        <w:tc>
          <w:tcPr>
            <w:tcW w:w="1710" w:type="dxa"/>
            <w:tcBorders>
              <w:top w:val="nil"/>
              <w:left w:val="nil"/>
              <w:bottom w:val="single" w:sz="4" w:space="0" w:color="auto"/>
              <w:right w:val="single" w:sz="4" w:space="0" w:color="auto"/>
            </w:tcBorders>
            <w:shd w:val="clear" w:color="auto" w:fill="auto"/>
            <w:vAlign w:val="center"/>
            <w:hideMark/>
          </w:tcPr>
          <w:p w14:paraId="5A7ADC35" w14:textId="77777777" w:rsidR="00AC1FAA" w:rsidRPr="00901194" w:rsidRDefault="00000000" w:rsidP="00A3769A">
            <w:pPr>
              <w:spacing w:after="0" w:line="240" w:lineRule="auto"/>
              <w:jc w:val="center"/>
              <w:rPr>
                <w:rFonts w:eastAsia="Times New Roman" w:cs="Times New Roman"/>
                <w:color w:val="0563C1"/>
                <w:u w:val="single"/>
              </w:rPr>
            </w:pPr>
            <w:hyperlink r:id="rId178" w:history="1">
              <w:r w:rsidR="00AC1FAA" w:rsidRPr="00901194">
                <w:rPr>
                  <w:rFonts w:eastAsia="Times New Roman" w:cs="Times New Roman"/>
                  <w:color w:val="0563C1"/>
                  <w:u w:val="single"/>
                </w:rPr>
                <w:t>https://gnps.ucsd.edu/ProteoSAFe/status.jsp?task=bf38c3b5b06c440ba397bbc10cf73601</w:t>
              </w:r>
            </w:hyperlink>
          </w:p>
        </w:tc>
        <w:tc>
          <w:tcPr>
            <w:tcW w:w="2070" w:type="dxa"/>
            <w:tcBorders>
              <w:top w:val="nil"/>
              <w:left w:val="nil"/>
              <w:bottom w:val="single" w:sz="4" w:space="0" w:color="auto"/>
              <w:right w:val="single" w:sz="4" w:space="0" w:color="auto"/>
            </w:tcBorders>
            <w:shd w:val="clear" w:color="auto" w:fill="auto"/>
            <w:vAlign w:val="center"/>
            <w:hideMark/>
          </w:tcPr>
          <w:p w14:paraId="365ED66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3C6F2D2C" w14:textId="77777777" w:rsidTr="00AC1FAA">
        <w:trPr>
          <w:trHeight w:val="2699"/>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53FED0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Loliolide</w:t>
            </w:r>
          </w:p>
        </w:tc>
        <w:tc>
          <w:tcPr>
            <w:tcW w:w="890" w:type="dxa"/>
            <w:tcBorders>
              <w:top w:val="nil"/>
              <w:left w:val="nil"/>
              <w:bottom w:val="single" w:sz="4" w:space="0" w:color="auto"/>
              <w:right w:val="single" w:sz="4" w:space="0" w:color="auto"/>
            </w:tcBorders>
            <w:shd w:val="clear" w:color="auto" w:fill="auto"/>
            <w:vAlign w:val="center"/>
            <w:hideMark/>
          </w:tcPr>
          <w:p w14:paraId="507483E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197.117</w:t>
            </w:r>
          </w:p>
        </w:tc>
        <w:tc>
          <w:tcPr>
            <w:tcW w:w="910" w:type="dxa"/>
            <w:tcBorders>
              <w:top w:val="nil"/>
              <w:left w:val="nil"/>
              <w:bottom w:val="single" w:sz="4" w:space="0" w:color="auto"/>
              <w:right w:val="single" w:sz="4" w:space="0" w:color="auto"/>
            </w:tcBorders>
            <w:shd w:val="clear" w:color="auto" w:fill="auto"/>
            <w:vAlign w:val="center"/>
            <w:hideMark/>
          </w:tcPr>
          <w:p w14:paraId="20F4F96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3.11</w:t>
            </w:r>
          </w:p>
        </w:tc>
        <w:tc>
          <w:tcPr>
            <w:tcW w:w="1250" w:type="dxa"/>
            <w:tcBorders>
              <w:top w:val="nil"/>
              <w:left w:val="nil"/>
              <w:bottom w:val="single" w:sz="4" w:space="0" w:color="auto"/>
              <w:right w:val="single" w:sz="4" w:space="0" w:color="auto"/>
            </w:tcBorders>
            <w:shd w:val="clear" w:color="auto" w:fill="auto"/>
            <w:vAlign w:val="center"/>
            <w:hideMark/>
          </w:tcPr>
          <w:p w14:paraId="7110BF0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95 dataset matches</w:t>
            </w:r>
            <w:r w:rsidRPr="00901194">
              <w:rPr>
                <w:rFonts w:eastAsia="Times New Roman" w:cs="Times New Roman"/>
                <w:color w:val="000000"/>
              </w:rPr>
              <w:t>; 10 human, 4 mouse, 2 rat, 28 environmental samples, ~10 plants (thale cress, tomato, thapsia, melon, corn)</w:t>
            </w:r>
          </w:p>
        </w:tc>
        <w:tc>
          <w:tcPr>
            <w:tcW w:w="1710" w:type="dxa"/>
            <w:tcBorders>
              <w:top w:val="nil"/>
              <w:left w:val="nil"/>
              <w:bottom w:val="single" w:sz="4" w:space="0" w:color="auto"/>
              <w:right w:val="single" w:sz="4" w:space="0" w:color="auto"/>
            </w:tcBorders>
            <w:shd w:val="clear" w:color="auto" w:fill="auto"/>
            <w:vAlign w:val="center"/>
            <w:hideMark/>
          </w:tcPr>
          <w:p w14:paraId="2A7C7A5B"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Bacillus, Cyanobacteria, Streptomyces</w:t>
            </w:r>
          </w:p>
        </w:tc>
        <w:tc>
          <w:tcPr>
            <w:tcW w:w="1620" w:type="dxa"/>
            <w:tcBorders>
              <w:top w:val="nil"/>
              <w:left w:val="nil"/>
              <w:bottom w:val="single" w:sz="4" w:space="0" w:color="auto"/>
              <w:right w:val="single" w:sz="4" w:space="0" w:color="auto"/>
            </w:tcBorders>
            <w:shd w:val="clear" w:color="auto" w:fill="auto"/>
            <w:vAlign w:val="center"/>
            <w:hideMark/>
          </w:tcPr>
          <w:p w14:paraId="046ECB9B" w14:textId="760C4ABF"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Zoo mammal fecal metabolomes</w:t>
            </w:r>
            <w:r w:rsidR="00812D80" w:rsidRPr="00901194">
              <w:rPr>
                <w:rFonts w:eastAsia="Times New Roman" w:cs="Times New Roman"/>
                <w:color w:val="000000"/>
              </w:rPr>
              <w:fldChar w:fldCharType="begin" w:fldLock="1"/>
            </w:r>
            <w:r w:rsidR="00FE5FC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812D80" w:rsidRPr="00901194">
              <w:rPr>
                <w:rFonts w:eastAsia="Times New Roman" w:cs="Times New Roman"/>
                <w:color w:val="000000"/>
              </w:rPr>
              <w:fldChar w:fldCharType="separate"/>
            </w:r>
            <w:r w:rsidR="00812D80" w:rsidRPr="00901194">
              <w:rPr>
                <w:rFonts w:eastAsia="Times New Roman" w:cs="Times New Roman"/>
                <w:noProof/>
                <w:color w:val="000000"/>
                <w:vertAlign w:val="superscript"/>
              </w:rPr>
              <w:t>231</w:t>
            </w:r>
            <w:r w:rsidR="00812D80" w:rsidRPr="00901194">
              <w:rPr>
                <w:rFonts w:eastAsia="Times New Roman" w:cs="Times New Roman"/>
                <w:color w:val="000000"/>
              </w:rPr>
              <w:fldChar w:fldCharType="end"/>
            </w:r>
            <w:r w:rsidRPr="00901194">
              <w:rPr>
                <w:rFonts w:eastAsia="Times New Roman" w:cs="Times New Roman"/>
                <w:color w:val="000000"/>
              </w:rPr>
              <w:t>, Amerindians urbanization gradient, ONR Human Wright Study, Analysis of Alzheimer's</w:t>
            </w:r>
          </w:p>
        </w:tc>
        <w:tc>
          <w:tcPr>
            <w:tcW w:w="1710" w:type="dxa"/>
            <w:tcBorders>
              <w:top w:val="nil"/>
              <w:left w:val="nil"/>
              <w:bottom w:val="single" w:sz="4" w:space="0" w:color="auto"/>
              <w:right w:val="single" w:sz="4" w:space="0" w:color="auto"/>
            </w:tcBorders>
            <w:shd w:val="clear" w:color="auto" w:fill="auto"/>
            <w:vAlign w:val="center"/>
            <w:hideMark/>
          </w:tcPr>
          <w:p w14:paraId="2985A4EB" w14:textId="77777777" w:rsidR="00AC1FAA" w:rsidRPr="00901194" w:rsidRDefault="00000000" w:rsidP="00A3769A">
            <w:pPr>
              <w:spacing w:after="0" w:line="240" w:lineRule="auto"/>
              <w:jc w:val="center"/>
              <w:rPr>
                <w:rFonts w:eastAsia="Times New Roman" w:cs="Times New Roman"/>
                <w:color w:val="0563C1"/>
                <w:u w:val="single"/>
              </w:rPr>
            </w:pPr>
            <w:hyperlink r:id="rId179" w:history="1">
              <w:r w:rsidR="00AC1FAA" w:rsidRPr="00901194">
                <w:rPr>
                  <w:rFonts w:eastAsia="Times New Roman" w:cs="Times New Roman"/>
                  <w:color w:val="0563C1"/>
                  <w:u w:val="single"/>
                </w:rPr>
                <w:t>https://gnps.ucsd.edu/ProteoSAFe/status.jsp?task=be50e86038794e1b9e0225109de958fa</w:t>
              </w:r>
            </w:hyperlink>
          </w:p>
        </w:tc>
        <w:tc>
          <w:tcPr>
            <w:tcW w:w="2070" w:type="dxa"/>
            <w:tcBorders>
              <w:top w:val="nil"/>
              <w:left w:val="nil"/>
              <w:bottom w:val="single" w:sz="4" w:space="0" w:color="auto"/>
              <w:right w:val="single" w:sz="4" w:space="0" w:color="auto"/>
            </w:tcBorders>
            <w:shd w:val="clear" w:color="auto" w:fill="auto"/>
            <w:vAlign w:val="center"/>
            <w:hideMark/>
          </w:tcPr>
          <w:p w14:paraId="07149A4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7C1ACFFE"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024BE3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3-Hydroxydodecanoic acid</w:t>
            </w:r>
          </w:p>
        </w:tc>
        <w:tc>
          <w:tcPr>
            <w:tcW w:w="890" w:type="dxa"/>
            <w:tcBorders>
              <w:top w:val="nil"/>
              <w:left w:val="nil"/>
              <w:bottom w:val="single" w:sz="4" w:space="0" w:color="auto"/>
              <w:right w:val="single" w:sz="4" w:space="0" w:color="auto"/>
            </w:tcBorders>
            <w:shd w:val="clear" w:color="auto" w:fill="auto"/>
            <w:vAlign w:val="center"/>
            <w:hideMark/>
          </w:tcPr>
          <w:p w14:paraId="6CA2E80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199.169</w:t>
            </w:r>
          </w:p>
        </w:tc>
        <w:tc>
          <w:tcPr>
            <w:tcW w:w="910" w:type="dxa"/>
            <w:tcBorders>
              <w:top w:val="nil"/>
              <w:left w:val="nil"/>
              <w:bottom w:val="single" w:sz="4" w:space="0" w:color="auto"/>
              <w:right w:val="single" w:sz="4" w:space="0" w:color="auto"/>
            </w:tcBorders>
            <w:shd w:val="clear" w:color="auto" w:fill="auto"/>
            <w:vAlign w:val="center"/>
            <w:hideMark/>
          </w:tcPr>
          <w:p w14:paraId="40AD15E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5.35</w:t>
            </w:r>
          </w:p>
        </w:tc>
        <w:tc>
          <w:tcPr>
            <w:tcW w:w="1250" w:type="dxa"/>
            <w:tcBorders>
              <w:top w:val="nil"/>
              <w:left w:val="nil"/>
              <w:bottom w:val="single" w:sz="4" w:space="0" w:color="auto"/>
              <w:right w:val="single" w:sz="4" w:space="0" w:color="auto"/>
            </w:tcBorders>
            <w:shd w:val="clear" w:color="auto" w:fill="auto"/>
            <w:vAlign w:val="center"/>
            <w:hideMark/>
          </w:tcPr>
          <w:p w14:paraId="4B2E67B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21 dataset matches</w:t>
            </w:r>
            <w:r w:rsidRPr="00901194">
              <w:rPr>
                <w:rFonts w:eastAsia="Times New Roman" w:cs="Times New Roman"/>
                <w:color w:val="000000"/>
              </w:rPr>
              <w:t>; 13 human, 3 mouse, 1 environment</w:t>
            </w:r>
            <w:r w:rsidRPr="00901194">
              <w:rPr>
                <w:rFonts w:eastAsia="Times New Roman" w:cs="Times New Roman"/>
                <w:color w:val="000000"/>
              </w:rPr>
              <w:lastRenderedPageBreak/>
              <w:t>al samples, 1 plant (corn), 1 food fermentation metagenome</w:t>
            </w:r>
          </w:p>
        </w:tc>
        <w:tc>
          <w:tcPr>
            <w:tcW w:w="1710" w:type="dxa"/>
            <w:tcBorders>
              <w:top w:val="nil"/>
              <w:left w:val="nil"/>
              <w:bottom w:val="single" w:sz="4" w:space="0" w:color="auto"/>
              <w:right w:val="single" w:sz="4" w:space="0" w:color="auto"/>
            </w:tcBorders>
            <w:shd w:val="clear" w:color="auto" w:fill="auto"/>
            <w:vAlign w:val="center"/>
            <w:hideMark/>
          </w:tcPr>
          <w:p w14:paraId="4E4E53D7"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lastRenderedPageBreak/>
              <w:t>Bacillus subtilis, Burkholderia</w:t>
            </w:r>
          </w:p>
        </w:tc>
        <w:tc>
          <w:tcPr>
            <w:tcW w:w="1620" w:type="dxa"/>
            <w:tcBorders>
              <w:top w:val="nil"/>
              <w:left w:val="nil"/>
              <w:bottom w:val="single" w:sz="4" w:space="0" w:color="auto"/>
              <w:right w:val="single" w:sz="4" w:space="0" w:color="auto"/>
            </w:tcBorders>
            <w:shd w:val="clear" w:color="auto" w:fill="auto"/>
            <w:vAlign w:val="center"/>
            <w:hideMark/>
          </w:tcPr>
          <w:p w14:paraId="2DF32FF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American Gut (with comparison for high and low plant </w:t>
            </w:r>
            <w:r w:rsidRPr="00901194">
              <w:rPr>
                <w:rFonts w:eastAsia="Times New Roman" w:cs="Times New Roman"/>
                <w:color w:val="000000"/>
              </w:rPr>
              <w:lastRenderedPageBreak/>
              <w:t>consumption), Nobel twin study, Human fecal material standards, Human rheumatoid arthritis</w:t>
            </w:r>
          </w:p>
        </w:tc>
        <w:tc>
          <w:tcPr>
            <w:tcW w:w="1710" w:type="dxa"/>
            <w:tcBorders>
              <w:top w:val="nil"/>
              <w:left w:val="nil"/>
              <w:bottom w:val="single" w:sz="4" w:space="0" w:color="auto"/>
              <w:right w:val="single" w:sz="4" w:space="0" w:color="auto"/>
            </w:tcBorders>
            <w:shd w:val="clear" w:color="auto" w:fill="auto"/>
            <w:vAlign w:val="center"/>
            <w:hideMark/>
          </w:tcPr>
          <w:p w14:paraId="65837D1A" w14:textId="77777777" w:rsidR="00AC1FAA" w:rsidRPr="00901194" w:rsidRDefault="00000000" w:rsidP="00A3769A">
            <w:pPr>
              <w:spacing w:after="0" w:line="240" w:lineRule="auto"/>
              <w:jc w:val="center"/>
              <w:rPr>
                <w:rFonts w:eastAsia="Times New Roman" w:cs="Times New Roman"/>
                <w:color w:val="0563C1"/>
                <w:u w:val="single"/>
              </w:rPr>
            </w:pPr>
            <w:hyperlink r:id="rId180" w:history="1">
              <w:r w:rsidR="00AC1FAA" w:rsidRPr="00901194">
                <w:rPr>
                  <w:rFonts w:eastAsia="Times New Roman" w:cs="Times New Roman"/>
                  <w:color w:val="0563C1"/>
                  <w:u w:val="single"/>
                </w:rPr>
                <w:t>https://gnps.ucsd.edu/ProteoSAFe/status.jsp?task=fb1b298fcd564e1</w:t>
              </w:r>
              <w:r w:rsidR="00AC1FAA" w:rsidRPr="00901194">
                <w:rPr>
                  <w:rFonts w:eastAsia="Times New Roman" w:cs="Times New Roman"/>
                  <w:color w:val="0563C1"/>
                  <w:u w:val="single"/>
                </w:rPr>
                <w:lastRenderedPageBreak/>
                <w:t>594389d0207087f21</w:t>
              </w:r>
            </w:hyperlink>
          </w:p>
        </w:tc>
        <w:tc>
          <w:tcPr>
            <w:tcW w:w="2070" w:type="dxa"/>
            <w:tcBorders>
              <w:top w:val="nil"/>
              <w:left w:val="nil"/>
              <w:bottom w:val="single" w:sz="4" w:space="0" w:color="auto"/>
              <w:right w:val="single" w:sz="4" w:space="0" w:color="auto"/>
            </w:tcBorders>
            <w:shd w:val="clear" w:color="auto" w:fill="auto"/>
            <w:vAlign w:val="center"/>
            <w:hideMark/>
          </w:tcPr>
          <w:p w14:paraId="00634A0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Present</w:t>
            </w:r>
          </w:p>
        </w:tc>
      </w:tr>
      <w:tr w:rsidR="00AC1FAA" w:rsidRPr="00901194" w14:paraId="3DF7EEB3" w14:textId="77777777" w:rsidTr="00AC1FAA">
        <w:trPr>
          <w:trHeight w:val="197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2BAA35F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N-Acetyl-D-mannosamine</w:t>
            </w:r>
          </w:p>
        </w:tc>
        <w:tc>
          <w:tcPr>
            <w:tcW w:w="890" w:type="dxa"/>
            <w:tcBorders>
              <w:top w:val="nil"/>
              <w:left w:val="nil"/>
              <w:bottom w:val="single" w:sz="4" w:space="0" w:color="auto"/>
              <w:right w:val="single" w:sz="4" w:space="0" w:color="auto"/>
            </w:tcBorders>
            <w:shd w:val="clear" w:color="auto" w:fill="auto"/>
            <w:vAlign w:val="center"/>
            <w:hideMark/>
          </w:tcPr>
          <w:p w14:paraId="3BE616B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204.087</w:t>
            </w:r>
          </w:p>
        </w:tc>
        <w:tc>
          <w:tcPr>
            <w:tcW w:w="910" w:type="dxa"/>
            <w:tcBorders>
              <w:top w:val="nil"/>
              <w:left w:val="nil"/>
              <w:bottom w:val="single" w:sz="4" w:space="0" w:color="auto"/>
              <w:right w:val="single" w:sz="4" w:space="0" w:color="auto"/>
            </w:tcBorders>
            <w:shd w:val="clear" w:color="auto" w:fill="auto"/>
            <w:vAlign w:val="center"/>
            <w:hideMark/>
          </w:tcPr>
          <w:p w14:paraId="0502EC6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3.27</w:t>
            </w:r>
          </w:p>
        </w:tc>
        <w:tc>
          <w:tcPr>
            <w:tcW w:w="1250" w:type="dxa"/>
            <w:tcBorders>
              <w:top w:val="nil"/>
              <w:left w:val="nil"/>
              <w:bottom w:val="single" w:sz="4" w:space="0" w:color="auto"/>
              <w:right w:val="single" w:sz="4" w:space="0" w:color="auto"/>
            </w:tcBorders>
            <w:shd w:val="clear" w:color="auto" w:fill="auto"/>
            <w:vAlign w:val="center"/>
            <w:hideMark/>
          </w:tcPr>
          <w:p w14:paraId="5C334D6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83 dataset matches</w:t>
            </w:r>
            <w:r w:rsidRPr="00901194">
              <w:rPr>
                <w:rFonts w:eastAsia="Times New Roman" w:cs="Times New Roman"/>
                <w:color w:val="000000"/>
              </w:rPr>
              <w:t>; 20 human, 11 mouse, 2 rat, 20 environmental samples, ~4 plant (tomato, cotton)</w:t>
            </w:r>
          </w:p>
        </w:tc>
        <w:tc>
          <w:tcPr>
            <w:tcW w:w="1710" w:type="dxa"/>
            <w:tcBorders>
              <w:top w:val="nil"/>
              <w:left w:val="nil"/>
              <w:bottom w:val="single" w:sz="4" w:space="0" w:color="auto"/>
              <w:right w:val="single" w:sz="4" w:space="0" w:color="auto"/>
            </w:tcBorders>
            <w:shd w:val="clear" w:color="auto" w:fill="auto"/>
            <w:vAlign w:val="center"/>
            <w:hideMark/>
          </w:tcPr>
          <w:p w14:paraId="372C8404"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albus, Pseudomonas, E. coli, C. difficile, Buckholderia, Actinomycete</w:t>
            </w:r>
          </w:p>
        </w:tc>
        <w:tc>
          <w:tcPr>
            <w:tcW w:w="1620" w:type="dxa"/>
            <w:tcBorders>
              <w:top w:val="nil"/>
              <w:left w:val="nil"/>
              <w:bottom w:val="single" w:sz="4" w:space="0" w:color="auto"/>
              <w:right w:val="single" w:sz="4" w:space="0" w:color="auto"/>
            </w:tcBorders>
            <w:shd w:val="clear" w:color="auto" w:fill="auto"/>
            <w:vAlign w:val="center"/>
            <w:hideMark/>
          </w:tcPr>
          <w:p w14:paraId="41D1580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Amerindians Urbanization Gradient, Human fecal characterization test, Human rheumatoid arthritis</w:t>
            </w:r>
          </w:p>
        </w:tc>
        <w:tc>
          <w:tcPr>
            <w:tcW w:w="1710" w:type="dxa"/>
            <w:tcBorders>
              <w:top w:val="nil"/>
              <w:left w:val="nil"/>
              <w:bottom w:val="single" w:sz="4" w:space="0" w:color="auto"/>
              <w:right w:val="single" w:sz="4" w:space="0" w:color="auto"/>
            </w:tcBorders>
            <w:shd w:val="clear" w:color="auto" w:fill="auto"/>
            <w:vAlign w:val="center"/>
            <w:hideMark/>
          </w:tcPr>
          <w:p w14:paraId="172A144E" w14:textId="77777777" w:rsidR="00AC1FAA" w:rsidRPr="00901194" w:rsidRDefault="00000000" w:rsidP="00A3769A">
            <w:pPr>
              <w:spacing w:after="0" w:line="240" w:lineRule="auto"/>
              <w:jc w:val="center"/>
              <w:rPr>
                <w:rFonts w:eastAsia="Times New Roman" w:cs="Times New Roman"/>
                <w:color w:val="0563C1"/>
                <w:u w:val="single"/>
              </w:rPr>
            </w:pPr>
            <w:hyperlink r:id="rId181" w:history="1">
              <w:r w:rsidR="00AC1FAA" w:rsidRPr="00901194">
                <w:rPr>
                  <w:rFonts w:eastAsia="Times New Roman" w:cs="Times New Roman"/>
                  <w:color w:val="0563C1"/>
                  <w:u w:val="single"/>
                </w:rPr>
                <w:t>https://gnps.ucsd.edu/ProteoSAFe/status.jsp?task=fc40869d5519485a808dc7caf0a2b8ae</w:t>
              </w:r>
            </w:hyperlink>
          </w:p>
        </w:tc>
        <w:tc>
          <w:tcPr>
            <w:tcW w:w="2070" w:type="dxa"/>
            <w:tcBorders>
              <w:top w:val="nil"/>
              <w:left w:val="nil"/>
              <w:bottom w:val="single" w:sz="4" w:space="0" w:color="auto"/>
              <w:right w:val="single" w:sz="4" w:space="0" w:color="auto"/>
            </w:tcBorders>
            <w:shd w:val="clear" w:color="auto" w:fill="auto"/>
            <w:vAlign w:val="center"/>
            <w:hideMark/>
          </w:tcPr>
          <w:p w14:paraId="4459A41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155AD27" w14:textId="77777777" w:rsidTr="00AC1FAA">
        <w:trPr>
          <w:trHeight w:val="39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B8D30A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N-acetyl-L-Phenylalanine</w:t>
            </w:r>
          </w:p>
        </w:tc>
        <w:tc>
          <w:tcPr>
            <w:tcW w:w="890" w:type="dxa"/>
            <w:tcBorders>
              <w:top w:val="nil"/>
              <w:left w:val="nil"/>
              <w:bottom w:val="single" w:sz="4" w:space="0" w:color="auto"/>
              <w:right w:val="single" w:sz="4" w:space="0" w:color="auto"/>
            </w:tcBorders>
            <w:shd w:val="clear" w:color="auto" w:fill="auto"/>
            <w:vAlign w:val="center"/>
            <w:hideMark/>
          </w:tcPr>
          <w:p w14:paraId="2290588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208.097</w:t>
            </w:r>
          </w:p>
        </w:tc>
        <w:tc>
          <w:tcPr>
            <w:tcW w:w="910" w:type="dxa"/>
            <w:tcBorders>
              <w:top w:val="nil"/>
              <w:left w:val="nil"/>
              <w:bottom w:val="single" w:sz="4" w:space="0" w:color="auto"/>
              <w:right w:val="single" w:sz="4" w:space="0" w:color="auto"/>
            </w:tcBorders>
            <w:shd w:val="clear" w:color="auto" w:fill="auto"/>
            <w:vAlign w:val="center"/>
            <w:hideMark/>
          </w:tcPr>
          <w:p w14:paraId="16A0EF3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2.84</w:t>
            </w:r>
          </w:p>
        </w:tc>
        <w:tc>
          <w:tcPr>
            <w:tcW w:w="1250" w:type="dxa"/>
            <w:tcBorders>
              <w:top w:val="nil"/>
              <w:left w:val="nil"/>
              <w:bottom w:val="single" w:sz="4" w:space="0" w:color="auto"/>
              <w:right w:val="single" w:sz="4" w:space="0" w:color="auto"/>
            </w:tcBorders>
            <w:shd w:val="clear" w:color="auto" w:fill="auto"/>
            <w:vAlign w:val="center"/>
            <w:hideMark/>
          </w:tcPr>
          <w:p w14:paraId="3705BEF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76 dataset matches</w:t>
            </w:r>
            <w:r w:rsidRPr="00901194">
              <w:rPr>
                <w:rFonts w:eastAsia="Times New Roman" w:cs="Times New Roman"/>
                <w:color w:val="000000"/>
              </w:rPr>
              <w:t>; 17 human, 15 mouse, 7 environmental samples, 8 food metagenome, 1 plant (tomato)</w:t>
            </w:r>
          </w:p>
        </w:tc>
        <w:tc>
          <w:tcPr>
            <w:tcW w:w="1710" w:type="dxa"/>
            <w:tcBorders>
              <w:top w:val="nil"/>
              <w:left w:val="nil"/>
              <w:bottom w:val="single" w:sz="4" w:space="0" w:color="auto"/>
              <w:right w:val="single" w:sz="4" w:space="0" w:color="auto"/>
            </w:tcBorders>
            <w:shd w:val="clear" w:color="auto" w:fill="auto"/>
            <w:vAlign w:val="center"/>
            <w:hideMark/>
          </w:tcPr>
          <w:p w14:paraId="727CB79D"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Actinobacteria, Streptomyces, Rothia isolates, Bacillus, Akkermansia, Bifidobacterium, Pseudomonas, Cutibacterium acnes, Staphylococcus aureus</w:t>
            </w:r>
          </w:p>
        </w:tc>
        <w:tc>
          <w:tcPr>
            <w:tcW w:w="1620" w:type="dxa"/>
            <w:tcBorders>
              <w:top w:val="nil"/>
              <w:left w:val="nil"/>
              <w:bottom w:val="single" w:sz="4" w:space="0" w:color="auto"/>
              <w:right w:val="single" w:sz="4" w:space="0" w:color="auto"/>
            </w:tcBorders>
            <w:shd w:val="clear" w:color="auto" w:fill="auto"/>
            <w:vAlign w:val="center"/>
            <w:hideMark/>
          </w:tcPr>
          <w:p w14:paraId="359CFBB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(also with high and low plant consumption comparison), Amazon urbanization housing analysis, Nobel twin study, Human Gut Bacteria Biotransformation</w:t>
            </w:r>
          </w:p>
        </w:tc>
        <w:tc>
          <w:tcPr>
            <w:tcW w:w="1710" w:type="dxa"/>
            <w:tcBorders>
              <w:top w:val="nil"/>
              <w:left w:val="nil"/>
              <w:bottom w:val="single" w:sz="4" w:space="0" w:color="auto"/>
              <w:right w:val="single" w:sz="4" w:space="0" w:color="auto"/>
            </w:tcBorders>
            <w:shd w:val="clear" w:color="auto" w:fill="auto"/>
            <w:vAlign w:val="center"/>
            <w:hideMark/>
          </w:tcPr>
          <w:p w14:paraId="62719B15" w14:textId="77777777" w:rsidR="00AC1FAA" w:rsidRPr="00901194" w:rsidRDefault="00000000" w:rsidP="00A3769A">
            <w:pPr>
              <w:spacing w:after="0" w:line="240" w:lineRule="auto"/>
              <w:jc w:val="center"/>
              <w:rPr>
                <w:rFonts w:eastAsia="Times New Roman" w:cs="Times New Roman"/>
                <w:color w:val="0563C1"/>
                <w:u w:val="single"/>
              </w:rPr>
            </w:pPr>
            <w:hyperlink r:id="rId182" w:history="1">
              <w:r w:rsidR="00AC1FAA" w:rsidRPr="00901194">
                <w:rPr>
                  <w:rFonts w:eastAsia="Times New Roman" w:cs="Times New Roman"/>
                  <w:color w:val="0563C1"/>
                  <w:u w:val="single"/>
                </w:rPr>
                <w:t>https://gnps.ucsd.edu/ProteoSAFe/status.jsp?task=7279069e65014373ad790ecb80156672</w:t>
              </w:r>
            </w:hyperlink>
          </w:p>
        </w:tc>
        <w:tc>
          <w:tcPr>
            <w:tcW w:w="2070" w:type="dxa"/>
            <w:tcBorders>
              <w:top w:val="nil"/>
              <w:left w:val="nil"/>
              <w:bottom w:val="single" w:sz="4" w:space="0" w:color="auto"/>
              <w:right w:val="single" w:sz="4" w:space="0" w:color="auto"/>
            </w:tcBorders>
            <w:shd w:val="clear" w:color="auto" w:fill="auto"/>
            <w:vAlign w:val="center"/>
            <w:hideMark/>
          </w:tcPr>
          <w:p w14:paraId="3B575B4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065E18C8" w14:textId="77777777" w:rsidTr="00AC1FAA">
        <w:trPr>
          <w:trHeight w:val="17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EE07C6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Thr-Pro (Threonylproline)</w:t>
            </w:r>
          </w:p>
        </w:tc>
        <w:tc>
          <w:tcPr>
            <w:tcW w:w="890" w:type="dxa"/>
            <w:tcBorders>
              <w:top w:val="nil"/>
              <w:left w:val="nil"/>
              <w:bottom w:val="single" w:sz="4" w:space="0" w:color="auto"/>
              <w:right w:val="single" w:sz="4" w:space="0" w:color="auto"/>
            </w:tcBorders>
            <w:shd w:val="clear" w:color="auto" w:fill="auto"/>
            <w:vAlign w:val="center"/>
            <w:hideMark/>
          </w:tcPr>
          <w:p w14:paraId="3511169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217.122</w:t>
            </w:r>
          </w:p>
        </w:tc>
        <w:tc>
          <w:tcPr>
            <w:tcW w:w="910" w:type="dxa"/>
            <w:tcBorders>
              <w:top w:val="nil"/>
              <w:left w:val="nil"/>
              <w:bottom w:val="single" w:sz="4" w:space="0" w:color="auto"/>
              <w:right w:val="single" w:sz="4" w:space="0" w:color="auto"/>
            </w:tcBorders>
            <w:shd w:val="clear" w:color="auto" w:fill="auto"/>
            <w:vAlign w:val="center"/>
            <w:hideMark/>
          </w:tcPr>
          <w:p w14:paraId="6B9D82D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0.46</w:t>
            </w:r>
          </w:p>
        </w:tc>
        <w:tc>
          <w:tcPr>
            <w:tcW w:w="1250" w:type="dxa"/>
            <w:tcBorders>
              <w:top w:val="nil"/>
              <w:left w:val="nil"/>
              <w:bottom w:val="single" w:sz="4" w:space="0" w:color="auto"/>
              <w:right w:val="single" w:sz="4" w:space="0" w:color="auto"/>
            </w:tcBorders>
            <w:shd w:val="clear" w:color="auto" w:fill="auto"/>
            <w:vAlign w:val="center"/>
            <w:hideMark/>
          </w:tcPr>
          <w:p w14:paraId="14B14AF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15 dataset matches</w:t>
            </w:r>
            <w:r w:rsidRPr="00901194">
              <w:rPr>
                <w:rFonts w:eastAsia="Times New Roman" w:cs="Times New Roman"/>
                <w:color w:val="000000"/>
              </w:rPr>
              <w:t>; 5 human, 5 mouse, 1 rat, 1 environmental samples, 2 plants (tomato)</w:t>
            </w:r>
          </w:p>
        </w:tc>
        <w:tc>
          <w:tcPr>
            <w:tcW w:w="1710" w:type="dxa"/>
            <w:tcBorders>
              <w:top w:val="nil"/>
              <w:left w:val="nil"/>
              <w:bottom w:val="single" w:sz="4" w:space="0" w:color="auto"/>
              <w:right w:val="single" w:sz="4" w:space="0" w:color="auto"/>
            </w:tcBorders>
            <w:shd w:val="clear" w:color="auto" w:fill="auto"/>
            <w:vAlign w:val="center"/>
            <w:hideMark/>
          </w:tcPr>
          <w:p w14:paraId="7095F66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"Bacteria"</w:t>
            </w:r>
          </w:p>
        </w:tc>
        <w:tc>
          <w:tcPr>
            <w:tcW w:w="1620" w:type="dxa"/>
            <w:tcBorders>
              <w:top w:val="nil"/>
              <w:left w:val="nil"/>
              <w:bottom w:val="single" w:sz="4" w:space="0" w:color="auto"/>
              <w:right w:val="single" w:sz="4" w:space="0" w:color="auto"/>
            </w:tcBorders>
            <w:shd w:val="clear" w:color="auto" w:fill="auto"/>
            <w:vAlign w:val="center"/>
            <w:hideMark/>
          </w:tcPr>
          <w:p w14:paraId="441B370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631B889F" w14:textId="77777777" w:rsidR="00AC1FAA" w:rsidRPr="00901194" w:rsidRDefault="00000000" w:rsidP="00A3769A">
            <w:pPr>
              <w:spacing w:after="0" w:line="240" w:lineRule="auto"/>
              <w:jc w:val="center"/>
              <w:rPr>
                <w:rFonts w:eastAsia="Times New Roman" w:cs="Times New Roman"/>
                <w:color w:val="0563C1"/>
                <w:u w:val="single"/>
              </w:rPr>
            </w:pPr>
            <w:hyperlink r:id="rId183" w:history="1">
              <w:r w:rsidR="00AC1FAA" w:rsidRPr="00901194">
                <w:rPr>
                  <w:rFonts w:eastAsia="Times New Roman" w:cs="Times New Roman"/>
                  <w:color w:val="0563C1"/>
                  <w:u w:val="single"/>
                </w:rPr>
                <w:t>https://gnps.ucsd.edu/ProteoSAFe/status.jsp?task=607f9ac84efe43a9a26a642389869975</w:t>
              </w:r>
            </w:hyperlink>
          </w:p>
        </w:tc>
        <w:tc>
          <w:tcPr>
            <w:tcW w:w="2070" w:type="dxa"/>
            <w:tcBorders>
              <w:top w:val="nil"/>
              <w:left w:val="nil"/>
              <w:bottom w:val="single" w:sz="4" w:space="0" w:color="auto"/>
              <w:right w:val="single" w:sz="4" w:space="0" w:color="auto"/>
            </w:tcBorders>
            <w:shd w:val="clear" w:color="auto" w:fill="auto"/>
            <w:vAlign w:val="center"/>
            <w:hideMark/>
          </w:tcPr>
          <w:p w14:paraId="32551D9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10F088A9" w14:textId="77777777" w:rsidTr="00AC1FAA">
        <w:trPr>
          <w:trHeight w:val="467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2E9771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Val-Val (Valylvaline)</w:t>
            </w:r>
          </w:p>
        </w:tc>
        <w:tc>
          <w:tcPr>
            <w:tcW w:w="890" w:type="dxa"/>
            <w:tcBorders>
              <w:top w:val="nil"/>
              <w:left w:val="nil"/>
              <w:bottom w:val="single" w:sz="4" w:space="0" w:color="auto"/>
              <w:right w:val="single" w:sz="4" w:space="0" w:color="auto"/>
            </w:tcBorders>
            <w:shd w:val="clear" w:color="auto" w:fill="auto"/>
            <w:vAlign w:val="center"/>
            <w:hideMark/>
          </w:tcPr>
          <w:p w14:paraId="318A7D4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217.155</w:t>
            </w:r>
          </w:p>
        </w:tc>
        <w:tc>
          <w:tcPr>
            <w:tcW w:w="910" w:type="dxa"/>
            <w:tcBorders>
              <w:top w:val="nil"/>
              <w:left w:val="nil"/>
              <w:bottom w:val="single" w:sz="4" w:space="0" w:color="auto"/>
              <w:right w:val="single" w:sz="4" w:space="0" w:color="auto"/>
            </w:tcBorders>
            <w:shd w:val="clear" w:color="auto" w:fill="auto"/>
            <w:vAlign w:val="center"/>
            <w:hideMark/>
          </w:tcPr>
          <w:p w14:paraId="28F5EBE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0.45</w:t>
            </w:r>
          </w:p>
        </w:tc>
        <w:tc>
          <w:tcPr>
            <w:tcW w:w="1250" w:type="dxa"/>
            <w:tcBorders>
              <w:top w:val="nil"/>
              <w:left w:val="nil"/>
              <w:bottom w:val="single" w:sz="4" w:space="0" w:color="auto"/>
              <w:right w:val="single" w:sz="4" w:space="0" w:color="auto"/>
            </w:tcBorders>
            <w:shd w:val="clear" w:color="auto" w:fill="auto"/>
            <w:vAlign w:val="center"/>
            <w:hideMark/>
          </w:tcPr>
          <w:p w14:paraId="7D68039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35 dataset matches</w:t>
            </w:r>
            <w:r w:rsidRPr="00901194">
              <w:rPr>
                <w:rFonts w:eastAsia="Times New Roman" w:cs="Times New Roman"/>
                <w:color w:val="000000"/>
              </w:rPr>
              <w:t>; 6 human, 7 mouse, 4 rat, 2 environmental samples, 2 food metagenome, ~3 plant (thale cress, potato, wild oat)</w:t>
            </w:r>
          </w:p>
        </w:tc>
        <w:tc>
          <w:tcPr>
            <w:tcW w:w="1710" w:type="dxa"/>
            <w:tcBorders>
              <w:top w:val="nil"/>
              <w:left w:val="nil"/>
              <w:bottom w:val="single" w:sz="4" w:space="0" w:color="auto"/>
              <w:right w:val="single" w:sz="4" w:space="0" w:color="auto"/>
            </w:tcBorders>
            <w:shd w:val="clear" w:color="auto" w:fill="auto"/>
            <w:vAlign w:val="center"/>
            <w:hideMark/>
          </w:tcPr>
          <w:p w14:paraId="1A5D94D0"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Staphylococcus aureus, Bacteroides, Akkermansia, Bifidobacterium</w:t>
            </w:r>
          </w:p>
        </w:tc>
        <w:tc>
          <w:tcPr>
            <w:tcW w:w="1620" w:type="dxa"/>
            <w:tcBorders>
              <w:top w:val="nil"/>
              <w:left w:val="nil"/>
              <w:bottom w:val="single" w:sz="4" w:space="0" w:color="auto"/>
              <w:right w:val="single" w:sz="4" w:space="0" w:color="auto"/>
            </w:tcBorders>
            <w:shd w:val="clear" w:color="auto" w:fill="auto"/>
            <w:vAlign w:val="center"/>
            <w:hideMark/>
          </w:tcPr>
          <w:p w14:paraId="1322BFD0" w14:textId="4AC418BA"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Zoo mammal fecal metabolomes</w:t>
            </w:r>
            <w:r w:rsidR="00FE5FC4" w:rsidRPr="00901194">
              <w:rPr>
                <w:rFonts w:eastAsia="Times New Roman" w:cs="Times New Roman"/>
                <w:color w:val="000000"/>
              </w:rPr>
              <w:fldChar w:fldCharType="begin" w:fldLock="1"/>
            </w:r>
            <w:r w:rsidR="00FE5FC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FE5FC4" w:rsidRPr="00901194">
              <w:rPr>
                <w:rFonts w:eastAsia="Times New Roman" w:cs="Times New Roman"/>
                <w:color w:val="000000"/>
              </w:rPr>
              <w:fldChar w:fldCharType="separate"/>
            </w:r>
            <w:r w:rsidR="00FE5FC4" w:rsidRPr="00901194">
              <w:rPr>
                <w:rFonts w:eastAsia="Times New Roman" w:cs="Times New Roman"/>
                <w:noProof/>
                <w:color w:val="000000"/>
                <w:vertAlign w:val="superscript"/>
              </w:rPr>
              <w:t>231</w:t>
            </w:r>
            <w:r w:rsidR="00FE5FC4" w:rsidRPr="00901194">
              <w:rPr>
                <w:rFonts w:eastAsia="Times New Roman" w:cs="Times New Roman"/>
                <w:color w:val="000000"/>
              </w:rPr>
              <w:fldChar w:fldCharType="end"/>
            </w:r>
            <w:r w:rsidRPr="00901194">
              <w:rPr>
                <w:rFonts w:eastAsia="Times New Roman" w:cs="Times New Roman"/>
                <w:color w:val="000000"/>
              </w:rPr>
              <w:t>, Anti-inflammatory diet in rheumatoid arthritis patients, Human fecal material standards, Burger ingredients, ONR feces and plasma</w:t>
            </w:r>
          </w:p>
        </w:tc>
        <w:tc>
          <w:tcPr>
            <w:tcW w:w="1710" w:type="dxa"/>
            <w:tcBorders>
              <w:top w:val="nil"/>
              <w:left w:val="nil"/>
              <w:bottom w:val="single" w:sz="4" w:space="0" w:color="auto"/>
              <w:right w:val="single" w:sz="4" w:space="0" w:color="auto"/>
            </w:tcBorders>
            <w:shd w:val="clear" w:color="auto" w:fill="auto"/>
            <w:vAlign w:val="center"/>
            <w:hideMark/>
          </w:tcPr>
          <w:p w14:paraId="372556A5" w14:textId="77777777" w:rsidR="00AC1FAA" w:rsidRPr="00901194" w:rsidRDefault="00000000" w:rsidP="00A3769A">
            <w:pPr>
              <w:spacing w:after="0" w:line="240" w:lineRule="auto"/>
              <w:jc w:val="center"/>
              <w:rPr>
                <w:rFonts w:eastAsia="Times New Roman" w:cs="Times New Roman"/>
                <w:color w:val="0563C1"/>
                <w:u w:val="single"/>
              </w:rPr>
            </w:pPr>
            <w:hyperlink r:id="rId184" w:history="1">
              <w:r w:rsidR="00AC1FAA" w:rsidRPr="00901194">
                <w:rPr>
                  <w:rFonts w:eastAsia="Times New Roman" w:cs="Times New Roman"/>
                  <w:color w:val="0563C1"/>
                  <w:u w:val="single"/>
                </w:rPr>
                <w:t>https://gnps.ucsd.edu/ProteoSAFe/status.jsp?task=a0be1a5518ef4594bd188eed2bd4e6d2</w:t>
              </w:r>
            </w:hyperlink>
          </w:p>
        </w:tc>
        <w:tc>
          <w:tcPr>
            <w:tcW w:w="2070" w:type="dxa"/>
            <w:tcBorders>
              <w:top w:val="nil"/>
              <w:left w:val="nil"/>
              <w:bottom w:val="single" w:sz="4" w:space="0" w:color="auto"/>
              <w:right w:val="single" w:sz="4" w:space="0" w:color="auto"/>
            </w:tcBorders>
            <w:shd w:val="clear" w:color="auto" w:fill="auto"/>
            <w:vAlign w:val="center"/>
            <w:hideMark/>
          </w:tcPr>
          <w:p w14:paraId="2E79C7B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32580569"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76B77D8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Abrine</w:t>
            </w:r>
          </w:p>
        </w:tc>
        <w:tc>
          <w:tcPr>
            <w:tcW w:w="890" w:type="dxa"/>
            <w:tcBorders>
              <w:top w:val="nil"/>
              <w:left w:val="nil"/>
              <w:bottom w:val="single" w:sz="4" w:space="0" w:color="auto"/>
              <w:right w:val="single" w:sz="4" w:space="0" w:color="auto"/>
            </w:tcBorders>
            <w:shd w:val="clear" w:color="auto" w:fill="auto"/>
            <w:vAlign w:val="center"/>
            <w:hideMark/>
          </w:tcPr>
          <w:p w14:paraId="7858995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219.113</w:t>
            </w:r>
          </w:p>
        </w:tc>
        <w:tc>
          <w:tcPr>
            <w:tcW w:w="910" w:type="dxa"/>
            <w:tcBorders>
              <w:top w:val="nil"/>
              <w:left w:val="nil"/>
              <w:bottom w:val="single" w:sz="4" w:space="0" w:color="auto"/>
              <w:right w:val="single" w:sz="4" w:space="0" w:color="auto"/>
            </w:tcBorders>
            <w:shd w:val="clear" w:color="auto" w:fill="auto"/>
            <w:vAlign w:val="center"/>
            <w:hideMark/>
          </w:tcPr>
          <w:p w14:paraId="79FF4FA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0.61</w:t>
            </w:r>
          </w:p>
        </w:tc>
        <w:tc>
          <w:tcPr>
            <w:tcW w:w="1250" w:type="dxa"/>
            <w:tcBorders>
              <w:top w:val="nil"/>
              <w:left w:val="nil"/>
              <w:bottom w:val="single" w:sz="4" w:space="0" w:color="auto"/>
              <w:right w:val="single" w:sz="4" w:space="0" w:color="auto"/>
            </w:tcBorders>
            <w:shd w:val="clear" w:color="auto" w:fill="auto"/>
            <w:vAlign w:val="center"/>
            <w:hideMark/>
          </w:tcPr>
          <w:p w14:paraId="52A0C58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3 dataset matches</w:t>
            </w:r>
            <w:r w:rsidRPr="00901194">
              <w:rPr>
                <w:rFonts w:eastAsia="Times New Roman" w:cs="Times New Roman"/>
                <w:color w:val="000000"/>
              </w:rPr>
              <w:t>; 3 human</w:t>
            </w:r>
          </w:p>
        </w:tc>
        <w:tc>
          <w:tcPr>
            <w:tcW w:w="1710" w:type="dxa"/>
            <w:tcBorders>
              <w:top w:val="nil"/>
              <w:left w:val="nil"/>
              <w:bottom w:val="single" w:sz="4" w:space="0" w:color="auto"/>
              <w:right w:val="single" w:sz="4" w:space="0" w:color="auto"/>
            </w:tcBorders>
            <w:shd w:val="clear" w:color="auto" w:fill="auto"/>
            <w:vAlign w:val="center"/>
            <w:hideMark/>
          </w:tcPr>
          <w:p w14:paraId="7CC623C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5858814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(also UK), Malawi legume study</w:t>
            </w:r>
          </w:p>
        </w:tc>
        <w:tc>
          <w:tcPr>
            <w:tcW w:w="1710" w:type="dxa"/>
            <w:tcBorders>
              <w:top w:val="nil"/>
              <w:left w:val="nil"/>
              <w:bottom w:val="single" w:sz="4" w:space="0" w:color="auto"/>
              <w:right w:val="single" w:sz="4" w:space="0" w:color="auto"/>
            </w:tcBorders>
            <w:shd w:val="clear" w:color="auto" w:fill="auto"/>
            <w:vAlign w:val="center"/>
            <w:hideMark/>
          </w:tcPr>
          <w:p w14:paraId="56649347" w14:textId="77777777" w:rsidR="00AC1FAA" w:rsidRPr="00901194" w:rsidRDefault="00000000" w:rsidP="00A3769A">
            <w:pPr>
              <w:spacing w:after="0" w:line="240" w:lineRule="auto"/>
              <w:jc w:val="center"/>
              <w:rPr>
                <w:rFonts w:eastAsia="Times New Roman" w:cs="Times New Roman"/>
                <w:color w:val="0563C1"/>
                <w:u w:val="single"/>
              </w:rPr>
            </w:pPr>
            <w:hyperlink r:id="rId185" w:history="1">
              <w:r w:rsidR="00AC1FAA" w:rsidRPr="00901194">
                <w:rPr>
                  <w:rFonts w:eastAsia="Times New Roman" w:cs="Times New Roman"/>
                  <w:color w:val="0563C1"/>
                  <w:u w:val="single"/>
                </w:rPr>
                <w:t>https://gnps.ucsd.edu/ProteoSAFe/status.jsp?task=7a23704e8e7c40a7a18692083e5b00c2</w:t>
              </w:r>
            </w:hyperlink>
          </w:p>
        </w:tc>
        <w:tc>
          <w:tcPr>
            <w:tcW w:w="2070" w:type="dxa"/>
            <w:tcBorders>
              <w:top w:val="nil"/>
              <w:left w:val="nil"/>
              <w:bottom w:val="single" w:sz="4" w:space="0" w:color="auto"/>
              <w:right w:val="single" w:sz="4" w:space="0" w:color="auto"/>
            </w:tcBorders>
            <w:shd w:val="clear" w:color="auto" w:fill="auto"/>
            <w:vAlign w:val="center"/>
            <w:hideMark/>
          </w:tcPr>
          <w:p w14:paraId="6B72E8C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4D484D93" w14:textId="77777777" w:rsidTr="00AC1FAA">
        <w:trPr>
          <w:trHeight w:val="278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75D46A2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Pantothenic acid</w:t>
            </w:r>
          </w:p>
        </w:tc>
        <w:tc>
          <w:tcPr>
            <w:tcW w:w="890" w:type="dxa"/>
            <w:tcBorders>
              <w:top w:val="nil"/>
              <w:left w:val="nil"/>
              <w:bottom w:val="single" w:sz="4" w:space="0" w:color="auto"/>
              <w:right w:val="single" w:sz="4" w:space="0" w:color="auto"/>
            </w:tcBorders>
            <w:shd w:val="clear" w:color="auto" w:fill="auto"/>
            <w:vAlign w:val="center"/>
            <w:hideMark/>
          </w:tcPr>
          <w:p w14:paraId="70F85DC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220.118</w:t>
            </w:r>
          </w:p>
        </w:tc>
        <w:tc>
          <w:tcPr>
            <w:tcW w:w="910" w:type="dxa"/>
            <w:tcBorders>
              <w:top w:val="nil"/>
              <w:left w:val="nil"/>
              <w:bottom w:val="single" w:sz="4" w:space="0" w:color="auto"/>
              <w:right w:val="single" w:sz="4" w:space="0" w:color="auto"/>
            </w:tcBorders>
            <w:shd w:val="clear" w:color="auto" w:fill="auto"/>
            <w:vAlign w:val="center"/>
            <w:hideMark/>
          </w:tcPr>
          <w:p w14:paraId="0332D42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0.56</w:t>
            </w:r>
          </w:p>
        </w:tc>
        <w:tc>
          <w:tcPr>
            <w:tcW w:w="1250" w:type="dxa"/>
            <w:tcBorders>
              <w:top w:val="nil"/>
              <w:left w:val="nil"/>
              <w:bottom w:val="single" w:sz="4" w:space="0" w:color="auto"/>
              <w:right w:val="single" w:sz="4" w:space="0" w:color="auto"/>
            </w:tcBorders>
            <w:shd w:val="clear" w:color="auto" w:fill="auto"/>
            <w:vAlign w:val="center"/>
            <w:hideMark/>
          </w:tcPr>
          <w:p w14:paraId="5001471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142 dataset matches</w:t>
            </w:r>
            <w:r w:rsidRPr="00901194">
              <w:rPr>
                <w:rFonts w:eastAsia="Times New Roman" w:cs="Times New Roman"/>
                <w:color w:val="000000"/>
              </w:rPr>
              <w:t xml:space="preserve">; 33 human, 33 mouse, 4 rat, 5 environmental samples, ~11 plant (potato, peppers, melon, corn, sugarcane, tomato, thale cress, thapsia, </w:t>
            </w:r>
            <w:r w:rsidRPr="00901194">
              <w:rPr>
                <w:rFonts w:eastAsia="Times New Roman" w:cs="Times New Roman"/>
                <w:i/>
                <w:iCs/>
                <w:color w:val="000000"/>
              </w:rPr>
              <w:t>Nicotiana benthamiana</w:t>
            </w:r>
            <w:r w:rsidRPr="00901194">
              <w:rPr>
                <w:rFonts w:eastAsia="Times New Roman" w:cs="Times New Roman"/>
                <w:color w:val="000000"/>
              </w:rPr>
              <w:t>)</w:t>
            </w:r>
          </w:p>
        </w:tc>
        <w:tc>
          <w:tcPr>
            <w:tcW w:w="1710" w:type="dxa"/>
            <w:tcBorders>
              <w:top w:val="nil"/>
              <w:left w:val="nil"/>
              <w:bottom w:val="single" w:sz="4" w:space="0" w:color="auto"/>
              <w:right w:val="single" w:sz="4" w:space="0" w:color="auto"/>
            </w:tcBorders>
            <w:shd w:val="clear" w:color="auto" w:fill="auto"/>
            <w:vAlign w:val="center"/>
            <w:hideMark/>
          </w:tcPr>
          <w:p w14:paraId="5C11FBCD"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E. coli, Streptomyces, Bacillus, Staphylococcus aureus</w:t>
            </w:r>
          </w:p>
        </w:tc>
        <w:tc>
          <w:tcPr>
            <w:tcW w:w="1620" w:type="dxa"/>
            <w:tcBorders>
              <w:top w:val="nil"/>
              <w:left w:val="nil"/>
              <w:bottom w:val="single" w:sz="4" w:space="0" w:color="auto"/>
              <w:right w:val="single" w:sz="4" w:space="0" w:color="auto"/>
            </w:tcBorders>
            <w:shd w:val="clear" w:color="auto" w:fill="auto"/>
            <w:vAlign w:val="center"/>
            <w:hideMark/>
          </w:tcPr>
          <w:p w14:paraId="38F5D744" w14:textId="28DB4784"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(also UK; also high vs low plant consumption comparison), Nobel twin study, Zoo mammal fecal samples</w:t>
            </w:r>
            <w:r w:rsidR="00FE5FC4" w:rsidRPr="00901194">
              <w:rPr>
                <w:rFonts w:eastAsia="Times New Roman" w:cs="Times New Roman"/>
                <w:color w:val="000000"/>
              </w:rPr>
              <w:fldChar w:fldCharType="begin" w:fldLock="1"/>
            </w:r>
            <w:r w:rsidR="00FE5FC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FE5FC4" w:rsidRPr="00901194">
              <w:rPr>
                <w:rFonts w:eastAsia="Times New Roman" w:cs="Times New Roman"/>
                <w:color w:val="000000"/>
              </w:rPr>
              <w:fldChar w:fldCharType="separate"/>
            </w:r>
            <w:r w:rsidR="00FE5FC4" w:rsidRPr="00901194">
              <w:rPr>
                <w:rFonts w:eastAsia="Times New Roman" w:cs="Times New Roman"/>
                <w:noProof/>
                <w:color w:val="000000"/>
                <w:vertAlign w:val="superscript"/>
              </w:rPr>
              <w:t>231</w:t>
            </w:r>
            <w:r w:rsidR="00FE5FC4" w:rsidRPr="00901194">
              <w:rPr>
                <w:rFonts w:eastAsia="Times New Roman" w:cs="Times New Roman"/>
                <w:color w:val="000000"/>
              </w:rPr>
              <w:fldChar w:fldCharType="end"/>
            </w:r>
            <w:r w:rsidRPr="00901194">
              <w:rPr>
                <w:rFonts w:eastAsia="Times New Roman" w:cs="Times New Roman"/>
                <w:color w:val="000000"/>
              </w:rPr>
              <w:t>, Human rheumatoid arthritis</w:t>
            </w:r>
          </w:p>
        </w:tc>
        <w:tc>
          <w:tcPr>
            <w:tcW w:w="1710" w:type="dxa"/>
            <w:tcBorders>
              <w:top w:val="nil"/>
              <w:left w:val="nil"/>
              <w:bottom w:val="single" w:sz="4" w:space="0" w:color="auto"/>
              <w:right w:val="single" w:sz="4" w:space="0" w:color="auto"/>
            </w:tcBorders>
            <w:shd w:val="clear" w:color="auto" w:fill="auto"/>
            <w:vAlign w:val="center"/>
            <w:hideMark/>
          </w:tcPr>
          <w:p w14:paraId="4A5025D7" w14:textId="77777777" w:rsidR="00AC1FAA" w:rsidRPr="00901194" w:rsidRDefault="00000000" w:rsidP="00A3769A">
            <w:pPr>
              <w:spacing w:after="0" w:line="240" w:lineRule="auto"/>
              <w:jc w:val="center"/>
              <w:rPr>
                <w:rFonts w:eastAsia="Times New Roman" w:cs="Times New Roman"/>
                <w:color w:val="0563C1"/>
                <w:u w:val="single"/>
              </w:rPr>
            </w:pPr>
            <w:hyperlink r:id="rId186" w:history="1">
              <w:r w:rsidR="00AC1FAA" w:rsidRPr="00901194">
                <w:rPr>
                  <w:rFonts w:eastAsia="Times New Roman" w:cs="Times New Roman"/>
                  <w:color w:val="0563C1"/>
                  <w:u w:val="single"/>
                </w:rPr>
                <w:t>https://gnps.ucsd.edu/ProteoSAFe/status.jsp?task=bce374bc20ef4f69ae9348a776d48e8f</w:t>
              </w:r>
            </w:hyperlink>
          </w:p>
        </w:tc>
        <w:tc>
          <w:tcPr>
            <w:tcW w:w="2070" w:type="dxa"/>
            <w:tcBorders>
              <w:top w:val="nil"/>
              <w:left w:val="nil"/>
              <w:bottom w:val="single" w:sz="4" w:space="0" w:color="auto"/>
              <w:right w:val="single" w:sz="4" w:space="0" w:color="auto"/>
            </w:tcBorders>
            <w:shd w:val="clear" w:color="auto" w:fill="auto"/>
            <w:vAlign w:val="center"/>
            <w:hideMark/>
          </w:tcPr>
          <w:p w14:paraId="7FC896A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35FA0C82" w14:textId="77777777" w:rsidTr="00AC1FAA">
        <w:trPr>
          <w:trHeight w:val="33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9D4D03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PyroGlu-Pro (Pyroglutamylproline)</w:t>
            </w:r>
          </w:p>
        </w:tc>
        <w:tc>
          <w:tcPr>
            <w:tcW w:w="890" w:type="dxa"/>
            <w:tcBorders>
              <w:top w:val="nil"/>
              <w:left w:val="nil"/>
              <w:bottom w:val="single" w:sz="4" w:space="0" w:color="auto"/>
              <w:right w:val="single" w:sz="4" w:space="0" w:color="auto"/>
            </w:tcBorders>
            <w:shd w:val="clear" w:color="auto" w:fill="auto"/>
            <w:vAlign w:val="center"/>
            <w:hideMark/>
          </w:tcPr>
          <w:p w14:paraId="24441F8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227.103</w:t>
            </w:r>
          </w:p>
        </w:tc>
        <w:tc>
          <w:tcPr>
            <w:tcW w:w="910" w:type="dxa"/>
            <w:tcBorders>
              <w:top w:val="nil"/>
              <w:left w:val="nil"/>
              <w:bottom w:val="single" w:sz="4" w:space="0" w:color="auto"/>
              <w:right w:val="single" w:sz="4" w:space="0" w:color="auto"/>
            </w:tcBorders>
            <w:shd w:val="clear" w:color="auto" w:fill="auto"/>
            <w:vAlign w:val="center"/>
            <w:hideMark/>
          </w:tcPr>
          <w:p w14:paraId="647A403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0.44</w:t>
            </w:r>
          </w:p>
        </w:tc>
        <w:tc>
          <w:tcPr>
            <w:tcW w:w="1250" w:type="dxa"/>
            <w:tcBorders>
              <w:top w:val="nil"/>
              <w:left w:val="nil"/>
              <w:bottom w:val="single" w:sz="4" w:space="0" w:color="auto"/>
              <w:right w:val="single" w:sz="4" w:space="0" w:color="auto"/>
            </w:tcBorders>
            <w:shd w:val="clear" w:color="auto" w:fill="auto"/>
            <w:vAlign w:val="center"/>
            <w:hideMark/>
          </w:tcPr>
          <w:p w14:paraId="40FDF3A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44 dataset matches</w:t>
            </w:r>
            <w:r w:rsidRPr="00901194">
              <w:rPr>
                <w:rFonts w:eastAsia="Times New Roman" w:cs="Times New Roman"/>
                <w:color w:val="000000"/>
              </w:rPr>
              <w:t xml:space="preserve">; 20 human, 5 mouse, 7 food metagenome, 2 environmental samples, ~3 plant (cotton, </w:t>
            </w:r>
            <w:r w:rsidRPr="00901194">
              <w:rPr>
                <w:rFonts w:eastAsia="Times New Roman" w:cs="Times New Roman"/>
                <w:i/>
                <w:iCs/>
                <w:color w:val="000000"/>
              </w:rPr>
              <w:t>Nicotiana benthamiana</w:t>
            </w:r>
            <w:r w:rsidRPr="00901194">
              <w:rPr>
                <w:rFonts w:eastAsia="Times New Roman" w:cs="Times New Roman"/>
                <w:color w:val="000000"/>
              </w:rPr>
              <w:t>, corn)</w:t>
            </w:r>
          </w:p>
        </w:tc>
        <w:tc>
          <w:tcPr>
            <w:tcW w:w="1710" w:type="dxa"/>
            <w:tcBorders>
              <w:top w:val="nil"/>
              <w:left w:val="nil"/>
              <w:bottom w:val="single" w:sz="4" w:space="0" w:color="auto"/>
              <w:right w:val="single" w:sz="4" w:space="0" w:color="auto"/>
            </w:tcBorders>
            <w:shd w:val="clear" w:color="auto" w:fill="auto"/>
            <w:vAlign w:val="center"/>
            <w:hideMark/>
          </w:tcPr>
          <w:p w14:paraId="6978B1DE"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Amycolatopsis, Bacillus subtilis, Pseudomonas, Streptomyces albus</w:t>
            </w:r>
          </w:p>
        </w:tc>
        <w:tc>
          <w:tcPr>
            <w:tcW w:w="1620" w:type="dxa"/>
            <w:tcBorders>
              <w:top w:val="nil"/>
              <w:left w:val="nil"/>
              <w:bottom w:val="single" w:sz="4" w:space="0" w:color="auto"/>
              <w:right w:val="single" w:sz="4" w:space="0" w:color="auto"/>
            </w:tcBorders>
            <w:shd w:val="clear" w:color="auto" w:fill="auto"/>
            <w:vAlign w:val="center"/>
            <w:hideMark/>
          </w:tcPr>
          <w:p w14:paraId="564C82F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ONR human diet, Human-associated bacteria cultured with bile acids</w:t>
            </w:r>
          </w:p>
        </w:tc>
        <w:tc>
          <w:tcPr>
            <w:tcW w:w="1710" w:type="dxa"/>
            <w:tcBorders>
              <w:top w:val="nil"/>
              <w:left w:val="nil"/>
              <w:bottom w:val="single" w:sz="4" w:space="0" w:color="auto"/>
              <w:right w:val="single" w:sz="4" w:space="0" w:color="auto"/>
            </w:tcBorders>
            <w:shd w:val="clear" w:color="auto" w:fill="auto"/>
            <w:vAlign w:val="center"/>
            <w:hideMark/>
          </w:tcPr>
          <w:p w14:paraId="5048239A" w14:textId="77777777" w:rsidR="00AC1FAA" w:rsidRPr="00901194" w:rsidRDefault="00000000" w:rsidP="00A3769A">
            <w:pPr>
              <w:spacing w:after="0" w:line="240" w:lineRule="auto"/>
              <w:jc w:val="center"/>
              <w:rPr>
                <w:rFonts w:eastAsia="Times New Roman" w:cs="Times New Roman"/>
                <w:color w:val="0563C1"/>
                <w:u w:val="single"/>
              </w:rPr>
            </w:pPr>
            <w:hyperlink r:id="rId187" w:history="1">
              <w:r w:rsidR="00AC1FAA" w:rsidRPr="00901194">
                <w:rPr>
                  <w:rFonts w:eastAsia="Times New Roman" w:cs="Times New Roman"/>
                  <w:color w:val="0563C1"/>
                  <w:u w:val="single"/>
                </w:rPr>
                <w:t>https://gnps.ucsd.edu/ProteoSAFe/status.jsp?task=893f768b31de46f5903ad003dfdb2152</w:t>
              </w:r>
            </w:hyperlink>
          </w:p>
        </w:tc>
        <w:tc>
          <w:tcPr>
            <w:tcW w:w="2070" w:type="dxa"/>
            <w:tcBorders>
              <w:top w:val="nil"/>
              <w:left w:val="nil"/>
              <w:bottom w:val="single" w:sz="4" w:space="0" w:color="auto"/>
              <w:right w:val="single" w:sz="4" w:space="0" w:color="auto"/>
            </w:tcBorders>
            <w:shd w:val="clear" w:color="auto" w:fill="auto"/>
            <w:vAlign w:val="center"/>
            <w:hideMark/>
          </w:tcPr>
          <w:p w14:paraId="7A8AB2C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7CDA626F" w14:textId="77777777" w:rsidTr="00AC1FAA">
        <w:trPr>
          <w:trHeight w:val="359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4BEAD5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Myristoleic acid</w:t>
            </w:r>
          </w:p>
        </w:tc>
        <w:tc>
          <w:tcPr>
            <w:tcW w:w="890" w:type="dxa"/>
            <w:tcBorders>
              <w:top w:val="nil"/>
              <w:left w:val="nil"/>
              <w:bottom w:val="single" w:sz="4" w:space="0" w:color="auto"/>
              <w:right w:val="single" w:sz="4" w:space="0" w:color="auto"/>
            </w:tcBorders>
            <w:shd w:val="clear" w:color="auto" w:fill="auto"/>
            <w:vAlign w:val="center"/>
            <w:hideMark/>
          </w:tcPr>
          <w:p w14:paraId="320BF15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227.201</w:t>
            </w:r>
          </w:p>
        </w:tc>
        <w:tc>
          <w:tcPr>
            <w:tcW w:w="910" w:type="dxa"/>
            <w:tcBorders>
              <w:top w:val="nil"/>
              <w:left w:val="nil"/>
              <w:bottom w:val="single" w:sz="4" w:space="0" w:color="auto"/>
              <w:right w:val="single" w:sz="4" w:space="0" w:color="auto"/>
            </w:tcBorders>
            <w:shd w:val="clear" w:color="auto" w:fill="auto"/>
            <w:vAlign w:val="center"/>
            <w:hideMark/>
          </w:tcPr>
          <w:p w14:paraId="0F3571B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5.94</w:t>
            </w:r>
          </w:p>
        </w:tc>
        <w:tc>
          <w:tcPr>
            <w:tcW w:w="1250" w:type="dxa"/>
            <w:tcBorders>
              <w:top w:val="nil"/>
              <w:left w:val="nil"/>
              <w:bottom w:val="single" w:sz="4" w:space="0" w:color="auto"/>
              <w:right w:val="single" w:sz="4" w:space="0" w:color="auto"/>
            </w:tcBorders>
            <w:shd w:val="clear" w:color="auto" w:fill="auto"/>
            <w:vAlign w:val="center"/>
            <w:hideMark/>
          </w:tcPr>
          <w:p w14:paraId="10574EC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35 dataset matches</w:t>
            </w:r>
            <w:r w:rsidRPr="00901194">
              <w:rPr>
                <w:rFonts w:eastAsia="Times New Roman" w:cs="Times New Roman"/>
                <w:color w:val="000000"/>
              </w:rPr>
              <w:t>; 17 human, 6 mouse, 1 rat, 3 environmental samples, ~2 plant (cotton, tomato)</w:t>
            </w:r>
          </w:p>
        </w:tc>
        <w:tc>
          <w:tcPr>
            <w:tcW w:w="1710" w:type="dxa"/>
            <w:tcBorders>
              <w:top w:val="nil"/>
              <w:left w:val="nil"/>
              <w:bottom w:val="single" w:sz="4" w:space="0" w:color="auto"/>
              <w:right w:val="single" w:sz="4" w:space="0" w:color="auto"/>
            </w:tcBorders>
            <w:shd w:val="clear" w:color="auto" w:fill="auto"/>
            <w:vAlign w:val="center"/>
            <w:hideMark/>
          </w:tcPr>
          <w:p w14:paraId="0076A422"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chartreusis</w:t>
            </w:r>
          </w:p>
        </w:tc>
        <w:tc>
          <w:tcPr>
            <w:tcW w:w="1620" w:type="dxa"/>
            <w:tcBorders>
              <w:top w:val="nil"/>
              <w:left w:val="nil"/>
              <w:bottom w:val="single" w:sz="4" w:space="0" w:color="auto"/>
              <w:right w:val="single" w:sz="4" w:space="0" w:color="auto"/>
            </w:tcBorders>
            <w:shd w:val="clear" w:color="auto" w:fill="auto"/>
            <w:vAlign w:val="center"/>
            <w:hideMark/>
          </w:tcPr>
          <w:p w14:paraId="62834C6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Burger ingredients, American gut (with  high vs low plant consumption comparison), Amerindians urbanization gradient, ONR Primary Wright, Human fecal material standards, Alzheimer's analysis</w:t>
            </w:r>
          </w:p>
        </w:tc>
        <w:tc>
          <w:tcPr>
            <w:tcW w:w="1710" w:type="dxa"/>
            <w:tcBorders>
              <w:top w:val="nil"/>
              <w:left w:val="nil"/>
              <w:bottom w:val="single" w:sz="4" w:space="0" w:color="auto"/>
              <w:right w:val="single" w:sz="4" w:space="0" w:color="auto"/>
            </w:tcBorders>
            <w:shd w:val="clear" w:color="auto" w:fill="auto"/>
            <w:vAlign w:val="center"/>
            <w:hideMark/>
          </w:tcPr>
          <w:p w14:paraId="62179B2F" w14:textId="77777777" w:rsidR="00AC1FAA" w:rsidRPr="00901194" w:rsidRDefault="00000000" w:rsidP="00A3769A">
            <w:pPr>
              <w:spacing w:after="0" w:line="240" w:lineRule="auto"/>
              <w:jc w:val="center"/>
              <w:rPr>
                <w:rFonts w:eastAsia="Times New Roman" w:cs="Times New Roman"/>
                <w:color w:val="0563C1"/>
                <w:u w:val="single"/>
              </w:rPr>
            </w:pPr>
            <w:hyperlink r:id="rId188" w:history="1">
              <w:r w:rsidR="00AC1FAA" w:rsidRPr="00901194">
                <w:rPr>
                  <w:rFonts w:eastAsia="Times New Roman" w:cs="Times New Roman"/>
                  <w:color w:val="0563C1"/>
                  <w:u w:val="single"/>
                </w:rPr>
                <w:t>https://gnps.ucsd.edu/ProteoSAFe/status.jsp?task=09d5bd98a46145e982b986a34e4591ef</w:t>
              </w:r>
            </w:hyperlink>
          </w:p>
        </w:tc>
        <w:tc>
          <w:tcPr>
            <w:tcW w:w="2070" w:type="dxa"/>
            <w:tcBorders>
              <w:top w:val="nil"/>
              <w:left w:val="nil"/>
              <w:bottom w:val="single" w:sz="4" w:space="0" w:color="auto"/>
              <w:right w:val="single" w:sz="4" w:space="0" w:color="auto"/>
            </w:tcBorders>
            <w:shd w:val="clear" w:color="auto" w:fill="auto"/>
            <w:vAlign w:val="center"/>
            <w:hideMark/>
          </w:tcPr>
          <w:p w14:paraId="3EA9381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38BD915" w14:textId="77777777" w:rsidTr="00AC1FAA">
        <w:trPr>
          <w:trHeight w:val="548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0FF3B7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Ile-Pro (Isoleucylproline)</w:t>
            </w:r>
          </w:p>
        </w:tc>
        <w:tc>
          <w:tcPr>
            <w:tcW w:w="890" w:type="dxa"/>
            <w:tcBorders>
              <w:top w:val="nil"/>
              <w:left w:val="nil"/>
              <w:bottom w:val="single" w:sz="4" w:space="0" w:color="auto"/>
              <w:right w:val="single" w:sz="4" w:space="0" w:color="auto"/>
            </w:tcBorders>
            <w:shd w:val="clear" w:color="auto" w:fill="auto"/>
            <w:vAlign w:val="center"/>
            <w:hideMark/>
          </w:tcPr>
          <w:p w14:paraId="3A999A9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229.155</w:t>
            </w:r>
          </w:p>
        </w:tc>
        <w:tc>
          <w:tcPr>
            <w:tcW w:w="910" w:type="dxa"/>
            <w:tcBorders>
              <w:top w:val="nil"/>
              <w:left w:val="nil"/>
              <w:bottom w:val="single" w:sz="4" w:space="0" w:color="auto"/>
              <w:right w:val="single" w:sz="4" w:space="0" w:color="auto"/>
            </w:tcBorders>
            <w:shd w:val="clear" w:color="auto" w:fill="auto"/>
            <w:vAlign w:val="center"/>
            <w:hideMark/>
          </w:tcPr>
          <w:p w14:paraId="31CCD34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0.76</w:t>
            </w:r>
          </w:p>
        </w:tc>
        <w:tc>
          <w:tcPr>
            <w:tcW w:w="1250" w:type="dxa"/>
            <w:tcBorders>
              <w:top w:val="nil"/>
              <w:left w:val="nil"/>
              <w:bottom w:val="single" w:sz="4" w:space="0" w:color="auto"/>
              <w:right w:val="single" w:sz="4" w:space="0" w:color="auto"/>
            </w:tcBorders>
            <w:shd w:val="clear" w:color="auto" w:fill="auto"/>
            <w:vAlign w:val="center"/>
            <w:hideMark/>
          </w:tcPr>
          <w:p w14:paraId="19D1E94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168 dataset matches</w:t>
            </w:r>
            <w:r w:rsidRPr="00901194">
              <w:rPr>
                <w:rFonts w:eastAsia="Times New Roman" w:cs="Times New Roman"/>
                <w:color w:val="000000"/>
              </w:rPr>
              <w:t>; 44 human, 32 mouse, 5 rat, 12 environmental samples, 7 food metagenome, ~9 plant (tomato, corn, cotton, potato)</w:t>
            </w:r>
          </w:p>
        </w:tc>
        <w:tc>
          <w:tcPr>
            <w:tcW w:w="1710" w:type="dxa"/>
            <w:tcBorders>
              <w:top w:val="nil"/>
              <w:left w:val="nil"/>
              <w:bottom w:val="single" w:sz="4" w:space="0" w:color="auto"/>
              <w:right w:val="single" w:sz="4" w:space="0" w:color="auto"/>
            </w:tcBorders>
            <w:shd w:val="clear" w:color="auto" w:fill="auto"/>
            <w:vAlign w:val="center"/>
            <w:hideMark/>
          </w:tcPr>
          <w:p w14:paraId="24EF92F4"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Streptomyces, Bacillus, Bacteroides, Akkermansia, Bifidobacterium, Staphylococcus aureus, Lactobacillus, Amycolatopsis, Paenibacillus, E. coli, Eggerthella lenta, Serratia plymuthica</w:t>
            </w:r>
          </w:p>
        </w:tc>
        <w:tc>
          <w:tcPr>
            <w:tcW w:w="1620" w:type="dxa"/>
            <w:tcBorders>
              <w:top w:val="nil"/>
              <w:left w:val="nil"/>
              <w:bottom w:val="single" w:sz="4" w:space="0" w:color="auto"/>
              <w:right w:val="single" w:sz="4" w:space="0" w:color="auto"/>
            </w:tcBorders>
            <w:shd w:val="clear" w:color="auto" w:fill="auto"/>
            <w:vAlign w:val="center"/>
            <w:hideMark/>
          </w:tcPr>
          <w:p w14:paraId="15E550AB" w14:textId="2D4DCF9F"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(also UK and with  plant consumption comparison), Human gut bacteria biotransformation, Human-associated bacteria cultured with bile acids, Zoo mammal fecal samples</w:t>
            </w:r>
            <w:r w:rsidR="00FE5FC4" w:rsidRPr="00901194">
              <w:rPr>
                <w:rFonts w:eastAsia="Times New Roman" w:cs="Times New Roman"/>
                <w:color w:val="000000"/>
              </w:rPr>
              <w:fldChar w:fldCharType="begin" w:fldLock="1"/>
            </w:r>
            <w:r w:rsidR="00FE5FC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FE5FC4" w:rsidRPr="00901194">
              <w:rPr>
                <w:rFonts w:eastAsia="Times New Roman" w:cs="Times New Roman"/>
                <w:color w:val="000000"/>
              </w:rPr>
              <w:fldChar w:fldCharType="separate"/>
            </w:r>
            <w:r w:rsidR="00FE5FC4" w:rsidRPr="00901194">
              <w:rPr>
                <w:rFonts w:eastAsia="Times New Roman" w:cs="Times New Roman"/>
                <w:noProof/>
                <w:color w:val="000000"/>
                <w:vertAlign w:val="superscript"/>
              </w:rPr>
              <w:t>231</w:t>
            </w:r>
            <w:r w:rsidR="00FE5FC4" w:rsidRPr="00901194">
              <w:rPr>
                <w:rFonts w:eastAsia="Times New Roman" w:cs="Times New Roman"/>
                <w:color w:val="000000"/>
              </w:rPr>
              <w:fldChar w:fldCharType="end"/>
            </w:r>
            <w:r w:rsidRPr="00901194">
              <w:rPr>
                <w:rFonts w:eastAsia="Times New Roman" w:cs="Times New Roman"/>
                <w:color w:val="000000"/>
              </w:rPr>
              <w:t>, Nobel twin study, Burger ingredients, Amerindians urbanization gradient, Human skin microbe isolates</w:t>
            </w:r>
            <w:r w:rsidR="00FE5FC4" w:rsidRPr="00901194">
              <w:rPr>
                <w:rFonts w:eastAsia="Times New Roman" w:cs="Times New Roman"/>
                <w:color w:val="000000"/>
              </w:rPr>
              <w:fldChar w:fldCharType="begin" w:fldLock="1"/>
            </w:r>
            <w:r w:rsidR="005777A3" w:rsidRPr="00901194">
              <w:rPr>
                <w:rFonts w:eastAsia="Times New Roman" w:cs="Times New Roman"/>
                <w:color w:val="000000"/>
              </w:rPr>
              <w:instrText>ADDIN CSL_CITATION {"citationItems":[{"id":"ITEM-1","itemData":{"DOI":"https://doi.org/10.1186/s40168-020-00831-y","author":[{"dropping-particle":"","family":"Timm","given":"Collin M","non-dropping-particle":"","parse-names":false,"suffix":""},{"dropping-particle":"","family":"Loomis","given":"Kristin","non-dropping-particle":"","parse-names":false,"suffix":""},{"dropping-particle":"","family":"Stone","given":"William","non-dropping-particle":"","parse-names":false,"suffix":""},{"dropping-particle":"","family":"Mehoke","given":"Thomas","non-dropping-particle":"","parse-names":false,"suffix":""},{"dropping-particle":"","family":"Brensinger","given":"Bryan","non-dropping-particle":"","parse-names":false,"suffix":""},{"dropping-particle":"","family":"Pellicore","given":"Matthew","non-dropping-particle":"","parse-names":false,"suffix":""},{"dropping-particle":"","family":"Staniczenko","given":"Phillip P A","non-dropping-particle":"","parse-names":false,"suffix":""},{"dropping-particle":"","family":"Charles","given":"Curtisha","non-dropping-particle":"","parse-names":false,"suffix":""},{"dropping-particle":"","family":"Nayak","given":"Seema","non-dropping-particle":"","parse-names":false,"suffix":""},{"dropping-particle":"","family":"Karig","given":"David K","non-dropping-particle":"","parse-names":false,"suffix":""}],"container-title":"Microbiome","id":"ITEM-1","issue":"58","issued":{"date-parts":[["2020"]]},"page":"1-12","publisher":"Microbiome","title":"Isolation and characterization of diverse microbial representatives from the human skin microbiome","type":"article-journal","volume":"8"},"uris":["http://www.mendeley.com/documents/?uuid=fdef6533-4e54-4cba-9505-c8ebd3ec1be0"]}],"mendeley":{"formattedCitation":"&lt;sup&gt;232&lt;/sup&gt;","plainTextFormattedCitation":"232","previouslyFormattedCitation":"&lt;sup&gt;232&lt;/sup&gt;"},"properties":{"noteIndex":0},"schema":"https://github.com/citation-style-language/schema/raw/master/csl-citation.json"}</w:instrText>
            </w:r>
            <w:r w:rsidR="00FE5FC4" w:rsidRPr="00901194">
              <w:rPr>
                <w:rFonts w:eastAsia="Times New Roman" w:cs="Times New Roman"/>
                <w:color w:val="000000"/>
              </w:rPr>
              <w:fldChar w:fldCharType="separate"/>
            </w:r>
            <w:r w:rsidR="00FE5FC4" w:rsidRPr="00901194">
              <w:rPr>
                <w:rFonts w:eastAsia="Times New Roman" w:cs="Times New Roman"/>
                <w:noProof/>
                <w:color w:val="000000"/>
                <w:vertAlign w:val="superscript"/>
              </w:rPr>
              <w:t>232</w:t>
            </w:r>
            <w:r w:rsidR="00FE5FC4"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1954622D" w14:textId="77777777" w:rsidR="00AC1FAA" w:rsidRPr="00901194" w:rsidRDefault="00000000" w:rsidP="00A3769A">
            <w:pPr>
              <w:spacing w:after="0" w:line="240" w:lineRule="auto"/>
              <w:jc w:val="center"/>
              <w:rPr>
                <w:rFonts w:eastAsia="Times New Roman" w:cs="Times New Roman"/>
                <w:color w:val="0563C1"/>
                <w:u w:val="single"/>
              </w:rPr>
            </w:pPr>
            <w:hyperlink r:id="rId189" w:history="1">
              <w:r w:rsidR="00AC1FAA" w:rsidRPr="00901194">
                <w:rPr>
                  <w:rFonts w:eastAsia="Times New Roman" w:cs="Times New Roman"/>
                  <w:color w:val="0563C1"/>
                  <w:u w:val="single"/>
                </w:rPr>
                <w:t>https://gnps.ucsd.edu/ProteoSAFe/status.jsp?task=63a8a19454df4473b3bcbab0a4023ce9</w:t>
              </w:r>
            </w:hyperlink>
          </w:p>
        </w:tc>
        <w:tc>
          <w:tcPr>
            <w:tcW w:w="2070" w:type="dxa"/>
            <w:tcBorders>
              <w:top w:val="nil"/>
              <w:left w:val="nil"/>
              <w:bottom w:val="single" w:sz="4" w:space="0" w:color="auto"/>
              <w:right w:val="single" w:sz="4" w:space="0" w:color="auto"/>
            </w:tcBorders>
            <w:shd w:val="clear" w:color="auto" w:fill="auto"/>
            <w:vAlign w:val="center"/>
            <w:hideMark/>
          </w:tcPr>
          <w:p w14:paraId="554718B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0509E92E"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4713C1B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Val-Ile (Valylisoleucine)</w:t>
            </w:r>
          </w:p>
        </w:tc>
        <w:tc>
          <w:tcPr>
            <w:tcW w:w="890" w:type="dxa"/>
            <w:tcBorders>
              <w:top w:val="nil"/>
              <w:left w:val="nil"/>
              <w:bottom w:val="single" w:sz="4" w:space="0" w:color="auto"/>
              <w:right w:val="single" w:sz="4" w:space="0" w:color="auto"/>
            </w:tcBorders>
            <w:shd w:val="clear" w:color="auto" w:fill="auto"/>
            <w:vAlign w:val="center"/>
            <w:hideMark/>
          </w:tcPr>
          <w:p w14:paraId="5BFC319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231.171</w:t>
            </w:r>
          </w:p>
        </w:tc>
        <w:tc>
          <w:tcPr>
            <w:tcW w:w="910" w:type="dxa"/>
            <w:tcBorders>
              <w:top w:val="nil"/>
              <w:left w:val="nil"/>
              <w:bottom w:val="single" w:sz="4" w:space="0" w:color="auto"/>
              <w:right w:val="single" w:sz="4" w:space="0" w:color="auto"/>
            </w:tcBorders>
            <w:shd w:val="clear" w:color="auto" w:fill="auto"/>
            <w:vAlign w:val="center"/>
            <w:hideMark/>
          </w:tcPr>
          <w:p w14:paraId="75078E6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2.82</w:t>
            </w:r>
          </w:p>
        </w:tc>
        <w:tc>
          <w:tcPr>
            <w:tcW w:w="1250" w:type="dxa"/>
            <w:tcBorders>
              <w:top w:val="nil"/>
              <w:left w:val="nil"/>
              <w:bottom w:val="single" w:sz="4" w:space="0" w:color="auto"/>
              <w:right w:val="single" w:sz="4" w:space="0" w:color="auto"/>
            </w:tcBorders>
            <w:shd w:val="clear" w:color="auto" w:fill="auto"/>
            <w:vAlign w:val="center"/>
            <w:hideMark/>
          </w:tcPr>
          <w:p w14:paraId="3DEFCF4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80 dataset matches</w:t>
            </w:r>
            <w:r w:rsidRPr="00901194">
              <w:rPr>
                <w:rFonts w:eastAsia="Times New Roman" w:cs="Times New Roman"/>
                <w:color w:val="000000"/>
              </w:rPr>
              <w:t>; 18 human, 11 mouse, 4 rat, 3 environmental samples, 6 food metagenome</w:t>
            </w:r>
            <w:r w:rsidRPr="00901194">
              <w:rPr>
                <w:rFonts w:eastAsia="Times New Roman" w:cs="Times New Roman"/>
                <w:color w:val="000000"/>
              </w:rPr>
              <w:lastRenderedPageBreak/>
              <w:t xml:space="preserve">, ~6 plant (thale cress, </w:t>
            </w:r>
            <w:r w:rsidRPr="00901194">
              <w:rPr>
                <w:rFonts w:eastAsia="Times New Roman" w:cs="Times New Roman"/>
                <w:i/>
                <w:iCs/>
                <w:color w:val="000000"/>
              </w:rPr>
              <w:t>Nicotiana benthamiana</w:t>
            </w:r>
            <w:r w:rsidRPr="00901194">
              <w:rPr>
                <w:rFonts w:eastAsia="Times New Roman" w:cs="Times New Roman"/>
                <w:color w:val="000000"/>
              </w:rPr>
              <w:t>, tomato, cotton)</w:t>
            </w:r>
          </w:p>
        </w:tc>
        <w:tc>
          <w:tcPr>
            <w:tcW w:w="1710" w:type="dxa"/>
            <w:tcBorders>
              <w:top w:val="nil"/>
              <w:left w:val="nil"/>
              <w:bottom w:val="single" w:sz="4" w:space="0" w:color="auto"/>
              <w:right w:val="single" w:sz="4" w:space="0" w:color="auto"/>
            </w:tcBorders>
            <w:shd w:val="clear" w:color="auto" w:fill="auto"/>
            <w:vAlign w:val="center"/>
            <w:hideMark/>
          </w:tcPr>
          <w:p w14:paraId="33EEBA92"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lastRenderedPageBreak/>
              <w:t>Staphylococcus, Bacteroides, Akkermansia, Bifidobacterium, Pseudomonas, Actinomycete, Streptomyces, Alteromonas</w:t>
            </w:r>
          </w:p>
        </w:tc>
        <w:tc>
          <w:tcPr>
            <w:tcW w:w="1620" w:type="dxa"/>
            <w:tcBorders>
              <w:top w:val="nil"/>
              <w:left w:val="nil"/>
              <w:bottom w:val="single" w:sz="4" w:space="0" w:color="auto"/>
              <w:right w:val="single" w:sz="4" w:space="0" w:color="auto"/>
            </w:tcBorders>
            <w:shd w:val="clear" w:color="auto" w:fill="auto"/>
            <w:vAlign w:val="center"/>
            <w:hideMark/>
          </w:tcPr>
          <w:p w14:paraId="6878313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Human gut bacteria biotransformation, American gut (also UK), ONR Primary Wright, Burger ingredients, Human fecal </w:t>
            </w:r>
            <w:r w:rsidRPr="00901194">
              <w:rPr>
                <w:rFonts w:eastAsia="Times New Roman" w:cs="Times New Roman"/>
                <w:color w:val="000000"/>
              </w:rPr>
              <w:lastRenderedPageBreak/>
              <w:t>material standards</w:t>
            </w:r>
          </w:p>
        </w:tc>
        <w:tc>
          <w:tcPr>
            <w:tcW w:w="1710" w:type="dxa"/>
            <w:tcBorders>
              <w:top w:val="nil"/>
              <w:left w:val="nil"/>
              <w:bottom w:val="single" w:sz="4" w:space="0" w:color="auto"/>
              <w:right w:val="single" w:sz="4" w:space="0" w:color="auto"/>
            </w:tcBorders>
            <w:shd w:val="clear" w:color="auto" w:fill="auto"/>
            <w:vAlign w:val="center"/>
            <w:hideMark/>
          </w:tcPr>
          <w:p w14:paraId="66057521" w14:textId="77777777" w:rsidR="00AC1FAA" w:rsidRPr="00901194" w:rsidRDefault="00000000" w:rsidP="00A3769A">
            <w:pPr>
              <w:spacing w:after="0" w:line="240" w:lineRule="auto"/>
              <w:jc w:val="center"/>
              <w:rPr>
                <w:rFonts w:eastAsia="Times New Roman" w:cs="Times New Roman"/>
                <w:color w:val="0563C1"/>
                <w:u w:val="single"/>
              </w:rPr>
            </w:pPr>
            <w:hyperlink r:id="rId190" w:history="1">
              <w:r w:rsidR="00AC1FAA" w:rsidRPr="00901194">
                <w:rPr>
                  <w:rFonts w:eastAsia="Times New Roman" w:cs="Times New Roman"/>
                  <w:color w:val="0563C1"/>
                  <w:u w:val="single"/>
                </w:rPr>
                <w:t>https://gnps.ucsd.edu/ProteoSAFe/status.jsp?task=c96f435a91334e1fb38bcd1d0c111a11</w:t>
              </w:r>
            </w:hyperlink>
          </w:p>
        </w:tc>
        <w:tc>
          <w:tcPr>
            <w:tcW w:w="2070" w:type="dxa"/>
            <w:tcBorders>
              <w:top w:val="nil"/>
              <w:left w:val="nil"/>
              <w:bottom w:val="single" w:sz="4" w:space="0" w:color="auto"/>
              <w:right w:val="single" w:sz="4" w:space="0" w:color="auto"/>
            </w:tcBorders>
            <w:shd w:val="clear" w:color="auto" w:fill="auto"/>
            <w:vAlign w:val="center"/>
            <w:hideMark/>
          </w:tcPr>
          <w:p w14:paraId="7A6B64E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1E98CD78" w14:textId="77777777" w:rsidTr="00AC1FAA">
        <w:trPr>
          <w:trHeight w:val="3329"/>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8432A4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cis-9-Hexadecenoic acid (Palmitoleic acid)</w:t>
            </w:r>
          </w:p>
        </w:tc>
        <w:tc>
          <w:tcPr>
            <w:tcW w:w="890" w:type="dxa"/>
            <w:tcBorders>
              <w:top w:val="nil"/>
              <w:left w:val="nil"/>
              <w:bottom w:val="single" w:sz="4" w:space="0" w:color="auto"/>
              <w:right w:val="single" w:sz="4" w:space="0" w:color="auto"/>
            </w:tcBorders>
            <w:shd w:val="clear" w:color="auto" w:fill="auto"/>
            <w:vAlign w:val="center"/>
            <w:hideMark/>
          </w:tcPr>
          <w:p w14:paraId="73BACCB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237.221</w:t>
            </w:r>
          </w:p>
        </w:tc>
        <w:tc>
          <w:tcPr>
            <w:tcW w:w="910" w:type="dxa"/>
            <w:tcBorders>
              <w:top w:val="nil"/>
              <w:left w:val="nil"/>
              <w:bottom w:val="single" w:sz="4" w:space="0" w:color="auto"/>
              <w:right w:val="single" w:sz="4" w:space="0" w:color="auto"/>
            </w:tcBorders>
            <w:shd w:val="clear" w:color="auto" w:fill="auto"/>
            <w:vAlign w:val="center"/>
            <w:hideMark/>
          </w:tcPr>
          <w:p w14:paraId="604BCB1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6.49</w:t>
            </w:r>
          </w:p>
        </w:tc>
        <w:tc>
          <w:tcPr>
            <w:tcW w:w="1250" w:type="dxa"/>
            <w:tcBorders>
              <w:top w:val="nil"/>
              <w:left w:val="nil"/>
              <w:bottom w:val="single" w:sz="4" w:space="0" w:color="auto"/>
              <w:right w:val="single" w:sz="4" w:space="0" w:color="auto"/>
            </w:tcBorders>
            <w:shd w:val="clear" w:color="auto" w:fill="auto"/>
            <w:vAlign w:val="center"/>
            <w:hideMark/>
          </w:tcPr>
          <w:p w14:paraId="56BBFA8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73 dataset matches</w:t>
            </w:r>
            <w:r w:rsidRPr="00901194">
              <w:rPr>
                <w:rFonts w:eastAsia="Times New Roman" w:cs="Times New Roman"/>
                <w:color w:val="000000"/>
              </w:rPr>
              <w:t>; 33 human, 14 mouse, 4 rat, 5 environmental samples (also built environment), ~6 plant (tomato, corn, sugarcane)</w:t>
            </w:r>
          </w:p>
        </w:tc>
        <w:tc>
          <w:tcPr>
            <w:tcW w:w="1710" w:type="dxa"/>
            <w:tcBorders>
              <w:top w:val="nil"/>
              <w:left w:val="nil"/>
              <w:bottom w:val="single" w:sz="4" w:space="0" w:color="auto"/>
              <w:right w:val="single" w:sz="4" w:space="0" w:color="auto"/>
            </w:tcBorders>
            <w:shd w:val="clear" w:color="auto" w:fill="auto"/>
            <w:vAlign w:val="center"/>
            <w:hideMark/>
          </w:tcPr>
          <w:p w14:paraId="048671C6"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Bacillus subtilis, Bacteroides, Bifidobacterium, Akkermansia, Lactobacillus, Cyanobacteria, Marinobacter, Prochlorococcus marinus, Rothia</w:t>
            </w:r>
          </w:p>
        </w:tc>
        <w:tc>
          <w:tcPr>
            <w:tcW w:w="1620" w:type="dxa"/>
            <w:tcBorders>
              <w:top w:val="nil"/>
              <w:left w:val="nil"/>
              <w:bottom w:val="single" w:sz="4" w:space="0" w:color="auto"/>
              <w:right w:val="single" w:sz="4" w:space="0" w:color="auto"/>
            </w:tcBorders>
            <w:shd w:val="clear" w:color="auto" w:fill="auto"/>
            <w:vAlign w:val="center"/>
            <w:hideMark/>
          </w:tcPr>
          <w:p w14:paraId="34C767E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American Gut (subset for plant consumption comparison), ONR primary Wright, burger ingredients, Amerindians urbanization gradient, Nobel twin study</w:t>
            </w:r>
          </w:p>
        </w:tc>
        <w:tc>
          <w:tcPr>
            <w:tcW w:w="1710" w:type="dxa"/>
            <w:tcBorders>
              <w:top w:val="nil"/>
              <w:left w:val="nil"/>
              <w:bottom w:val="single" w:sz="4" w:space="0" w:color="auto"/>
              <w:right w:val="single" w:sz="4" w:space="0" w:color="auto"/>
            </w:tcBorders>
            <w:shd w:val="clear" w:color="auto" w:fill="auto"/>
            <w:vAlign w:val="center"/>
            <w:hideMark/>
          </w:tcPr>
          <w:p w14:paraId="60EA2B36" w14:textId="77777777" w:rsidR="00AC1FAA" w:rsidRPr="00901194" w:rsidRDefault="00000000" w:rsidP="00A3769A">
            <w:pPr>
              <w:spacing w:after="0" w:line="240" w:lineRule="auto"/>
              <w:jc w:val="center"/>
              <w:rPr>
                <w:rFonts w:eastAsia="Times New Roman" w:cs="Times New Roman"/>
                <w:color w:val="0563C1"/>
                <w:u w:val="single"/>
              </w:rPr>
            </w:pPr>
            <w:hyperlink r:id="rId191" w:history="1">
              <w:r w:rsidR="00AC1FAA" w:rsidRPr="00901194">
                <w:rPr>
                  <w:rFonts w:eastAsia="Times New Roman" w:cs="Times New Roman"/>
                  <w:color w:val="0563C1"/>
                  <w:u w:val="single"/>
                </w:rPr>
                <w:t>https://gnps.ucsd.edu/ProteoSAFe/status.jsp?task=d3eed7e162f24c3ab3b2c1c3e2e98785</w:t>
              </w:r>
            </w:hyperlink>
          </w:p>
        </w:tc>
        <w:tc>
          <w:tcPr>
            <w:tcW w:w="2070" w:type="dxa"/>
            <w:tcBorders>
              <w:top w:val="nil"/>
              <w:left w:val="nil"/>
              <w:bottom w:val="single" w:sz="4" w:space="0" w:color="auto"/>
              <w:right w:val="single" w:sz="4" w:space="0" w:color="auto"/>
            </w:tcBorders>
            <w:shd w:val="clear" w:color="auto" w:fill="auto"/>
            <w:vAlign w:val="center"/>
            <w:hideMark/>
          </w:tcPr>
          <w:p w14:paraId="1288A11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70578347" w14:textId="77777777" w:rsidTr="00AC1FAA">
        <w:trPr>
          <w:trHeight w:val="33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70F2D7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Gly-Tyr (Glycyltyrosine)</w:t>
            </w:r>
          </w:p>
        </w:tc>
        <w:tc>
          <w:tcPr>
            <w:tcW w:w="890" w:type="dxa"/>
            <w:tcBorders>
              <w:top w:val="nil"/>
              <w:left w:val="nil"/>
              <w:bottom w:val="single" w:sz="4" w:space="0" w:color="auto"/>
              <w:right w:val="single" w:sz="4" w:space="0" w:color="auto"/>
            </w:tcBorders>
            <w:shd w:val="clear" w:color="auto" w:fill="auto"/>
            <w:vAlign w:val="center"/>
            <w:hideMark/>
          </w:tcPr>
          <w:p w14:paraId="4C5002E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239.102</w:t>
            </w:r>
          </w:p>
        </w:tc>
        <w:tc>
          <w:tcPr>
            <w:tcW w:w="910" w:type="dxa"/>
            <w:tcBorders>
              <w:top w:val="nil"/>
              <w:left w:val="nil"/>
              <w:bottom w:val="single" w:sz="4" w:space="0" w:color="auto"/>
              <w:right w:val="single" w:sz="4" w:space="0" w:color="auto"/>
            </w:tcBorders>
            <w:shd w:val="clear" w:color="auto" w:fill="auto"/>
            <w:vAlign w:val="center"/>
            <w:hideMark/>
          </w:tcPr>
          <w:p w14:paraId="348C152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0.44</w:t>
            </w:r>
          </w:p>
        </w:tc>
        <w:tc>
          <w:tcPr>
            <w:tcW w:w="1250" w:type="dxa"/>
            <w:tcBorders>
              <w:top w:val="nil"/>
              <w:left w:val="nil"/>
              <w:bottom w:val="single" w:sz="4" w:space="0" w:color="auto"/>
              <w:right w:val="single" w:sz="4" w:space="0" w:color="auto"/>
            </w:tcBorders>
            <w:shd w:val="clear" w:color="auto" w:fill="auto"/>
            <w:vAlign w:val="center"/>
            <w:hideMark/>
          </w:tcPr>
          <w:p w14:paraId="7D13A28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34 dataset matches</w:t>
            </w:r>
            <w:r w:rsidRPr="00901194">
              <w:rPr>
                <w:rFonts w:eastAsia="Times New Roman" w:cs="Times New Roman"/>
                <w:color w:val="000000"/>
              </w:rPr>
              <w:t>; 13 human, 10 mouse, 1 rat, 3 environmental samples, ~2 plant (tomato, potato)</w:t>
            </w:r>
          </w:p>
        </w:tc>
        <w:tc>
          <w:tcPr>
            <w:tcW w:w="1710" w:type="dxa"/>
            <w:tcBorders>
              <w:top w:val="nil"/>
              <w:left w:val="nil"/>
              <w:bottom w:val="single" w:sz="4" w:space="0" w:color="auto"/>
              <w:right w:val="single" w:sz="4" w:space="0" w:color="auto"/>
            </w:tcBorders>
            <w:shd w:val="clear" w:color="auto" w:fill="auto"/>
            <w:vAlign w:val="center"/>
            <w:hideMark/>
          </w:tcPr>
          <w:p w14:paraId="754FD5F5"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Staphylococcus aureus, Bacteroides, Akkermansia, Bifidobacterium</w:t>
            </w:r>
          </w:p>
        </w:tc>
        <w:tc>
          <w:tcPr>
            <w:tcW w:w="1620" w:type="dxa"/>
            <w:tcBorders>
              <w:top w:val="nil"/>
              <w:left w:val="nil"/>
              <w:bottom w:val="single" w:sz="4" w:space="0" w:color="auto"/>
              <w:right w:val="single" w:sz="4" w:space="0" w:color="auto"/>
            </w:tcBorders>
            <w:shd w:val="clear" w:color="auto" w:fill="auto"/>
            <w:vAlign w:val="center"/>
            <w:hideMark/>
          </w:tcPr>
          <w:p w14:paraId="12D0170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Human-associated bacteria cultured with bile acids, anti-inflammatory diet in rheumatoid arthritis patients</w:t>
            </w:r>
          </w:p>
        </w:tc>
        <w:tc>
          <w:tcPr>
            <w:tcW w:w="1710" w:type="dxa"/>
            <w:tcBorders>
              <w:top w:val="nil"/>
              <w:left w:val="nil"/>
              <w:bottom w:val="single" w:sz="4" w:space="0" w:color="auto"/>
              <w:right w:val="single" w:sz="4" w:space="0" w:color="auto"/>
            </w:tcBorders>
            <w:shd w:val="clear" w:color="auto" w:fill="auto"/>
            <w:vAlign w:val="center"/>
            <w:hideMark/>
          </w:tcPr>
          <w:p w14:paraId="540F7D12" w14:textId="77777777" w:rsidR="00AC1FAA" w:rsidRPr="00901194" w:rsidRDefault="00000000" w:rsidP="00A3769A">
            <w:pPr>
              <w:spacing w:after="0" w:line="240" w:lineRule="auto"/>
              <w:jc w:val="center"/>
              <w:rPr>
                <w:rFonts w:eastAsia="Times New Roman" w:cs="Times New Roman"/>
                <w:color w:val="0563C1"/>
                <w:u w:val="single"/>
              </w:rPr>
            </w:pPr>
            <w:hyperlink r:id="rId192" w:history="1">
              <w:r w:rsidR="00AC1FAA" w:rsidRPr="00901194">
                <w:rPr>
                  <w:rFonts w:eastAsia="Times New Roman" w:cs="Times New Roman"/>
                  <w:color w:val="0563C1"/>
                  <w:u w:val="single"/>
                </w:rPr>
                <w:t>https://gnps.ucsd.edu/ProteoSAFe/status.jsp?task=ecdd1a94b14a4822a4466ca3c86b4bab</w:t>
              </w:r>
            </w:hyperlink>
          </w:p>
        </w:tc>
        <w:tc>
          <w:tcPr>
            <w:tcW w:w="2070" w:type="dxa"/>
            <w:tcBorders>
              <w:top w:val="nil"/>
              <w:left w:val="nil"/>
              <w:bottom w:val="single" w:sz="4" w:space="0" w:color="auto"/>
              <w:right w:val="single" w:sz="4" w:space="0" w:color="auto"/>
            </w:tcBorders>
            <w:shd w:val="clear" w:color="auto" w:fill="auto"/>
            <w:vAlign w:val="center"/>
            <w:hideMark/>
          </w:tcPr>
          <w:p w14:paraId="713DF11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3502C45E" w14:textId="77777777" w:rsidTr="00AC1FAA">
        <w:trPr>
          <w:trHeight w:val="33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8543F5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Biotin</w:t>
            </w:r>
          </w:p>
        </w:tc>
        <w:tc>
          <w:tcPr>
            <w:tcW w:w="890" w:type="dxa"/>
            <w:tcBorders>
              <w:top w:val="nil"/>
              <w:left w:val="nil"/>
              <w:bottom w:val="single" w:sz="4" w:space="0" w:color="auto"/>
              <w:right w:val="single" w:sz="4" w:space="0" w:color="auto"/>
            </w:tcBorders>
            <w:shd w:val="clear" w:color="auto" w:fill="auto"/>
            <w:vAlign w:val="center"/>
            <w:hideMark/>
          </w:tcPr>
          <w:p w14:paraId="030ED2E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245.098</w:t>
            </w:r>
          </w:p>
        </w:tc>
        <w:tc>
          <w:tcPr>
            <w:tcW w:w="910" w:type="dxa"/>
            <w:tcBorders>
              <w:top w:val="nil"/>
              <w:left w:val="nil"/>
              <w:bottom w:val="single" w:sz="4" w:space="0" w:color="auto"/>
              <w:right w:val="single" w:sz="4" w:space="0" w:color="auto"/>
            </w:tcBorders>
            <w:shd w:val="clear" w:color="auto" w:fill="auto"/>
            <w:vAlign w:val="center"/>
            <w:hideMark/>
          </w:tcPr>
          <w:p w14:paraId="6ABCFF9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2.39</w:t>
            </w:r>
          </w:p>
        </w:tc>
        <w:tc>
          <w:tcPr>
            <w:tcW w:w="1250" w:type="dxa"/>
            <w:tcBorders>
              <w:top w:val="nil"/>
              <w:left w:val="nil"/>
              <w:bottom w:val="single" w:sz="4" w:space="0" w:color="auto"/>
              <w:right w:val="single" w:sz="4" w:space="0" w:color="auto"/>
            </w:tcBorders>
            <w:shd w:val="clear" w:color="auto" w:fill="auto"/>
            <w:vAlign w:val="center"/>
            <w:hideMark/>
          </w:tcPr>
          <w:p w14:paraId="6FA7303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No results</w:t>
            </w:r>
          </w:p>
        </w:tc>
        <w:tc>
          <w:tcPr>
            <w:tcW w:w="1710" w:type="dxa"/>
            <w:tcBorders>
              <w:top w:val="nil"/>
              <w:left w:val="nil"/>
              <w:bottom w:val="single" w:sz="4" w:space="0" w:color="auto"/>
              <w:right w:val="single" w:sz="4" w:space="0" w:color="auto"/>
            </w:tcBorders>
            <w:shd w:val="clear" w:color="auto" w:fill="auto"/>
            <w:vAlign w:val="center"/>
            <w:hideMark/>
          </w:tcPr>
          <w:p w14:paraId="7BF2447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183A4F6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1004A365" w14:textId="77777777" w:rsidR="00AC1FAA" w:rsidRPr="00901194" w:rsidRDefault="00000000" w:rsidP="00A3769A">
            <w:pPr>
              <w:spacing w:after="0" w:line="240" w:lineRule="auto"/>
              <w:jc w:val="center"/>
              <w:rPr>
                <w:rFonts w:eastAsia="Times New Roman" w:cs="Times New Roman"/>
                <w:color w:val="0563C1"/>
                <w:u w:val="single"/>
              </w:rPr>
            </w:pPr>
            <w:hyperlink r:id="rId193" w:history="1">
              <w:r w:rsidR="00AC1FAA" w:rsidRPr="00901194">
                <w:rPr>
                  <w:rFonts w:eastAsia="Times New Roman" w:cs="Times New Roman"/>
                  <w:color w:val="0563C1"/>
                  <w:u w:val="single"/>
                </w:rPr>
                <w:t>https://gnps.ucsd.edu/ProteoSAFe/status.jsp?task=7e05ee9c085e492a871eb3bea1d24f50</w:t>
              </w:r>
            </w:hyperlink>
          </w:p>
        </w:tc>
        <w:tc>
          <w:tcPr>
            <w:tcW w:w="2070" w:type="dxa"/>
            <w:tcBorders>
              <w:top w:val="nil"/>
              <w:left w:val="nil"/>
              <w:bottom w:val="single" w:sz="4" w:space="0" w:color="auto"/>
              <w:right w:val="single" w:sz="4" w:space="0" w:color="auto"/>
            </w:tcBorders>
            <w:shd w:val="clear" w:color="auto" w:fill="auto"/>
            <w:vAlign w:val="center"/>
            <w:hideMark/>
          </w:tcPr>
          <w:p w14:paraId="1CFD1B0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5690D49C"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4634286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Leu-Leu (Leucylleucine)</w:t>
            </w:r>
          </w:p>
        </w:tc>
        <w:tc>
          <w:tcPr>
            <w:tcW w:w="890" w:type="dxa"/>
            <w:tcBorders>
              <w:top w:val="nil"/>
              <w:left w:val="nil"/>
              <w:bottom w:val="single" w:sz="4" w:space="0" w:color="auto"/>
              <w:right w:val="single" w:sz="4" w:space="0" w:color="auto"/>
            </w:tcBorders>
            <w:shd w:val="clear" w:color="auto" w:fill="auto"/>
            <w:vAlign w:val="center"/>
            <w:hideMark/>
          </w:tcPr>
          <w:p w14:paraId="59FF0AF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245.186</w:t>
            </w:r>
          </w:p>
        </w:tc>
        <w:tc>
          <w:tcPr>
            <w:tcW w:w="910" w:type="dxa"/>
            <w:tcBorders>
              <w:top w:val="nil"/>
              <w:left w:val="nil"/>
              <w:bottom w:val="single" w:sz="4" w:space="0" w:color="auto"/>
              <w:right w:val="single" w:sz="4" w:space="0" w:color="auto"/>
            </w:tcBorders>
            <w:shd w:val="clear" w:color="auto" w:fill="auto"/>
            <w:vAlign w:val="center"/>
            <w:hideMark/>
          </w:tcPr>
          <w:p w14:paraId="2853FF1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2.40</w:t>
            </w:r>
          </w:p>
        </w:tc>
        <w:tc>
          <w:tcPr>
            <w:tcW w:w="1250" w:type="dxa"/>
            <w:tcBorders>
              <w:top w:val="nil"/>
              <w:left w:val="nil"/>
              <w:bottom w:val="single" w:sz="4" w:space="0" w:color="auto"/>
              <w:right w:val="single" w:sz="4" w:space="0" w:color="auto"/>
            </w:tcBorders>
            <w:shd w:val="clear" w:color="auto" w:fill="auto"/>
            <w:vAlign w:val="center"/>
            <w:hideMark/>
          </w:tcPr>
          <w:p w14:paraId="396D138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190 dataset matches</w:t>
            </w:r>
            <w:r w:rsidRPr="00901194">
              <w:rPr>
                <w:rFonts w:eastAsia="Times New Roman" w:cs="Times New Roman"/>
                <w:color w:val="000000"/>
              </w:rPr>
              <w:t xml:space="preserve">; 60 human, 30 mouse, 5 rat, 16 environment (also built environment), 13 food metagenome, ~14 plant (tomato, potato, melon, corn, malus, cotton, </w:t>
            </w:r>
            <w:r w:rsidRPr="00901194">
              <w:rPr>
                <w:rFonts w:eastAsia="Times New Roman" w:cs="Times New Roman"/>
                <w:i/>
                <w:iCs/>
                <w:color w:val="000000"/>
              </w:rPr>
              <w:t>Nicotiana benthamiana</w:t>
            </w:r>
            <w:r w:rsidRPr="00901194">
              <w:rPr>
                <w:rFonts w:eastAsia="Times New Roman" w:cs="Times New Roman"/>
                <w:color w:val="000000"/>
              </w:rPr>
              <w:t>, oranges)</w:t>
            </w:r>
          </w:p>
        </w:tc>
        <w:tc>
          <w:tcPr>
            <w:tcW w:w="1710" w:type="dxa"/>
            <w:tcBorders>
              <w:top w:val="nil"/>
              <w:left w:val="nil"/>
              <w:bottom w:val="single" w:sz="4" w:space="0" w:color="auto"/>
              <w:right w:val="single" w:sz="4" w:space="0" w:color="auto"/>
            </w:tcBorders>
            <w:shd w:val="clear" w:color="auto" w:fill="auto"/>
            <w:vAlign w:val="center"/>
            <w:hideMark/>
          </w:tcPr>
          <w:p w14:paraId="28921E05"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E. coli, Staphylococcus aureus, Pseudomonas, Streptomyces, Nocardia, Bacillus, Burkholderia, Eggerthella lenta, Bacteroides, Akkermansia, Bifidobacterium, Lactobacillus, Roseburia, Paenibacillus, Alteromonas, Amycolaptosis, Xanthomonas citri, Actinomycete</w:t>
            </w:r>
          </w:p>
        </w:tc>
        <w:tc>
          <w:tcPr>
            <w:tcW w:w="1620" w:type="dxa"/>
            <w:tcBorders>
              <w:top w:val="nil"/>
              <w:left w:val="nil"/>
              <w:bottom w:val="single" w:sz="4" w:space="0" w:color="auto"/>
              <w:right w:val="single" w:sz="4" w:space="0" w:color="auto"/>
            </w:tcBorders>
            <w:shd w:val="clear" w:color="auto" w:fill="auto"/>
            <w:vAlign w:val="center"/>
            <w:hideMark/>
          </w:tcPr>
          <w:p w14:paraId="08967DB6" w14:textId="7905345A"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(with  plant consumption comparison), Human gut bacteria biotransformation, Burger ingredients, Human-associated bacteria cultured with bile acids, ONR human diet, ONR primary wright, Human skin microbiome isolates</w:t>
            </w:r>
            <w:r w:rsidR="005777A3" w:rsidRPr="00901194">
              <w:rPr>
                <w:rFonts w:eastAsia="Times New Roman" w:cs="Times New Roman"/>
                <w:color w:val="000000"/>
              </w:rPr>
              <w:fldChar w:fldCharType="begin" w:fldLock="1"/>
            </w:r>
            <w:r w:rsidR="005777A3" w:rsidRPr="00901194">
              <w:rPr>
                <w:rFonts w:eastAsia="Times New Roman" w:cs="Times New Roman"/>
                <w:color w:val="000000"/>
              </w:rPr>
              <w:instrText>ADDIN CSL_CITATION {"citationItems":[{"id":"ITEM-1","itemData":{"DOI":"https://doi.org/10.1186/s40168-020-00831-y","author":[{"dropping-particle":"","family":"Timm","given":"Collin M","non-dropping-particle":"","parse-names":false,"suffix":""},{"dropping-particle":"","family":"Loomis","given":"Kristin","non-dropping-particle":"","parse-names":false,"suffix":""},{"dropping-particle":"","family":"Stone","given":"William","non-dropping-particle":"","parse-names":false,"suffix":""},{"dropping-particle":"","family":"Mehoke","given":"Thomas","non-dropping-particle":"","parse-names":false,"suffix":""},{"dropping-particle":"","family":"Brensinger","given":"Bryan","non-dropping-particle":"","parse-names":false,"suffix":""},{"dropping-particle":"","family":"Pellicore","given":"Matthew","non-dropping-particle":"","parse-names":false,"suffix":""},{"dropping-particle":"","family":"Staniczenko","given":"Phillip P A","non-dropping-particle":"","parse-names":false,"suffix":""},{"dropping-particle":"","family":"Charles","given":"Curtisha","non-dropping-particle":"","parse-names":false,"suffix":""},{"dropping-particle":"","family":"Nayak","given":"Seema","non-dropping-particle":"","parse-names":false,"suffix":""},{"dropping-particle":"","family":"Karig","given":"David K","non-dropping-particle":"","parse-names":false,"suffix":""}],"container-title":"Microbiome","id":"ITEM-1","issue":"58","issued":{"date-parts":[["2020"]]},"page":"1-12","publisher":"Microbiome","title":"Isolation and characterization of diverse microbial representatives from the human skin microbiome","type":"article-journal","volume":"8"},"uris":["http://www.mendeley.com/documents/?uuid=fdef6533-4e54-4cba-9505-c8ebd3ec1be0"]}],"mendeley":{"formattedCitation":"&lt;sup&gt;232&lt;/sup&gt;","plainTextFormattedCitation":"232","previouslyFormattedCitation":"&lt;sup&gt;232&lt;/sup&gt;"},"properties":{"noteIndex":0},"schema":"https://github.com/citation-style-language/schema/raw/master/csl-citation.json"}</w:instrText>
            </w:r>
            <w:r w:rsidR="005777A3" w:rsidRPr="00901194">
              <w:rPr>
                <w:rFonts w:eastAsia="Times New Roman" w:cs="Times New Roman"/>
                <w:color w:val="000000"/>
              </w:rPr>
              <w:fldChar w:fldCharType="separate"/>
            </w:r>
            <w:r w:rsidR="005777A3" w:rsidRPr="00901194">
              <w:rPr>
                <w:rFonts w:eastAsia="Times New Roman" w:cs="Times New Roman"/>
                <w:noProof/>
                <w:color w:val="000000"/>
                <w:vertAlign w:val="superscript"/>
              </w:rPr>
              <w:t>232</w:t>
            </w:r>
            <w:r w:rsidR="005777A3" w:rsidRPr="00901194">
              <w:rPr>
                <w:rFonts w:eastAsia="Times New Roman" w:cs="Times New Roman"/>
                <w:color w:val="000000"/>
              </w:rPr>
              <w:fldChar w:fldCharType="end"/>
            </w:r>
            <w:r w:rsidRPr="00901194">
              <w:rPr>
                <w:rFonts w:eastAsia="Times New Roman" w:cs="Times New Roman"/>
                <w:color w:val="000000"/>
              </w:rPr>
              <w:t xml:space="preserve">, Amazon </w:t>
            </w:r>
            <w:r w:rsidRPr="00901194">
              <w:rPr>
                <w:rFonts w:eastAsia="Times New Roman" w:cs="Times New Roman"/>
                <w:color w:val="000000"/>
              </w:rPr>
              <w:lastRenderedPageBreak/>
              <w:t>urbanization housing analysis, Zoo mammal fecal samples</w:t>
            </w:r>
            <w:r w:rsidR="005777A3"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5777A3" w:rsidRPr="00901194">
              <w:rPr>
                <w:rFonts w:eastAsia="Times New Roman" w:cs="Times New Roman"/>
                <w:color w:val="000000"/>
              </w:rPr>
              <w:fldChar w:fldCharType="separate"/>
            </w:r>
            <w:r w:rsidR="005777A3" w:rsidRPr="00901194">
              <w:rPr>
                <w:rFonts w:eastAsia="Times New Roman" w:cs="Times New Roman"/>
                <w:noProof/>
                <w:color w:val="000000"/>
                <w:vertAlign w:val="superscript"/>
              </w:rPr>
              <w:t>231</w:t>
            </w:r>
            <w:r w:rsidR="005777A3" w:rsidRPr="00901194">
              <w:rPr>
                <w:rFonts w:eastAsia="Times New Roman" w:cs="Times New Roman"/>
                <w:color w:val="000000"/>
              </w:rPr>
              <w:fldChar w:fldCharType="end"/>
            </w:r>
            <w:r w:rsidRPr="00901194">
              <w:rPr>
                <w:rFonts w:eastAsia="Times New Roman" w:cs="Times New Roman"/>
                <w:color w:val="000000"/>
              </w:rPr>
              <w:t>,  Ancient DNA teeth, Anti-inflammatory diet of rheumatoid arthritis patients, Amazon skin and environmental samples</w:t>
            </w:r>
          </w:p>
        </w:tc>
        <w:tc>
          <w:tcPr>
            <w:tcW w:w="1710" w:type="dxa"/>
            <w:tcBorders>
              <w:top w:val="nil"/>
              <w:left w:val="nil"/>
              <w:bottom w:val="single" w:sz="4" w:space="0" w:color="auto"/>
              <w:right w:val="single" w:sz="4" w:space="0" w:color="auto"/>
            </w:tcBorders>
            <w:shd w:val="clear" w:color="auto" w:fill="auto"/>
            <w:vAlign w:val="center"/>
            <w:hideMark/>
          </w:tcPr>
          <w:p w14:paraId="10616512" w14:textId="05673A78" w:rsidR="00AC1FAA" w:rsidRPr="00901194" w:rsidRDefault="00000000" w:rsidP="00A3769A">
            <w:pPr>
              <w:spacing w:after="0" w:line="240" w:lineRule="auto"/>
              <w:jc w:val="center"/>
              <w:rPr>
                <w:rFonts w:eastAsia="Times New Roman" w:cs="Times New Roman"/>
                <w:color w:val="0563C1"/>
                <w:u w:val="single"/>
              </w:rPr>
            </w:pPr>
            <w:hyperlink r:id="rId194" w:history="1">
              <w:r w:rsidR="00040784" w:rsidRPr="00901194">
                <w:rPr>
                  <w:rStyle w:val="Hyperlink"/>
                  <w:rFonts w:eastAsia="Times New Roman" w:cs="Times New Roman"/>
                </w:rPr>
                <w:t>https://gnps.ucsd.edu/ProteoSAFe/status.jsp?task=5362cc2f00994eeba80d4bc3db7954e0</w:t>
              </w:r>
            </w:hyperlink>
          </w:p>
        </w:tc>
        <w:tc>
          <w:tcPr>
            <w:tcW w:w="2070" w:type="dxa"/>
            <w:tcBorders>
              <w:top w:val="nil"/>
              <w:left w:val="nil"/>
              <w:bottom w:val="single" w:sz="4" w:space="0" w:color="auto"/>
              <w:right w:val="single" w:sz="4" w:space="0" w:color="auto"/>
            </w:tcBorders>
            <w:shd w:val="clear" w:color="auto" w:fill="auto"/>
            <w:vAlign w:val="center"/>
            <w:hideMark/>
          </w:tcPr>
          <w:p w14:paraId="036F0EA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5374588"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0D393F4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Lenticin</w:t>
            </w:r>
          </w:p>
        </w:tc>
        <w:tc>
          <w:tcPr>
            <w:tcW w:w="890" w:type="dxa"/>
            <w:tcBorders>
              <w:top w:val="nil"/>
              <w:left w:val="nil"/>
              <w:bottom w:val="single" w:sz="4" w:space="0" w:color="auto"/>
              <w:right w:val="single" w:sz="4" w:space="0" w:color="auto"/>
            </w:tcBorders>
            <w:shd w:val="clear" w:color="auto" w:fill="auto"/>
            <w:vAlign w:val="center"/>
            <w:hideMark/>
          </w:tcPr>
          <w:p w14:paraId="683CB7F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247.145</w:t>
            </w:r>
          </w:p>
        </w:tc>
        <w:tc>
          <w:tcPr>
            <w:tcW w:w="910" w:type="dxa"/>
            <w:tcBorders>
              <w:top w:val="nil"/>
              <w:left w:val="nil"/>
              <w:bottom w:val="single" w:sz="4" w:space="0" w:color="auto"/>
              <w:right w:val="single" w:sz="4" w:space="0" w:color="auto"/>
            </w:tcBorders>
            <w:shd w:val="clear" w:color="auto" w:fill="auto"/>
            <w:vAlign w:val="center"/>
            <w:hideMark/>
          </w:tcPr>
          <w:p w14:paraId="7C6A7BA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1.22</w:t>
            </w:r>
          </w:p>
        </w:tc>
        <w:tc>
          <w:tcPr>
            <w:tcW w:w="1250" w:type="dxa"/>
            <w:tcBorders>
              <w:top w:val="nil"/>
              <w:left w:val="nil"/>
              <w:bottom w:val="single" w:sz="4" w:space="0" w:color="auto"/>
              <w:right w:val="single" w:sz="4" w:space="0" w:color="auto"/>
            </w:tcBorders>
            <w:shd w:val="clear" w:color="auto" w:fill="auto"/>
            <w:vAlign w:val="center"/>
            <w:hideMark/>
          </w:tcPr>
          <w:p w14:paraId="1C15EE3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42 dataset matches</w:t>
            </w:r>
            <w:r w:rsidRPr="00901194">
              <w:rPr>
                <w:rFonts w:eastAsia="Times New Roman" w:cs="Times New Roman"/>
                <w:color w:val="000000"/>
              </w:rPr>
              <w:t>; 35 human, 3 environmental samples, 1 plant (tomato)</w:t>
            </w:r>
          </w:p>
        </w:tc>
        <w:tc>
          <w:tcPr>
            <w:tcW w:w="1710" w:type="dxa"/>
            <w:tcBorders>
              <w:top w:val="nil"/>
              <w:left w:val="nil"/>
              <w:bottom w:val="single" w:sz="4" w:space="0" w:color="auto"/>
              <w:right w:val="single" w:sz="4" w:space="0" w:color="auto"/>
            </w:tcBorders>
            <w:shd w:val="clear" w:color="auto" w:fill="auto"/>
            <w:vAlign w:val="center"/>
            <w:hideMark/>
          </w:tcPr>
          <w:p w14:paraId="105F767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39516517" w14:textId="59C2E61C"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Human study, Human rheumatoid arthritis, American gut (also UK),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Nobel twin study</w:t>
            </w:r>
          </w:p>
        </w:tc>
        <w:tc>
          <w:tcPr>
            <w:tcW w:w="1710" w:type="dxa"/>
            <w:tcBorders>
              <w:top w:val="nil"/>
              <w:left w:val="nil"/>
              <w:bottom w:val="single" w:sz="4" w:space="0" w:color="auto"/>
              <w:right w:val="single" w:sz="4" w:space="0" w:color="auto"/>
            </w:tcBorders>
            <w:shd w:val="clear" w:color="auto" w:fill="auto"/>
            <w:vAlign w:val="center"/>
            <w:hideMark/>
          </w:tcPr>
          <w:p w14:paraId="029FE85E" w14:textId="77777777" w:rsidR="00AC1FAA" w:rsidRPr="00901194" w:rsidRDefault="00000000" w:rsidP="00A3769A">
            <w:pPr>
              <w:spacing w:after="0" w:line="240" w:lineRule="auto"/>
              <w:jc w:val="center"/>
              <w:rPr>
                <w:rFonts w:eastAsia="Times New Roman" w:cs="Times New Roman"/>
                <w:color w:val="0563C1"/>
                <w:u w:val="single"/>
              </w:rPr>
            </w:pPr>
            <w:hyperlink r:id="rId195" w:history="1">
              <w:r w:rsidR="00AC1FAA" w:rsidRPr="00901194">
                <w:rPr>
                  <w:rFonts w:eastAsia="Times New Roman" w:cs="Times New Roman"/>
                  <w:color w:val="0563C1"/>
                  <w:u w:val="single"/>
                </w:rPr>
                <w:t>https://gnps.ucsd.edu/ProteoSAFe/status.jsp?task=da61e8f7b5e744ac99a829e23a067c71</w:t>
              </w:r>
            </w:hyperlink>
          </w:p>
        </w:tc>
        <w:tc>
          <w:tcPr>
            <w:tcW w:w="2070" w:type="dxa"/>
            <w:tcBorders>
              <w:top w:val="nil"/>
              <w:left w:val="nil"/>
              <w:bottom w:val="single" w:sz="4" w:space="0" w:color="auto"/>
              <w:right w:val="single" w:sz="4" w:space="0" w:color="auto"/>
            </w:tcBorders>
            <w:shd w:val="clear" w:color="auto" w:fill="auto"/>
            <w:vAlign w:val="center"/>
            <w:hideMark/>
          </w:tcPr>
          <w:p w14:paraId="4BA21CC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1821C750" w14:textId="77777777" w:rsidTr="00AC1FAA">
        <w:trPr>
          <w:trHeight w:val="33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4733C3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Val-Met (Valylmethionine)</w:t>
            </w:r>
          </w:p>
        </w:tc>
        <w:tc>
          <w:tcPr>
            <w:tcW w:w="890" w:type="dxa"/>
            <w:tcBorders>
              <w:top w:val="nil"/>
              <w:left w:val="nil"/>
              <w:bottom w:val="single" w:sz="4" w:space="0" w:color="auto"/>
              <w:right w:val="single" w:sz="4" w:space="0" w:color="auto"/>
            </w:tcBorders>
            <w:shd w:val="clear" w:color="auto" w:fill="auto"/>
            <w:vAlign w:val="center"/>
            <w:hideMark/>
          </w:tcPr>
          <w:p w14:paraId="63D9BA3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249.126</w:t>
            </w:r>
          </w:p>
        </w:tc>
        <w:tc>
          <w:tcPr>
            <w:tcW w:w="910" w:type="dxa"/>
            <w:tcBorders>
              <w:top w:val="nil"/>
              <w:left w:val="nil"/>
              <w:bottom w:val="single" w:sz="4" w:space="0" w:color="auto"/>
              <w:right w:val="single" w:sz="4" w:space="0" w:color="auto"/>
            </w:tcBorders>
            <w:shd w:val="clear" w:color="auto" w:fill="auto"/>
            <w:vAlign w:val="center"/>
            <w:hideMark/>
          </w:tcPr>
          <w:p w14:paraId="32CA68B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0.56</w:t>
            </w:r>
          </w:p>
        </w:tc>
        <w:tc>
          <w:tcPr>
            <w:tcW w:w="1250" w:type="dxa"/>
            <w:tcBorders>
              <w:top w:val="nil"/>
              <w:left w:val="nil"/>
              <w:bottom w:val="single" w:sz="4" w:space="0" w:color="auto"/>
              <w:right w:val="single" w:sz="4" w:space="0" w:color="auto"/>
            </w:tcBorders>
            <w:shd w:val="clear" w:color="auto" w:fill="auto"/>
            <w:vAlign w:val="center"/>
            <w:hideMark/>
          </w:tcPr>
          <w:p w14:paraId="1A20E57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27 dataset matches</w:t>
            </w:r>
            <w:r w:rsidRPr="00901194">
              <w:rPr>
                <w:rFonts w:eastAsia="Times New Roman" w:cs="Times New Roman"/>
                <w:color w:val="000000"/>
              </w:rPr>
              <w:t>; 4 human, 6 mouse, 5 rat, 3 food metagenome, ~2 plant (potato, tomato)</w:t>
            </w:r>
          </w:p>
        </w:tc>
        <w:tc>
          <w:tcPr>
            <w:tcW w:w="1710" w:type="dxa"/>
            <w:tcBorders>
              <w:top w:val="nil"/>
              <w:left w:val="nil"/>
              <w:bottom w:val="single" w:sz="4" w:space="0" w:color="auto"/>
              <w:right w:val="single" w:sz="4" w:space="0" w:color="auto"/>
            </w:tcBorders>
            <w:shd w:val="clear" w:color="auto" w:fill="auto"/>
            <w:vAlign w:val="center"/>
            <w:hideMark/>
          </w:tcPr>
          <w:p w14:paraId="7B0EDE2A"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Staphylococcus aureus, Bacteroides, Akkermansia, Bifidobacterium</w:t>
            </w:r>
          </w:p>
        </w:tc>
        <w:tc>
          <w:tcPr>
            <w:tcW w:w="1620" w:type="dxa"/>
            <w:tcBorders>
              <w:top w:val="nil"/>
              <w:left w:val="nil"/>
              <w:bottom w:val="single" w:sz="4" w:space="0" w:color="auto"/>
              <w:right w:val="single" w:sz="4" w:space="0" w:color="auto"/>
            </w:tcBorders>
            <w:shd w:val="clear" w:color="auto" w:fill="auto"/>
            <w:vAlign w:val="center"/>
            <w:hideMark/>
          </w:tcPr>
          <w:p w14:paraId="046DE15B" w14:textId="7012E4B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Burger ingredients, ONR human diet,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Anti-inflammatory diet in rheumatoid arthritis patients</w:t>
            </w:r>
          </w:p>
        </w:tc>
        <w:tc>
          <w:tcPr>
            <w:tcW w:w="1710" w:type="dxa"/>
            <w:tcBorders>
              <w:top w:val="nil"/>
              <w:left w:val="nil"/>
              <w:bottom w:val="single" w:sz="4" w:space="0" w:color="auto"/>
              <w:right w:val="single" w:sz="4" w:space="0" w:color="auto"/>
            </w:tcBorders>
            <w:shd w:val="clear" w:color="auto" w:fill="auto"/>
            <w:vAlign w:val="center"/>
            <w:hideMark/>
          </w:tcPr>
          <w:p w14:paraId="066B0959" w14:textId="77777777" w:rsidR="00AC1FAA" w:rsidRPr="00901194" w:rsidRDefault="00000000" w:rsidP="00A3769A">
            <w:pPr>
              <w:spacing w:after="0" w:line="240" w:lineRule="auto"/>
              <w:jc w:val="center"/>
              <w:rPr>
                <w:rFonts w:eastAsia="Times New Roman" w:cs="Times New Roman"/>
                <w:color w:val="0563C1"/>
                <w:u w:val="single"/>
              </w:rPr>
            </w:pPr>
            <w:hyperlink r:id="rId196" w:history="1">
              <w:r w:rsidR="00AC1FAA" w:rsidRPr="00901194">
                <w:rPr>
                  <w:rFonts w:eastAsia="Times New Roman" w:cs="Times New Roman"/>
                  <w:color w:val="0563C1"/>
                  <w:u w:val="single"/>
                </w:rPr>
                <w:t>https://gnps.ucsd.edu/ProteoSAFe/status.jsp?task=3772722082864e3db8ffa8be8d87607c</w:t>
              </w:r>
            </w:hyperlink>
          </w:p>
        </w:tc>
        <w:tc>
          <w:tcPr>
            <w:tcW w:w="2070" w:type="dxa"/>
            <w:tcBorders>
              <w:top w:val="nil"/>
              <w:left w:val="nil"/>
              <w:bottom w:val="single" w:sz="4" w:space="0" w:color="auto"/>
              <w:right w:val="single" w:sz="4" w:space="0" w:color="auto"/>
            </w:tcBorders>
            <w:shd w:val="clear" w:color="auto" w:fill="auto"/>
            <w:vAlign w:val="center"/>
            <w:hideMark/>
          </w:tcPr>
          <w:p w14:paraId="5352520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148893D2" w14:textId="77777777" w:rsidTr="00AC1FAA">
        <w:trPr>
          <w:trHeight w:val="33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2E809B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Ser-Phe (Serylphenylalanine)</w:t>
            </w:r>
          </w:p>
        </w:tc>
        <w:tc>
          <w:tcPr>
            <w:tcW w:w="890" w:type="dxa"/>
            <w:tcBorders>
              <w:top w:val="nil"/>
              <w:left w:val="nil"/>
              <w:bottom w:val="single" w:sz="4" w:space="0" w:color="auto"/>
              <w:right w:val="single" w:sz="4" w:space="0" w:color="auto"/>
            </w:tcBorders>
            <w:shd w:val="clear" w:color="auto" w:fill="auto"/>
            <w:vAlign w:val="center"/>
            <w:hideMark/>
          </w:tcPr>
          <w:p w14:paraId="7AC8F65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253.118</w:t>
            </w:r>
          </w:p>
        </w:tc>
        <w:tc>
          <w:tcPr>
            <w:tcW w:w="910" w:type="dxa"/>
            <w:tcBorders>
              <w:top w:val="nil"/>
              <w:left w:val="nil"/>
              <w:bottom w:val="single" w:sz="4" w:space="0" w:color="auto"/>
              <w:right w:val="single" w:sz="4" w:space="0" w:color="auto"/>
            </w:tcBorders>
            <w:shd w:val="clear" w:color="auto" w:fill="auto"/>
            <w:vAlign w:val="center"/>
            <w:hideMark/>
          </w:tcPr>
          <w:p w14:paraId="0AA01B9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0.79</w:t>
            </w:r>
          </w:p>
        </w:tc>
        <w:tc>
          <w:tcPr>
            <w:tcW w:w="1250" w:type="dxa"/>
            <w:tcBorders>
              <w:top w:val="nil"/>
              <w:left w:val="nil"/>
              <w:bottom w:val="single" w:sz="4" w:space="0" w:color="auto"/>
              <w:right w:val="single" w:sz="4" w:space="0" w:color="auto"/>
            </w:tcBorders>
            <w:shd w:val="clear" w:color="auto" w:fill="auto"/>
            <w:vAlign w:val="center"/>
            <w:hideMark/>
          </w:tcPr>
          <w:p w14:paraId="3B4E2BC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64 dataset matches</w:t>
            </w:r>
            <w:r w:rsidRPr="00901194">
              <w:rPr>
                <w:rFonts w:eastAsia="Times New Roman" w:cs="Times New Roman"/>
                <w:color w:val="000000"/>
              </w:rPr>
              <w:t>; 18 human, 13 mouse, 2 rat, 9 environmental samples, ~6 plant (cotton, thale cress, potato, corn, tomato)</w:t>
            </w:r>
          </w:p>
        </w:tc>
        <w:tc>
          <w:tcPr>
            <w:tcW w:w="1710" w:type="dxa"/>
            <w:tcBorders>
              <w:top w:val="nil"/>
              <w:left w:val="nil"/>
              <w:bottom w:val="single" w:sz="4" w:space="0" w:color="auto"/>
              <w:right w:val="single" w:sz="4" w:space="0" w:color="auto"/>
            </w:tcBorders>
            <w:shd w:val="clear" w:color="auto" w:fill="auto"/>
            <w:vAlign w:val="center"/>
            <w:hideMark/>
          </w:tcPr>
          <w:p w14:paraId="40F1F0D8"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Streptomyces, E. coli, Amycolaptosis, Bacillus</w:t>
            </w:r>
          </w:p>
        </w:tc>
        <w:tc>
          <w:tcPr>
            <w:tcW w:w="1620" w:type="dxa"/>
            <w:tcBorders>
              <w:top w:val="nil"/>
              <w:left w:val="nil"/>
              <w:bottom w:val="single" w:sz="4" w:space="0" w:color="auto"/>
              <w:right w:val="single" w:sz="4" w:space="0" w:color="auto"/>
            </w:tcBorders>
            <w:shd w:val="clear" w:color="auto" w:fill="auto"/>
            <w:vAlign w:val="center"/>
            <w:hideMark/>
          </w:tcPr>
          <w:p w14:paraId="1CB164DD" w14:textId="49E4744C"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American gut (with plant consumption comparison),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Burger ingredients, Nobel twin study</w:t>
            </w:r>
          </w:p>
        </w:tc>
        <w:tc>
          <w:tcPr>
            <w:tcW w:w="1710" w:type="dxa"/>
            <w:tcBorders>
              <w:top w:val="nil"/>
              <w:left w:val="nil"/>
              <w:bottom w:val="single" w:sz="4" w:space="0" w:color="auto"/>
              <w:right w:val="single" w:sz="4" w:space="0" w:color="auto"/>
            </w:tcBorders>
            <w:shd w:val="clear" w:color="auto" w:fill="auto"/>
            <w:vAlign w:val="center"/>
            <w:hideMark/>
          </w:tcPr>
          <w:p w14:paraId="5C773652" w14:textId="77777777" w:rsidR="00AC1FAA" w:rsidRPr="00901194" w:rsidRDefault="00000000" w:rsidP="00A3769A">
            <w:pPr>
              <w:spacing w:after="0" w:line="240" w:lineRule="auto"/>
              <w:jc w:val="center"/>
              <w:rPr>
                <w:rFonts w:eastAsia="Times New Roman" w:cs="Times New Roman"/>
                <w:color w:val="0563C1"/>
                <w:u w:val="single"/>
              </w:rPr>
            </w:pPr>
            <w:hyperlink r:id="rId197" w:history="1">
              <w:r w:rsidR="00AC1FAA" w:rsidRPr="00901194">
                <w:rPr>
                  <w:rFonts w:eastAsia="Times New Roman" w:cs="Times New Roman"/>
                  <w:color w:val="0563C1"/>
                  <w:u w:val="single"/>
                </w:rPr>
                <w:t>https://gnps.ucsd.edu/ProteoSAFe/status.jsp?task=4cd767ae2c9d4f2a815c2120511c9112</w:t>
              </w:r>
            </w:hyperlink>
          </w:p>
        </w:tc>
        <w:tc>
          <w:tcPr>
            <w:tcW w:w="2070" w:type="dxa"/>
            <w:tcBorders>
              <w:top w:val="nil"/>
              <w:left w:val="nil"/>
              <w:bottom w:val="single" w:sz="4" w:space="0" w:color="auto"/>
              <w:right w:val="single" w:sz="4" w:space="0" w:color="auto"/>
            </w:tcBorders>
            <w:shd w:val="clear" w:color="auto" w:fill="auto"/>
            <w:vAlign w:val="center"/>
            <w:hideMark/>
          </w:tcPr>
          <w:p w14:paraId="646BBEE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610104A6"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69B8D3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Palmitelaidic acid</w:t>
            </w:r>
          </w:p>
        </w:tc>
        <w:tc>
          <w:tcPr>
            <w:tcW w:w="890" w:type="dxa"/>
            <w:tcBorders>
              <w:top w:val="nil"/>
              <w:left w:val="nil"/>
              <w:bottom w:val="single" w:sz="4" w:space="0" w:color="auto"/>
              <w:right w:val="single" w:sz="4" w:space="0" w:color="auto"/>
            </w:tcBorders>
            <w:shd w:val="clear" w:color="auto" w:fill="auto"/>
            <w:vAlign w:val="center"/>
            <w:hideMark/>
          </w:tcPr>
          <w:p w14:paraId="2885847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255.232</w:t>
            </w:r>
          </w:p>
        </w:tc>
        <w:tc>
          <w:tcPr>
            <w:tcW w:w="910" w:type="dxa"/>
            <w:tcBorders>
              <w:top w:val="nil"/>
              <w:left w:val="nil"/>
              <w:bottom w:val="single" w:sz="4" w:space="0" w:color="auto"/>
              <w:right w:val="single" w:sz="4" w:space="0" w:color="auto"/>
            </w:tcBorders>
            <w:shd w:val="clear" w:color="auto" w:fill="auto"/>
            <w:vAlign w:val="center"/>
            <w:hideMark/>
          </w:tcPr>
          <w:p w14:paraId="2536E0D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5.96</w:t>
            </w:r>
          </w:p>
        </w:tc>
        <w:tc>
          <w:tcPr>
            <w:tcW w:w="1250" w:type="dxa"/>
            <w:tcBorders>
              <w:top w:val="nil"/>
              <w:left w:val="nil"/>
              <w:bottom w:val="single" w:sz="4" w:space="0" w:color="auto"/>
              <w:right w:val="single" w:sz="4" w:space="0" w:color="auto"/>
            </w:tcBorders>
            <w:shd w:val="clear" w:color="auto" w:fill="auto"/>
            <w:vAlign w:val="center"/>
            <w:hideMark/>
          </w:tcPr>
          <w:p w14:paraId="455D0A6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31 dataset matches</w:t>
            </w:r>
            <w:r w:rsidRPr="00901194">
              <w:rPr>
                <w:rFonts w:eastAsia="Times New Roman" w:cs="Times New Roman"/>
                <w:color w:val="000000"/>
              </w:rPr>
              <w:t xml:space="preserve">; 12 human, 9 mouse, 1 rat, 3 environment </w:t>
            </w:r>
            <w:r w:rsidRPr="00901194">
              <w:rPr>
                <w:rFonts w:eastAsia="Times New Roman" w:cs="Times New Roman"/>
                <w:color w:val="000000"/>
              </w:rPr>
              <w:lastRenderedPageBreak/>
              <w:t>(also built environment), ~1 plant (corn)</w:t>
            </w:r>
          </w:p>
        </w:tc>
        <w:tc>
          <w:tcPr>
            <w:tcW w:w="1710" w:type="dxa"/>
            <w:tcBorders>
              <w:top w:val="nil"/>
              <w:left w:val="nil"/>
              <w:bottom w:val="single" w:sz="4" w:space="0" w:color="auto"/>
              <w:right w:val="single" w:sz="4" w:space="0" w:color="auto"/>
            </w:tcBorders>
            <w:shd w:val="clear" w:color="auto" w:fill="auto"/>
            <w:vAlign w:val="center"/>
            <w:hideMark/>
          </w:tcPr>
          <w:p w14:paraId="1D65BB69"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lastRenderedPageBreak/>
              <w:t>Bacillus subtilis</w:t>
            </w:r>
          </w:p>
        </w:tc>
        <w:tc>
          <w:tcPr>
            <w:tcW w:w="1620" w:type="dxa"/>
            <w:tcBorders>
              <w:top w:val="nil"/>
              <w:left w:val="nil"/>
              <w:bottom w:val="single" w:sz="4" w:space="0" w:color="auto"/>
              <w:right w:val="single" w:sz="4" w:space="0" w:color="auto"/>
            </w:tcBorders>
            <w:shd w:val="clear" w:color="auto" w:fill="auto"/>
            <w:vAlign w:val="center"/>
            <w:hideMark/>
          </w:tcPr>
          <w:p w14:paraId="62D36D6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Amerindians urbanization gradient</w:t>
            </w:r>
          </w:p>
        </w:tc>
        <w:tc>
          <w:tcPr>
            <w:tcW w:w="1710" w:type="dxa"/>
            <w:tcBorders>
              <w:top w:val="nil"/>
              <w:left w:val="nil"/>
              <w:bottom w:val="single" w:sz="4" w:space="0" w:color="auto"/>
              <w:right w:val="single" w:sz="4" w:space="0" w:color="auto"/>
            </w:tcBorders>
            <w:shd w:val="clear" w:color="auto" w:fill="auto"/>
            <w:vAlign w:val="center"/>
            <w:hideMark/>
          </w:tcPr>
          <w:p w14:paraId="641811F4" w14:textId="77777777" w:rsidR="00AC1FAA" w:rsidRPr="00901194" w:rsidRDefault="00000000" w:rsidP="00A3769A">
            <w:pPr>
              <w:spacing w:after="0" w:line="240" w:lineRule="auto"/>
              <w:jc w:val="center"/>
              <w:rPr>
                <w:rFonts w:eastAsia="Times New Roman" w:cs="Times New Roman"/>
                <w:color w:val="0563C1"/>
                <w:u w:val="single"/>
              </w:rPr>
            </w:pPr>
            <w:hyperlink r:id="rId198" w:history="1">
              <w:r w:rsidR="00AC1FAA" w:rsidRPr="00901194">
                <w:rPr>
                  <w:rFonts w:eastAsia="Times New Roman" w:cs="Times New Roman"/>
                  <w:color w:val="0563C1"/>
                  <w:u w:val="single"/>
                </w:rPr>
                <w:t>https://gnps.ucsd.edu/ProteoSAFe/status.jsp?task=8dbc4bee89914f249f91ab103ac05d26</w:t>
              </w:r>
            </w:hyperlink>
          </w:p>
        </w:tc>
        <w:tc>
          <w:tcPr>
            <w:tcW w:w="2070" w:type="dxa"/>
            <w:tcBorders>
              <w:top w:val="nil"/>
              <w:left w:val="nil"/>
              <w:bottom w:val="single" w:sz="4" w:space="0" w:color="auto"/>
              <w:right w:val="single" w:sz="4" w:space="0" w:color="auto"/>
            </w:tcBorders>
            <w:shd w:val="clear" w:color="auto" w:fill="auto"/>
            <w:vAlign w:val="center"/>
            <w:hideMark/>
          </w:tcPr>
          <w:p w14:paraId="0A75B72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D0341F2" w14:textId="77777777" w:rsidTr="00AC1FAA">
        <w:trPr>
          <w:trHeight w:val="116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7F1C433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L-Saccharopine</w:t>
            </w:r>
          </w:p>
        </w:tc>
        <w:tc>
          <w:tcPr>
            <w:tcW w:w="890" w:type="dxa"/>
            <w:tcBorders>
              <w:top w:val="nil"/>
              <w:left w:val="nil"/>
              <w:bottom w:val="single" w:sz="4" w:space="0" w:color="auto"/>
              <w:right w:val="single" w:sz="4" w:space="0" w:color="auto"/>
            </w:tcBorders>
            <w:shd w:val="clear" w:color="auto" w:fill="auto"/>
            <w:vAlign w:val="center"/>
            <w:hideMark/>
          </w:tcPr>
          <w:p w14:paraId="7A4ACEC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259.129</w:t>
            </w:r>
          </w:p>
        </w:tc>
        <w:tc>
          <w:tcPr>
            <w:tcW w:w="910" w:type="dxa"/>
            <w:tcBorders>
              <w:top w:val="nil"/>
              <w:left w:val="nil"/>
              <w:bottom w:val="single" w:sz="4" w:space="0" w:color="auto"/>
              <w:right w:val="single" w:sz="4" w:space="0" w:color="auto"/>
            </w:tcBorders>
            <w:shd w:val="clear" w:color="auto" w:fill="auto"/>
            <w:vAlign w:val="center"/>
            <w:hideMark/>
          </w:tcPr>
          <w:p w14:paraId="22EB544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0.31</w:t>
            </w:r>
          </w:p>
        </w:tc>
        <w:tc>
          <w:tcPr>
            <w:tcW w:w="1250" w:type="dxa"/>
            <w:tcBorders>
              <w:top w:val="nil"/>
              <w:left w:val="nil"/>
              <w:bottom w:val="single" w:sz="4" w:space="0" w:color="auto"/>
              <w:right w:val="single" w:sz="4" w:space="0" w:color="auto"/>
            </w:tcBorders>
            <w:shd w:val="clear" w:color="auto" w:fill="auto"/>
            <w:vAlign w:val="center"/>
            <w:hideMark/>
          </w:tcPr>
          <w:p w14:paraId="390CF33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15 dataset matches</w:t>
            </w:r>
            <w:r w:rsidRPr="00901194">
              <w:rPr>
                <w:rFonts w:eastAsia="Times New Roman" w:cs="Times New Roman"/>
                <w:color w:val="000000"/>
              </w:rPr>
              <w:t>; 5 human, 2 mouse, ~1 plant (tomato)</w:t>
            </w:r>
          </w:p>
        </w:tc>
        <w:tc>
          <w:tcPr>
            <w:tcW w:w="1710" w:type="dxa"/>
            <w:tcBorders>
              <w:top w:val="nil"/>
              <w:left w:val="nil"/>
              <w:bottom w:val="single" w:sz="4" w:space="0" w:color="auto"/>
              <w:right w:val="single" w:sz="4" w:space="0" w:color="auto"/>
            </w:tcBorders>
            <w:shd w:val="clear" w:color="auto" w:fill="auto"/>
            <w:vAlign w:val="center"/>
            <w:hideMark/>
          </w:tcPr>
          <w:p w14:paraId="40DC8E5B"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clavuligerus, Streptomyces albus</w:t>
            </w:r>
          </w:p>
        </w:tc>
        <w:tc>
          <w:tcPr>
            <w:tcW w:w="1620" w:type="dxa"/>
            <w:tcBorders>
              <w:top w:val="nil"/>
              <w:left w:val="nil"/>
              <w:bottom w:val="single" w:sz="4" w:space="0" w:color="auto"/>
              <w:right w:val="single" w:sz="4" w:space="0" w:color="auto"/>
            </w:tcBorders>
            <w:shd w:val="clear" w:color="auto" w:fill="auto"/>
            <w:vAlign w:val="center"/>
            <w:hideMark/>
          </w:tcPr>
          <w:p w14:paraId="684E040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and UK gut</w:t>
            </w:r>
          </w:p>
        </w:tc>
        <w:tc>
          <w:tcPr>
            <w:tcW w:w="1710" w:type="dxa"/>
            <w:tcBorders>
              <w:top w:val="nil"/>
              <w:left w:val="nil"/>
              <w:bottom w:val="single" w:sz="4" w:space="0" w:color="auto"/>
              <w:right w:val="single" w:sz="4" w:space="0" w:color="auto"/>
            </w:tcBorders>
            <w:shd w:val="clear" w:color="auto" w:fill="auto"/>
            <w:vAlign w:val="center"/>
            <w:hideMark/>
          </w:tcPr>
          <w:p w14:paraId="13FEACD6" w14:textId="77777777" w:rsidR="00AC1FAA" w:rsidRPr="00901194" w:rsidRDefault="00000000" w:rsidP="00A3769A">
            <w:pPr>
              <w:spacing w:after="0" w:line="240" w:lineRule="auto"/>
              <w:jc w:val="center"/>
              <w:rPr>
                <w:rFonts w:eastAsia="Times New Roman" w:cs="Times New Roman"/>
                <w:color w:val="0563C1"/>
                <w:u w:val="single"/>
              </w:rPr>
            </w:pPr>
            <w:hyperlink r:id="rId199" w:history="1">
              <w:r w:rsidR="00AC1FAA" w:rsidRPr="00901194">
                <w:rPr>
                  <w:rFonts w:eastAsia="Times New Roman" w:cs="Times New Roman"/>
                  <w:color w:val="0563C1"/>
                  <w:u w:val="single"/>
                </w:rPr>
                <w:t>https://gnps.ucsd.edu/ProteoSAFe/status.jsp?task=e4dd2264edc145dd9fd0525d9e8fbc4a</w:t>
              </w:r>
            </w:hyperlink>
          </w:p>
        </w:tc>
        <w:tc>
          <w:tcPr>
            <w:tcW w:w="2070" w:type="dxa"/>
            <w:tcBorders>
              <w:top w:val="nil"/>
              <w:left w:val="nil"/>
              <w:bottom w:val="single" w:sz="4" w:space="0" w:color="auto"/>
              <w:right w:val="single" w:sz="4" w:space="0" w:color="auto"/>
            </w:tcBorders>
            <w:shd w:val="clear" w:color="auto" w:fill="auto"/>
            <w:vAlign w:val="center"/>
            <w:hideMark/>
          </w:tcPr>
          <w:p w14:paraId="2C394B1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31ECA7A9" w14:textId="77777777" w:rsidTr="00AC1FAA">
        <w:trPr>
          <w:trHeight w:val="107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7105B36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Phe-Pro (Phenylalanylproline)</w:t>
            </w:r>
          </w:p>
        </w:tc>
        <w:tc>
          <w:tcPr>
            <w:tcW w:w="890" w:type="dxa"/>
            <w:tcBorders>
              <w:top w:val="nil"/>
              <w:left w:val="nil"/>
              <w:bottom w:val="single" w:sz="4" w:space="0" w:color="auto"/>
              <w:right w:val="single" w:sz="4" w:space="0" w:color="auto"/>
            </w:tcBorders>
            <w:shd w:val="clear" w:color="auto" w:fill="auto"/>
            <w:vAlign w:val="center"/>
            <w:hideMark/>
          </w:tcPr>
          <w:p w14:paraId="02C09C7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263.139</w:t>
            </w:r>
          </w:p>
        </w:tc>
        <w:tc>
          <w:tcPr>
            <w:tcW w:w="910" w:type="dxa"/>
            <w:tcBorders>
              <w:top w:val="nil"/>
              <w:left w:val="nil"/>
              <w:bottom w:val="single" w:sz="4" w:space="0" w:color="auto"/>
              <w:right w:val="single" w:sz="4" w:space="0" w:color="auto"/>
            </w:tcBorders>
            <w:shd w:val="clear" w:color="auto" w:fill="auto"/>
            <w:vAlign w:val="center"/>
            <w:hideMark/>
          </w:tcPr>
          <w:p w14:paraId="323F222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2.57</w:t>
            </w:r>
          </w:p>
        </w:tc>
        <w:tc>
          <w:tcPr>
            <w:tcW w:w="1250" w:type="dxa"/>
            <w:tcBorders>
              <w:top w:val="nil"/>
              <w:left w:val="nil"/>
              <w:bottom w:val="single" w:sz="4" w:space="0" w:color="auto"/>
              <w:right w:val="single" w:sz="4" w:space="0" w:color="auto"/>
            </w:tcBorders>
            <w:shd w:val="clear" w:color="auto" w:fill="auto"/>
            <w:vAlign w:val="center"/>
            <w:hideMark/>
          </w:tcPr>
          <w:p w14:paraId="3B0CF58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196 dataset matches</w:t>
            </w:r>
            <w:r w:rsidRPr="00901194">
              <w:rPr>
                <w:rFonts w:eastAsia="Times New Roman" w:cs="Times New Roman"/>
                <w:color w:val="000000"/>
              </w:rPr>
              <w:t>; 62 human, 29 mouse, 5 rat, 18 environment (including built environment), 8 food metagenome, ~4 plant (cotton, sugarcane, tomato, corn)</w:t>
            </w:r>
          </w:p>
        </w:tc>
        <w:tc>
          <w:tcPr>
            <w:tcW w:w="1710" w:type="dxa"/>
            <w:tcBorders>
              <w:top w:val="nil"/>
              <w:left w:val="nil"/>
              <w:bottom w:val="single" w:sz="4" w:space="0" w:color="auto"/>
              <w:right w:val="single" w:sz="4" w:space="0" w:color="auto"/>
            </w:tcBorders>
            <w:shd w:val="clear" w:color="auto" w:fill="auto"/>
            <w:vAlign w:val="center"/>
            <w:hideMark/>
          </w:tcPr>
          <w:p w14:paraId="7B33121A"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 xml:space="preserve">Staphylococcus aureus, Bacteroides, Akkermansia, Bifidobacterium, Roseburia, Bifidobacterium, E. coli, Pseudomonas, Bacillus, Burkholderia, Amycolaptosis, Leptospira, Eggerthella lenta, Actinomycete, Paenibacillus, Streptomyces, Acinetobacter pittii, Pantoea conspicua, Klebsiella, Enterobacter, </w:t>
            </w:r>
            <w:r w:rsidRPr="00901194">
              <w:rPr>
                <w:rFonts w:eastAsia="Times New Roman" w:cs="Times New Roman"/>
                <w:i/>
                <w:iCs/>
                <w:color w:val="000000"/>
              </w:rPr>
              <w:lastRenderedPageBreak/>
              <w:t>Rothia, Veillonella atypica</w:t>
            </w:r>
          </w:p>
        </w:tc>
        <w:tc>
          <w:tcPr>
            <w:tcW w:w="1620" w:type="dxa"/>
            <w:tcBorders>
              <w:top w:val="nil"/>
              <w:left w:val="nil"/>
              <w:bottom w:val="single" w:sz="4" w:space="0" w:color="auto"/>
              <w:right w:val="single" w:sz="4" w:space="0" w:color="auto"/>
            </w:tcBorders>
            <w:shd w:val="clear" w:color="auto" w:fill="auto"/>
            <w:vAlign w:val="center"/>
            <w:hideMark/>
          </w:tcPr>
          <w:p w14:paraId="714A7125" w14:textId="0AE3DE3D"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Human gut bacteria biotransformation, American gut (with plant consumption comparison), Human-associated bacteria cultured with bile acids, Burger ingredients, Human skin microbiome isolates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{"citationItems":[{"id":"ITEM-1","itemData":{"DOI":"https://doi.org/10.1186/s40168-020-00831-y","author":[{"dropping-particle":"","family":"Timm","given":"Collin M","non-dropping-particle":"","parse-names":false,"suffix":""},{"dropping-particle":"","family":"Loomis","given":"Kristin","non-dropping-particle":"","parse-names":false,"suffix":""},{"dropping-particle":"","family":"Stone","given":"William","non-dropping-particle":"","parse-names":false,"suffix":""},{"dropping-particle":"","family":"Mehoke","given":"Thomas","non-dropping-particle":"","parse-names":false,"suffix":""},{"dropping-particle":"","family":"Brensinger","given":"Bryan","non-dropping-particle":"","parse-names":false,"suffix":""},{"dropping-particle":"","family":"Pellicore","given":"Matthew","non-dropping-particle":"","parse-names":false,"suffix":""},{"dropping-particle":"","family":"Staniczenko","given":"Phillip P A","non-dropping-particle":"","parse-names":false,"suffix":""},{"dropping-particle":"","family":"Charles","given":"Curtisha","non-dropping-particle":"","parse-names":false,"suffix":""},{"dropping-particle":"","family":"Nayak","given":"Seema","non-dropping-particle":"","parse-names":false,"suffix":""},{"dropping-particle":"","family":"Karig","given":"David K","non-dropping-particle":"","parse-names":false,"suffix":""}],"container-title":"Microbiome","id":"ITEM-1","issue":"58","issued":{"date-parts":[["2020"]]},"page":"1-12","publisher":"Microbiome","title":"Isolation and characterization of diverse microbial representatives from the human skin microbiome","type":"article-journal","volume":"8"},"uris":["http://www.mendeley.com/documents/?uuid=fdef6533-4e54-4cba-9505-c8ebd3ec1be0"]}],"mendeley":{"formattedCitation":"&lt;sup&gt;232&lt;/sup&gt;","plainTextFormattedCitation":"232","previouslyFormattedCitation":"&lt;sup&gt;232&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232</w:t>
            </w:r>
            <w:r w:rsidR="00040784" w:rsidRPr="00901194">
              <w:rPr>
                <w:rFonts w:eastAsia="Times New Roman" w:cs="Times New Roman"/>
                <w:color w:val="000000"/>
              </w:rPr>
              <w:fldChar w:fldCharType="end"/>
            </w:r>
            <w:r w:rsidRPr="00901194">
              <w:rPr>
                <w:rFonts w:eastAsia="Times New Roman" w:cs="Times New Roman"/>
                <w:color w:val="000000"/>
              </w:rPr>
              <w:t>, Human rheumatoid arthritis,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xml:space="preserve">, Nobel twin </w:t>
            </w:r>
            <w:r w:rsidRPr="00901194">
              <w:rPr>
                <w:rFonts w:eastAsia="Times New Roman" w:cs="Times New Roman"/>
                <w:color w:val="000000"/>
              </w:rPr>
              <w:lastRenderedPageBreak/>
              <w:t>study, Amazon skin and environmental samples</w:t>
            </w:r>
          </w:p>
        </w:tc>
        <w:tc>
          <w:tcPr>
            <w:tcW w:w="1710" w:type="dxa"/>
            <w:tcBorders>
              <w:top w:val="nil"/>
              <w:left w:val="nil"/>
              <w:bottom w:val="single" w:sz="4" w:space="0" w:color="auto"/>
              <w:right w:val="single" w:sz="4" w:space="0" w:color="auto"/>
            </w:tcBorders>
            <w:shd w:val="clear" w:color="auto" w:fill="auto"/>
            <w:vAlign w:val="center"/>
            <w:hideMark/>
          </w:tcPr>
          <w:p w14:paraId="4FE38277" w14:textId="77777777" w:rsidR="00AC1FAA" w:rsidRPr="00901194" w:rsidRDefault="00000000" w:rsidP="00A3769A">
            <w:pPr>
              <w:spacing w:after="0" w:line="240" w:lineRule="auto"/>
              <w:jc w:val="center"/>
              <w:rPr>
                <w:rFonts w:eastAsia="Times New Roman" w:cs="Times New Roman"/>
                <w:color w:val="0563C1"/>
                <w:u w:val="single"/>
              </w:rPr>
            </w:pPr>
            <w:hyperlink r:id="rId200" w:history="1">
              <w:r w:rsidR="00AC1FAA" w:rsidRPr="00901194">
                <w:rPr>
                  <w:rFonts w:eastAsia="Times New Roman" w:cs="Times New Roman"/>
                  <w:color w:val="0563C1"/>
                  <w:u w:val="single"/>
                </w:rPr>
                <w:t>https://gnps.ucsd.edu/ProteoSAFe/status.jsp?task=ae38f3f9e8864fb59edb943a8e514bae</w:t>
              </w:r>
            </w:hyperlink>
          </w:p>
        </w:tc>
        <w:tc>
          <w:tcPr>
            <w:tcW w:w="2070" w:type="dxa"/>
            <w:tcBorders>
              <w:top w:val="nil"/>
              <w:left w:val="nil"/>
              <w:bottom w:val="single" w:sz="4" w:space="0" w:color="auto"/>
              <w:right w:val="single" w:sz="4" w:space="0" w:color="auto"/>
            </w:tcBorders>
            <w:shd w:val="clear" w:color="auto" w:fill="auto"/>
            <w:vAlign w:val="center"/>
            <w:hideMark/>
          </w:tcPr>
          <w:p w14:paraId="6610E9F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6B28D407"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EE8CCB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Conjugated linoleic Acid (10E,12Z)</w:t>
            </w:r>
          </w:p>
        </w:tc>
        <w:tc>
          <w:tcPr>
            <w:tcW w:w="890" w:type="dxa"/>
            <w:tcBorders>
              <w:top w:val="nil"/>
              <w:left w:val="nil"/>
              <w:bottom w:val="single" w:sz="4" w:space="0" w:color="auto"/>
              <w:right w:val="single" w:sz="4" w:space="0" w:color="auto"/>
            </w:tcBorders>
            <w:shd w:val="clear" w:color="auto" w:fill="auto"/>
            <w:vAlign w:val="center"/>
            <w:hideMark/>
          </w:tcPr>
          <w:p w14:paraId="24019B6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263.237</w:t>
            </w:r>
          </w:p>
        </w:tc>
        <w:tc>
          <w:tcPr>
            <w:tcW w:w="910" w:type="dxa"/>
            <w:tcBorders>
              <w:top w:val="nil"/>
              <w:left w:val="nil"/>
              <w:bottom w:val="single" w:sz="4" w:space="0" w:color="auto"/>
              <w:right w:val="single" w:sz="4" w:space="0" w:color="auto"/>
            </w:tcBorders>
            <w:shd w:val="clear" w:color="auto" w:fill="auto"/>
            <w:vAlign w:val="center"/>
            <w:hideMark/>
          </w:tcPr>
          <w:p w14:paraId="6CB2ECD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7.52</w:t>
            </w:r>
          </w:p>
        </w:tc>
        <w:tc>
          <w:tcPr>
            <w:tcW w:w="1250" w:type="dxa"/>
            <w:tcBorders>
              <w:top w:val="nil"/>
              <w:left w:val="nil"/>
              <w:bottom w:val="single" w:sz="4" w:space="0" w:color="auto"/>
              <w:right w:val="single" w:sz="4" w:space="0" w:color="auto"/>
            </w:tcBorders>
            <w:shd w:val="clear" w:color="auto" w:fill="auto"/>
            <w:vAlign w:val="center"/>
            <w:hideMark/>
          </w:tcPr>
          <w:p w14:paraId="2734158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132 dataset matches</w:t>
            </w:r>
            <w:r w:rsidRPr="00901194">
              <w:rPr>
                <w:rFonts w:eastAsia="Times New Roman" w:cs="Times New Roman"/>
                <w:color w:val="000000"/>
              </w:rPr>
              <w:t>; 43 human, 33 mouse, 6 rat, 10 environmental samples (including built environment), 14 food metagenome, ~6 plant (potato, corn, thale cress), ~5 animal (baboon, cheetah)</w:t>
            </w:r>
          </w:p>
        </w:tc>
        <w:tc>
          <w:tcPr>
            <w:tcW w:w="1710" w:type="dxa"/>
            <w:tcBorders>
              <w:top w:val="nil"/>
              <w:left w:val="nil"/>
              <w:bottom w:val="single" w:sz="4" w:space="0" w:color="auto"/>
              <w:right w:val="single" w:sz="4" w:space="0" w:color="auto"/>
            </w:tcBorders>
            <w:shd w:val="clear" w:color="auto" w:fill="auto"/>
            <w:vAlign w:val="center"/>
            <w:hideMark/>
          </w:tcPr>
          <w:p w14:paraId="142B6D02"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Akkermansia, Bifidobacterium, Roseburia, Eggerthella, Bacillus, Cutibacterium acnes</w:t>
            </w:r>
          </w:p>
        </w:tc>
        <w:tc>
          <w:tcPr>
            <w:tcW w:w="1620" w:type="dxa"/>
            <w:tcBorders>
              <w:top w:val="nil"/>
              <w:left w:val="nil"/>
              <w:bottom w:val="single" w:sz="4" w:space="0" w:color="auto"/>
              <w:right w:val="single" w:sz="4" w:space="0" w:color="auto"/>
            </w:tcBorders>
            <w:shd w:val="clear" w:color="auto" w:fill="auto"/>
            <w:vAlign w:val="center"/>
            <w:hideMark/>
          </w:tcPr>
          <w:p w14:paraId="6101B4B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American gut (with  plant consumption comparison), Urbanization gradient foods, ONR wright human study, ONR primary wright, ONR human diet, Nobel twin study</w:t>
            </w:r>
          </w:p>
        </w:tc>
        <w:tc>
          <w:tcPr>
            <w:tcW w:w="1710" w:type="dxa"/>
            <w:tcBorders>
              <w:top w:val="nil"/>
              <w:left w:val="nil"/>
              <w:bottom w:val="single" w:sz="4" w:space="0" w:color="auto"/>
              <w:right w:val="single" w:sz="4" w:space="0" w:color="auto"/>
            </w:tcBorders>
            <w:shd w:val="clear" w:color="auto" w:fill="auto"/>
            <w:vAlign w:val="center"/>
            <w:hideMark/>
          </w:tcPr>
          <w:p w14:paraId="197E221A" w14:textId="77777777" w:rsidR="00AC1FAA" w:rsidRPr="00901194" w:rsidRDefault="00000000" w:rsidP="00A3769A">
            <w:pPr>
              <w:spacing w:after="0" w:line="240" w:lineRule="auto"/>
              <w:jc w:val="center"/>
              <w:rPr>
                <w:rFonts w:eastAsia="Times New Roman" w:cs="Times New Roman"/>
                <w:color w:val="0563C1"/>
                <w:u w:val="single"/>
              </w:rPr>
            </w:pPr>
            <w:hyperlink r:id="rId201" w:history="1">
              <w:r w:rsidR="00AC1FAA" w:rsidRPr="00901194">
                <w:rPr>
                  <w:rFonts w:eastAsia="Times New Roman" w:cs="Times New Roman"/>
                  <w:color w:val="0563C1"/>
                  <w:u w:val="single"/>
                </w:rPr>
                <w:t>https://gnps.ucsd.edu/ProteoSAFe/status.jsp?task=83c13baa8dc74e64b18653edd89e8567</w:t>
              </w:r>
            </w:hyperlink>
          </w:p>
        </w:tc>
        <w:tc>
          <w:tcPr>
            <w:tcW w:w="2070" w:type="dxa"/>
            <w:tcBorders>
              <w:top w:val="nil"/>
              <w:left w:val="nil"/>
              <w:bottom w:val="single" w:sz="4" w:space="0" w:color="auto"/>
              <w:right w:val="single" w:sz="4" w:space="0" w:color="auto"/>
            </w:tcBorders>
            <w:shd w:val="clear" w:color="auto" w:fill="auto"/>
            <w:vAlign w:val="center"/>
            <w:hideMark/>
          </w:tcPr>
          <w:p w14:paraId="16EF089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73DF236F"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85B0E9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Conjugated linoleic acid (9E,11E)</w:t>
            </w:r>
          </w:p>
        </w:tc>
        <w:tc>
          <w:tcPr>
            <w:tcW w:w="890" w:type="dxa"/>
            <w:tcBorders>
              <w:top w:val="nil"/>
              <w:left w:val="nil"/>
              <w:bottom w:val="single" w:sz="4" w:space="0" w:color="auto"/>
              <w:right w:val="single" w:sz="4" w:space="0" w:color="auto"/>
            </w:tcBorders>
            <w:shd w:val="clear" w:color="auto" w:fill="auto"/>
            <w:vAlign w:val="center"/>
            <w:hideMark/>
          </w:tcPr>
          <w:p w14:paraId="784AE4F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263.237</w:t>
            </w:r>
          </w:p>
        </w:tc>
        <w:tc>
          <w:tcPr>
            <w:tcW w:w="910" w:type="dxa"/>
            <w:tcBorders>
              <w:top w:val="nil"/>
              <w:left w:val="nil"/>
              <w:bottom w:val="single" w:sz="4" w:space="0" w:color="auto"/>
              <w:right w:val="single" w:sz="4" w:space="0" w:color="auto"/>
            </w:tcBorders>
            <w:shd w:val="clear" w:color="auto" w:fill="auto"/>
            <w:vAlign w:val="center"/>
            <w:hideMark/>
          </w:tcPr>
          <w:p w14:paraId="6C3E76C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6.68</w:t>
            </w:r>
          </w:p>
        </w:tc>
        <w:tc>
          <w:tcPr>
            <w:tcW w:w="1250" w:type="dxa"/>
            <w:tcBorders>
              <w:top w:val="nil"/>
              <w:left w:val="nil"/>
              <w:bottom w:val="single" w:sz="4" w:space="0" w:color="auto"/>
              <w:right w:val="single" w:sz="4" w:space="0" w:color="auto"/>
            </w:tcBorders>
            <w:shd w:val="clear" w:color="auto" w:fill="auto"/>
            <w:vAlign w:val="center"/>
            <w:hideMark/>
          </w:tcPr>
          <w:p w14:paraId="335E856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144 dataset matches</w:t>
            </w:r>
            <w:r w:rsidRPr="00901194">
              <w:rPr>
                <w:rFonts w:eastAsia="Times New Roman" w:cs="Times New Roman"/>
                <w:color w:val="000000"/>
              </w:rPr>
              <w:t xml:space="preserve">; 48 human, 36 mouse, 6 rat, 11 environment (including built environment), 12 food </w:t>
            </w:r>
            <w:r w:rsidRPr="00901194">
              <w:rPr>
                <w:rFonts w:eastAsia="Times New Roman" w:cs="Times New Roman"/>
                <w:color w:val="000000"/>
              </w:rPr>
              <w:lastRenderedPageBreak/>
              <w:t>metagenome, ~4 animal (baboon, rhino, cheetah), ~7 plant (corn, potato, thale cress, oranges)</w:t>
            </w:r>
          </w:p>
        </w:tc>
        <w:tc>
          <w:tcPr>
            <w:tcW w:w="1710" w:type="dxa"/>
            <w:tcBorders>
              <w:top w:val="nil"/>
              <w:left w:val="nil"/>
              <w:bottom w:val="single" w:sz="4" w:space="0" w:color="auto"/>
              <w:right w:val="single" w:sz="4" w:space="0" w:color="auto"/>
            </w:tcBorders>
            <w:shd w:val="clear" w:color="auto" w:fill="auto"/>
            <w:vAlign w:val="center"/>
            <w:hideMark/>
          </w:tcPr>
          <w:p w14:paraId="4C2FCE27"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lastRenderedPageBreak/>
              <w:t>Bacteroides, Akkermansia, Bifidobacterium, Roseburia, Eggerthella, Methylobacter tundripaludum, Clostridium, Bacillus subtilis</w:t>
            </w:r>
          </w:p>
        </w:tc>
        <w:tc>
          <w:tcPr>
            <w:tcW w:w="1620" w:type="dxa"/>
            <w:tcBorders>
              <w:top w:val="nil"/>
              <w:left w:val="nil"/>
              <w:bottom w:val="single" w:sz="4" w:space="0" w:color="auto"/>
              <w:right w:val="single" w:sz="4" w:space="0" w:color="auto"/>
            </w:tcBorders>
            <w:shd w:val="clear" w:color="auto" w:fill="auto"/>
            <w:vAlign w:val="center"/>
            <w:hideMark/>
          </w:tcPr>
          <w:p w14:paraId="610487E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ONR Primary Wright Human, Human Gut Bacteria Biotransformation, ONR human diet, American Gut (with plant consumption comparison), </w:t>
            </w:r>
            <w:r w:rsidRPr="00901194">
              <w:rPr>
                <w:rFonts w:eastAsia="Times New Roman" w:cs="Times New Roman"/>
                <w:color w:val="000000"/>
              </w:rPr>
              <w:lastRenderedPageBreak/>
              <w:t>Amerindians urbanization gradient, Amazon urbanization housing analysis, Nobel twin study, Urbanization gradient foods</w:t>
            </w:r>
          </w:p>
        </w:tc>
        <w:tc>
          <w:tcPr>
            <w:tcW w:w="1710" w:type="dxa"/>
            <w:tcBorders>
              <w:top w:val="nil"/>
              <w:left w:val="nil"/>
              <w:bottom w:val="single" w:sz="4" w:space="0" w:color="auto"/>
              <w:right w:val="single" w:sz="4" w:space="0" w:color="auto"/>
            </w:tcBorders>
            <w:shd w:val="clear" w:color="auto" w:fill="auto"/>
            <w:vAlign w:val="center"/>
            <w:hideMark/>
          </w:tcPr>
          <w:p w14:paraId="05DFA688" w14:textId="77777777" w:rsidR="00AC1FAA" w:rsidRPr="00901194" w:rsidRDefault="00000000" w:rsidP="00A3769A">
            <w:pPr>
              <w:spacing w:after="0" w:line="240" w:lineRule="auto"/>
              <w:jc w:val="center"/>
              <w:rPr>
                <w:rFonts w:eastAsia="Times New Roman" w:cs="Times New Roman"/>
                <w:color w:val="0563C1"/>
                <w:u w:val="single"/>
              </w:rPr>
            </w:pPr>
            <w:hyperlink r:id="rId202" w:history="1">
              <w:r w:rsidR="00AC1FAA" w:rsidRPr="00901194">
                <w:rPr>
                  <w:rFonts w:eastAsia="Times New Roman" w:cs="Times New Roman"/>
                  <w:color w:val="0563C1"/>
                  <w:u w:val="single"/>
                </w:rPr>
                <w:t>https://gnps.ucsd.edu/ProteoSAFe/status.jsp?task=6389f1e6cf4f451893599372f2b682b5</w:t>
              </w:r>
            </w:hyperlink>
          </w:p>
        </w:tc>
        <w:tc>
          <w:tcPr>
            <w:tcW w:w="2070" w:type="dxa"/>
            <w:tcBorders>
              <w:top w:val="nil"/>
              <w:left w:val="nil"/>
              <w:bottom w:val="single" w:sz="4" w:space="0" w:color="auto"/>
              <w:right w:val="single" w:sz="4" w:space="0" w:color="auto"/>
            </w:tcBorders>
            <w:shd w:val="clear" w:color="auto" w:fill="auto"/>
            <w:vAlign w:val="center"/>
            <w:hideMark/>
          </w:tcPr>
          <w:p w14:paraId="7004668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0BCFB8E"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25F4F0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Thr-Phe (Threonylphenylalanine)</w:t>
            </w:r>
          </w:p>
        </w:tc>
        <w:tc>
          <w:tcPr>
            <w:tcW w:w="890" w:type="dxa"/>
            <w:tcBorders>
              <w:top w:val="nil"/>
              <w:left w:val="nil"/>
              <w:bottom w:val="single" w:sz="4" w:space="0" w:color="auto"/>
              <w:right w:val="single" w:sz="4" w:space="0" w:color="auto"/>
            </w:tcBorders>
            <w:shd w:val="clear" w:color="auto" w:fill="auto"/>
            <w:vAlign w:val="center"/>
            <w:hideMark/>
          </w:tcPr>
          <w:p w14:paraId="2D67F3E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267.134</w:t>
            </w:r>
          </w:p>
        </w:tc>
        <w:tc>
          <w:tcPr>
            <w:tcW w:w="910" w:type="dxa"/>
            <w:tcBorders>
              <w:top w:val="nil"/>
              <w:left w:val="nil"/>
              <w:bottom w:val="single" w:sz="4" w:space="0" w:color="auto"/>
              <w:right w:val="single" w:sz="4" w:space="0" w:color="auto"/>
            </w:tcBorders>
            <w:shd w:val="clear" w:color="auto" w:fill="auto"/>
            <w:vAlign w:val="center"/>
            <w:hideMark/>
          </w:tcPr>
          <w:p w14:paraId="08047A0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0.48</w:t>
            </w:r>
          </w:p>
        </w:tc>
        <w:tc>
          <w:tcPr>
            <w:tcW w:w="1250" w:type="dxa"/>
            <w:tcBorders>
              <w:top w:val="nil"/>
              <w:left w:val="nil"/>
              <w:bottom w:val="single" w:sz="4" w:space="0" w:color="auto"/>
              <w:right w:val="single" w:sz="4" w:space="0" w:color="auto"/>
            </w:tcBorders>
            <w:shd w:val="clear" w:color="auto" w:fill="auto"/>
            <w:vAlign w:val="center"/>
            <w:hideMark/>
          </w:tcPr>
          <w:p w14:paraId="2ECB00B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44 dataset matches</w:t>
            </w:r>
            <w:r w:rsidRPr="00901194">
              <w:rPr>
                <w:rFonts w:eastAsia="Times New Roman" w:cs="Times New Roman"/>
                <w:color w:val="000000"/>
              </w:rPr>
              <w:t>; 9 human, 10 mouse, 5 rat, 3 environment, ~4 plant (tomato, thale cress, potato), 3 animal (cheetah)</w:t>
            </w:r>
          </w:p>
        </w:tc>
        <w:tc>
          <w:tcPr>
            <w:tcW w:w="1710" w:type="dxa"/>
            <w:tcBorders>
              <w:top w:val="nil"/>
              <w:left w:val="nil"/>
              <w:bottom w:val="single" w:sz="4" w:space="0" w:color="auto"/>
              <w:right w:val="single" w:sz="4" w:space="0" w:color="auto"/>
            </w:tcBorders>
            <w:shd w:val="clear" w:color="auto" w:fill="auto"/>
            <w:vAlign w:val="center"/>
            <w:hideMark/>
          </w:tcPr>
          <w:p w14:paraId="3CE83F75"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Akkermansia, Bifidobacterium, Staphylococcus aureus, Streptomyces</w:t>
            </w:r>
          </w:p>
        </w:tc>
        <w:tc>
          <w:tcPr>
            <w:tcW w:w="1620" w:type="dxa"/>
            <w:tcBorders>
              <w:top w:val="nil"/>
              <w:left w:val="nil"/>
              <w:bottom w:val="single" w:sz="4" w:space="0" w:color="auto"/>
              <w:right w:val="single" w:sz="4" w:space="0" w:color="auto"/>
            </w:tcBorders>
            <w:shd w:val="clear" w:color="auto" w:fill="auto"/>
            <w:vAlign w:val="center"/>
            <w:hideMark/>
          </w:tcPr>
          <w:p w14:paraId="34D73B74" w14:textId="1C3CBFB1"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Amerindians urbanization gradient, Human rheumatoid arthritis, Burger ingredients, ONR wright human study,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Anti-inflammatory diet in rheumatoid arthritis patients</w:t>
            </w:r>
          </w:p>
        </w:tc>
        <w:tc>
          <w:tcPr>
            <w:tcW w:w="1710" w:type="dxa"/>
            <w:tcBorders>
              <w:top w:val="nil"/>
              <w:left w:val="nil"/>
              <w:bottom w:val="single" w:sz="4" w:space="0" w:color="auto"/>
              <w:right w:val="single" w:sz="4" w:space="0" w:color="auto"/>
            </w:tcBorders>
            <w:shd w:val="clear" w:color="auto" w:fill="auto"/>
            <w:vAlign w:val="center"/>
            <w:hideMark/>
          </w:tcPr>
          <w:p w14:paraId="4010A3B6" w14:textId="77777777" w:rsidR="00AC1FAA" w:rsidRPr="00901194" w:rsidRDefault="00000000" w:rsidP="00A3769A">
            <w:pPr>
              <w:spacing w:after="0" w:line="240" w:lineRule="auto"/>
              <w:jc w:val="center"/>
              <w:rPr>
                <w:rFonts w:eastAsia="Times New Roman" w:cs="Times New Roman"/>
                <w:color w:val="0563C1"/>
                <w:u w:val="single"/>
              </w:rPr>
            </w:pPr>
            <w:hyperlink r:id="rId203" w:history="1">
              <w:r w:rsidR="00AC1FAA" w:rsidRPr="00901194">
                <w:rPr>
                  <w:rFonts w:eastAsia="Times New Roman" w:cs="Times New Roman"/>
                  <w:color w:val="0563C1"/>
                  <w:u w:val="single"/>
                </w:rPr>
                <w:t>https://gnps.ucsd.edu/ProteoSAFe/status.jsp?task=34e92fc0e92349189ec8234819dac5d8</w:t>
              </w:r>
            </w:hyperlink>
          </w:p>
        </w:tc>
        <w:tc>
          <w:tcPr>
            <w:tcW w:w="2070" w:type="dxa"/>
            <w:tcBorders>
              <w:top w:val="nil"/>
              <w:left w:val="nil"/>
              <w:bottom w:val="single" w:sz="4" w:space="0" w:color="auto"/>
              <w:right w:val="single" w:sz="4" w:space="0" w:color="auto"/>
            </w:tcBorders>
            <w:shd w:val="clear" w:color="auto" w:fill="auto"/>
            <w:vAlign w:val="center"/>
            <w:hideMark/>
          </w:tcPr>
          <w:p w14:paraId="59655D6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05033EA3"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0D0B46D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Pro-Arg (Prolylarginine)</w:t>
            </w:r>
          </w:p>
        </w:tc>
        <w:tc>
          <w:tcPr>
            <w:tcW w:w="890" w:type="dxa"/>
            <w:tcBorders>
              <w:top w:val="nil"/>
              <w:left w:val="nil"/>
              <w:bottom w:val="single" w:sz="4" w:space="0" w:color="auto"/>
              <w:right w:val="single" w:sz="4" w:space="0" w:color="auto"/>
            </w:tcBorders>
            <w:shd w:val="clear" w:color="auto" w:fill="auto"/>
            <w:vAlign w:val="center"/>
            <w:hideMark/>
          </w:tcPr>
          <w:p w14:paraId="04A947D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272.171</w:t>
            </w:r>
          </w:p>
        </w:tc>
        <w:tc>
          <w:tcPr>
            <w:tcW w:w="910" w:type="dxa"/>
            <w:tcBorders>
              <w:top w:val="nil"/>
              <w:left w:val="nil"/>
              <w:bottom w:val="single" w:sz="4" w:space="0" w:color="auto"/>
              <w:right w:val="single" w:sz="4" w:space="0" w:color="auto"/>
            </w:tcBorders>
            <w:shd w:val="clear" w:color="auto" w:fill="auto"/>
            <w:vAlign w:val="center"/>
            <w:hideMark/>
          </w:tcPr>
          <w:p w14:paraId="6D35397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0.32</w:t>
            </w:r>
          </w:p>
        </w:tc>
        <w:tc>
          <w:tcPr>
            <w:tcW w:w="1250" w:type="dxa"/>
            <w:tcBorders>
              <w:top w:val="nil"/>
              <w:left w:val="nil"/>
              <w:bottom w:val="single" w:sz="4" w:space="0" w:color="auto"/>
              <w:right w:val="single" w:sz="4" w:space="0" w:color="auto"/>
            </w:tcBorders>
            <w:shd w:val="clear" w:color="auto" w:fill="auto"/>
            <w:vAlign w:val="center"/>
            <w:hideMark/>
          </w:tcPr>
          <w:p w14:paraId="2DE9DBC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7 dataset matches</w:t>
            </w:r>
            <w:r w:rsidRPr="00901194">
              <w:rPr>
                <w:rFonts w:eastAsia="Times New Roman" w:cs="Times New Roman"/>
                <w:color w:val="000000"/>
              </w:rPr>
              <w:t>; 4 human, 3 mouse</w:t>
            </w:r>
          </w:p>
        </w:tc>
        <w:tc>
          <w:tcPr>
            <w:tcW w:w="1710" w:type="dxa"/>
            <w:tcBorders>
              <w:top w:val="nil"/>
              <w:left w:val="nil"/>
              <w:bottom w:val="single" w:sz="4" w:space="0" w:color="auto"/>
              <w:right w:val="single" w:sz="4" w:space="0" w:color="auto"/>
            </w:tcBorders>
            <w:shd w:val="clear" w:color="auto" w:fill="auto"/>
            <w:vAlign w:val="center"/>
            <w:hideMark/>
          </w:tcPr>
          <w:p w14:paraId="7FA1237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63DA01E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3D875F45" w14:textId="77777777" w:rsidR="00AC1FAA" w:rsidRPr="00901194" w:rsidRDefault="00000000" w:rsidP="00A3769A">
            <w:pPr>
              <w:spacing w:after="0" w:line="240" w:lineRule="auto"/>
              <w:jc w:val="center"/>
              <w:rPr>
                <w:rFonts w:eastAsia="Times New Roman" w:cs="Times New Roman"/>
                <w:color w:val="0563C1"/>
                <w:u w:val="single"/>
              </w:rPr>
            </w:pPr>
            <w:hyperlink r:id="rId204" w:history="1">
              <w:r w:rsidR="00AC1FAA" w:rsidRPr="00901194">
                <w:rPr>
                  <w:rFonts w:eastAsia="Times New Roman" w:cs="Times New Roman"/>
                  <w:color w:val="0563C1"/>
                  <w:u w:val="single"/>
                </w:rPr>
                <w:t>https://gnps.ucsd.edu/ProteoSAFe/status.jsp?task=4dd48325058045aa862fbb31c1a8230d</w:t>
              </w:r>
            </w:hyperlink>
          </w:p>
        </w:tc>
        <w:tc>
          <w:tcPr>
            <w:tcW w:w="2070" w:type="dxa"/>
            <w:tcBorders>
              <w:top w:val="nil"/>
              <w:left w:val="nil"/>
              <w:bottom w:val="single" w:sz="4" w:space="0" w:color="auto"/>
              <w:right w:val="single" w:sz="4" w:space="0" w:color="auto"/>
            </w:tcBorders>
            <w:shd w:val="clear" w:color="auto" w:fill="auto"/>
            <w:vAlign w:val="center"/>
            <w:hideMark/>
          </w:tcPr>
          <w:p w14:paraId="0D5EB2E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70087F26" w14:textId="77777777" w:rsidTr="00AC1FAA">
        <w:trPr>
          <w:trHeight w:val="45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886B57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9-OxoOTrE</w:t>
            </w:r>
          </w:p>
        </w:tc>
        <w:tc>
          <w:tcPr>
            <w:tcW w:w="890" w:type="dxa"/>
            <w:tcBorders>
              <w:top w:val="nil"/>
              <w:left w:val="nil"/>
              <w:bottom w:val="single" w:sz="4" w:space="0" w:color="auto"/>
              <w:right w:val="single" w:sz="4" w:space="0" w:color="auto"/>
            </w:tcBorders>
            <w:shd w:val="clear" w:color="auto" w:fill="auto"/>
            <w:vAlign w:val="center"/>
            <w:hideMark/>
          </w:tcPr>
          <w:p w14:paraId="12EBEC8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275.201</w:t>
            </w:r>
          </w:p>
        </w:tc>
        <w:tc>
          <w:tcPr>
            <w:tcW w:w="910" w:type="dxa"/>
            <w:tcBorders>
              <w:top w:val="nil"/>
              <w:left w:val="nil"/>
              <w:bottom w:val="single" w:sz="4" w:space="0" w:color="auto"/>
              <w:right w:val="single" w:sz="4" w:space="0" w:color="auto"/>
            </w:tcBorders>
            <w:shd w:val="clear" w:color="auto" w:fill="auto"/>
            <w:vAlign w:val="center"/>
            <w:hideMark/>
          </w:tcPr>
          <w:p w14:paraId="7FDC974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4.42</w:t>
            </w:r>
          </w:p>
        </w:tc>
        <w:tc>
          <w:tcPr>
            <w:tcW w:w="1250" w:type="dxa"/>
            <w:tcBorders>
              <w:top w:val="nil"/>
              <w:left w:val="nil"/>
              <w:bottom w:val="single" w:sz="4" w:space="0" w:color="auto"/>
              <w:right w:val="single" w:sz="4" w:space="0" w:color="auto"/>
            </w:tcBorders>
            <w:shd w:val="clear" w:color="auto" w:fill="auto"/>
            <w:vAlign w:val="center"/>
            <w:hideMark/>
          </w:tcPr>
          <w:p w14:paraId="4CA57D0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58 dataset matches</w:t>
            </w:r>
            <w:r w:rsidRPr="00901194">
              <w:rPr>
                <w:rFonts w:eastAsia="Times New Roman" w:cs="Times New Roman"/>
                <w:color w:val="000000"/>
              </w:rPr>
              <w:t xml:space="preserve">; 16 human, 8 mouse, 4 rat, 3 environment, 1 food metagenome, ~13 plant (corn, cotton, tomato,  </w:t>
            </w:r>
            <w:r w:rsidRPr="00901194">
              <w:rPr>
                <w:rFonts w:eastAsia="Times New Roman" w:cs="Times New Roman"/>
                <w:i/>
                <w:iCs/>
                <w:color w:val="000000"/>
              </w:rPr>
              <w:t>Malpighiaceae</w:t>
            </w:r>
            <w:r w:rsidRPr="00901194">
              <w:rPr>
                <w:rFonts w:eastAsia="Times New Roman" w:cs="Times New Roman"/>
                <w:color w:val="000000"/>
              </w:rPr>
              <w:t xml:space="preserve"> plants, melon, thale cress, potato, orange), ~1 other animal (rhino)</w:t>
            </w:r>
          </w:p>
        </w:tc>
        <w:tc>
          <w:tcPr>
            <w:tcW w:w="1710" w:type="dxa"/>
            <w:tcBorders>
              <w:top w:val="nil"/>
              <w:left w:val="nil"/>
              <w:bottom w:val="single" w:sz="4" w:space="0" w:color="auto"/>
              <w:right w:val="single" w:sz="4" w:space="0" w:color="auto"/>
            </w:tcBorders>
            <w:shd w:val="clear" w:color="auto" w:fill="auto"/>
            <w:vAlign w:val="center"/>
            <w:hideMark/>
          </w:tcPr>
          <w:p w14:paraId="03B957F9"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Bacillus, Pseudomonas, Streptomyces scabiei</w:t>
            </w:r>
          </w:p>
        </w:tc>
        <w:tc>
          <w:tcPr>
            <w:tcW w:w="1620" w:type="dxa"/>
            <w:tcBorders>
              <w:top w:val="nil"/>
              <w:left w:val="nil"/>
              <w:bottom w:val="single" w:sz="4" w:space="0" w:color="auto"/>
              <w:right w:val="single" w:sz="4" w:space="0" w:color="auto"/>
            </w:tcBorders>
            <w:shd w:val="clear" w:color="auto" w:fill="auto"/>
            <w:vAlign w:val="center"/>
            <w:hideMark/>
          </w:tcPr>
          <w:p w14:paraId="78709F4E" w14:textId="6F353668"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Burger ingredients, ONR primary wright human study, Human rheumatoid arthritis,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Anti-inflammatory diet in rheumatoid arthritis patients</w:t>
            </w:r>
          </w:p>
        </w:tc>
        <w:tc>
          <w:tcPr>
            <w:tcW w:w="1710" w:type="dxa"/>
            <w:tcBorders>
              <w:top w:val="nil"/>
              <w:left w:val="nil"/>
              <w:bottom w:val="single" w:sz="4" w:space="0" w:color="auto"/>
              <w:right w:val="single" w:sz="4" w:space="0" w:color="auto"/>
            </w:tcBorders>
            <w:shd w:val="clear" w:color="auto" w:fill="auto"/>
            <w:vAlign w:val="center"/>
            <w:hideMark/>
          </w:tcPr>
          <w:p w14:paraId="139C67DA" w14:textId="77777777" w:rsidR="00AC1FAA" w:rsidRPr="00901194" w:rsidRDefault="00000000" w:rsidP="00A3769A">
            <w:pPr>
              <w:spacing w:after="0" w:line="240" w:lineRule="auto"/>
              <w:jc w:val="center"/>
              <w:rPr>
                <w:rFonts w:eastAsia="Times New Roman" w:cs="Times New Roman"/>
                <w:color w:val="0563C1"/>
                <w:u w:val="single"/>
              </w:rPr>
            </w:pPr>
            <w:hyperlink r:id="rId205" w:history="1">
              <w:r w:rsidR="00AC1FAA" w:rsidRPr="00901194">
                <w:rPr>
                  <w:rFonts w:eastAsia="Times New Roman" w:cs="Times New Roman"/>
                  <w:color w:val="0563C1"/>
                  <w:u w:val="single"/>
                </w:rPr>
                <w:t>https://gnps.ucsd.edu/ProteoSAFe/status.jsp?task=9c0b6ad5c2f24f02b49c5d834598b39d</w:t>
              </w:r>
            </w:hyperlink>
          </w:p>
        </w:tc>
        <w:tc>
          <w:tcPr>
            <w:tcW w:w="2070" w:type="dxa"/>
            <w:tcBorders>
              <w:top w:val="nil"/>
              <w:left w:val="nil"/>
              <w:bottom w:val="single" w:sz="4" w:space="0" w:color="auto"/>
              <w:right w:val="single" w:sz="4" w:space="0" w:color="auto"/>
            </w:tcBorders>
            <w:shd w:val="clear" w:color="auto" w:fill="auto"/>
            <w:vAlign w:val="center"/>
            <w:hideMark/>
          </w:tcPr>
          <w:p w14:paraId="7248DB0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085E6868" w14:textId="77777777" w:rsidTr="00AC1FAA">
        <w:trPr>
          <w:trHeight w:val="72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102D7B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Phe-Leu (Phenylalanylleucine)</w:t>
            </w:r>
          </w:p>
        </w:tc>
        <w:tc>
          <w:tcPr>
            <w:tcW w:w="890" w:type="dxa"/>
            <w:tcBorders>
              <w:top w:val="nil"/>
              <w:left w:val="nil"/>
              <w:bottom w:val="single" w:sz="4" w:space="0" w:color="auto"/>
              <w:right w:val="single" w:sz="4" w:space="0" w:color="auto"/>
            </w:tcBorders>
            <w:shd w:val="clear" w:color="auto" w:fill="auto"/>
            <w:vAlign w:val="center"/>
            <w:hideMark/>
          </w:tcPr>
          <w:p w14:paraId="3519FAD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279.171</w:t>
            </w:r>
          </w:p>
        </w:tc>
        <w:tc>
          <w:tcPr>
            <w:tcW w:w="910" w:type="dxa"/>
            <w:tcBorders>
              <w:top w:val="nil"/>
              <w:left w:val="nil"/>
              <w:bottom w:val="single" w:sz="4" w:space="0" w:color="auto"/>
              <w:right w:val="single" w:sz="4" w:space="0" w:color="auto"/>
            </w:tcBorders>
            <w:shd w:val="clear" w:color="auto" w:fill="auto"/>
            <w:vAlign w:val="center"/>
            <w:hideMark/>
          </w:tcPr>
          <w:p w14:paraId="40B8096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2.59</w:t>
            </w:r>
          </w:p>
        </w:tc>
        <w:tc>
          <w:tcPr>
            <w:tcW w:w="1250" w:type="dxa"/>
            <w:tcBorders>
              <w:top w:val="nil"/>
              <w:left w:val="nil"/>
              <w:bottom w:val="single" w:sz="4" w:space="0" w:color="auto"/>
              <w:right w:val="single" w:sz="4" w:space="0" w:color="auto"/>
            </w:tcBorders>
            <w:shd w:val="clear" w:color="auto" w:fill="auto"/>
            <w:vAlign w:val="center"/>
            <w:hideMark/>
          </w:tcPr>
          <w:p w14:paraId="6F4CA5D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222 dataset matches</w:t>
            </w:r>
            <w:r w:rsidRPr="00901194">
              <w:rPr>
                <w:rFonts w:eastAsia="Times New Roman" w:cs="Times New Roman"/>
                <w:color w:val="000000"/>
              </w:rPr>
              <w:t xml:space="preserve">; 77 human, 37 mouse, 7 rat, 28 environment, 11 food metagenome, ~6 other animal (cheetah, rhino, cat), ~10 plant (cotton, </w:t>
            </w:r>
            <w:r w:rsidRPr="00901194">
              <w:rPr>
                <w:rFonts w:eastAsia="Times New Roman" w:cs="Times New Roman"/>
                <w:i/>
                <w:iCs/>
                <w:color w:val="000000"/>
              </w:rPr>
              <w:t>Malpighiaceae</w:t>
            </w:r>
            <w:r w:rsidRPr="00901194">
              <w:rPr>
                <w:rFonts w:eastAsia="Times New Roman" w:cs="Times New Roman"/>
                <w:color w:val="000000"/>
              </w:rPr>
              <w:t xml:space="preserve"> plants, potato, tomato, thale cress, corn)</w:t>
            </w:r>
          </w:p>
        </w:tc>
        <w:tc>
          <w:tcPr>
            <w:tcW w:w="1710" w:type="dxa"/>
            <w:tcBorders>
              <w:top w:val="nil"/>
              <w:left w:val="nil"/>
              <w:bottom w:val="single" w:sz="4" w:space="0" w:color="auto"/>
              <w:right w:val="single" w:sz="4" w:space="0" w:color="auto"/>
            </w:tcBorders>
            <w:shd w:val="clear" w:color="auto" w:fill="auto"/>
            <w:vAlign w:val="center"/>
            <w:hideMark/>
          </w:tcPr>
          <w:p w14:paraId="6A829CD1"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Akkermansia, Bifidobacterium, E. coli, Paenibacillus, Eggerthella lenta, Staphylococcus aureus, Pseudomonas, Nocardia, Streptomyces, Veillonella atypica, Achromobacter xylosoxidan, Cutibacterium acnes, Amycolaptosis</w:t>
            </w:r>
          </w:p>
        </w:tc>
        <w:tc>
          <w:tcPr>
            <w:tcW w:w="1620" w:type="dxa"/>
            <w:tcBorders>
              <w:top w:val="nil"/>
              <w:left w:val="nil"/>
              <w:bottom w:val="single" w:sz="4" w:space="0" w:color="auto"/>
              <w:right w:val="single" w:sz="4" w:space="0" w:color="auto"/>
            </w:tcBorders>
            <w:shd w:val="clear" w:color="auto" w:fill="auto"/>
            <w:vAlign w:val="center"/>
            <w:hideMark/>
          </w:tcPr>
          <w:p w14:paraId="2FC6DFDC" w14:textId="7859C70D"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American gut (with  plant comparison and UK gut), Human-associated bacteria cultured with bile acids, Human skin microbiome isolates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{"citationItems":[{"id":"ITEM-1","itemData":{"DOI":"https://doi.org/10.1186/s40168-020-00831-y","author":[{"dropping-particle":"","family":"Timm","given":"Collin M","non-dropping-particle":"","parse-names":false,"suffix":""},{"dropping-particle":"","family":"Loomis","given":"Kristin","non-dropping-particle":"","parse-names":false,"suffix":""},{"dropping-particle":"","family":"Stone","given":"William","non-dropping-particle":"","parse-names":false,"suffix":""},{"dropping-particle":"","family":"Mehoke","given":"Thomas","non-dropping-particle":"","parse-names":false,"suffix":""},{"dropping-particle":"","family":"Brensinger","given":"Bryan","non-dropping-particle":"","parse-names":false,"suffix":""},{"dropping-particle":"","family":"Pellicore","given":"Matthew","non-dropping-particle":"","parse-names":false,"suffix":""},{"dropping-particle":"","family":"Staniczenko","given":"Phillip P A","non-dropping-particle":"","parse-names":false,"suffix":""},{"dropping-particle":"","family":"Charles","given":"Curtisha","non-dropping-particle":"","parse-names":false,"suffix":""},{"dropping-particle":"","family":"Nayak","given":"Seema","non-dropping-particle":"","parse-names":false,"suffix":""},{"dropping-particle":"","family":"Karig","given":"David K","non-dropping-particle":"","parse-names":false,"suffix":""}],"container-title":"Microbiome","id":"ITEM-1","issue":"58","issued":{"date-parts":[["2020"]]},"page":"1-12","publisher":"Microbiome","title":"Isolation and characterization of diverse microbial representatives from the human skin microbiome","type":"article-journal","volume":"8"},"uris":["http://www.mendeley.com/documents/?uuid=fdef6533-4e54-4cba-9505-c8ebd3ec1be0"]}],"mendeley":{"formattedCitation":"&lt;sup&gt;232&lt;/sup&gt;","plainTextFormattedCitation":"232","previouslyFormattedCitation":"&lt;sup&gt;232&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232</w:t>
            </w:r>
            <w:r w:rsidR="00040784" w:rsidRPr="00901194">
              <w:rPr>
                <w:rFonts w:eastAsia="Times New Roman" w:cs="Times New Roman"/>
                <w:color w:val="000000"/>
              </w:rPr>
              <w:fldChar w:fldCharType="end"/>
            </w:r>
            <w:r w:rsidRPr="00901194">
              <w:rPr>
                <w:rFonts w:eastAsia="Times New Roman" w:cs="Times New Roman"/>
                <w:color w:val="000000"/>
              </w:rPr>
              <w:t>, Burger ingredients, Urbanization gradient foods, Amerindians urbanization gradient, Amazon urbanization housing analysis,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Ancient DNA teeth</w:t>
            </w:r>
          </w:p>
        </w:tc>
        <w:tc>
          <w:tcPr>
            <w:tcW w:w="1710" w:type="dxa"/>
            <w:tcBorders>
              <w:top w:val="nil"/>
              <w:left w:val="nil"/>
              <w:bottom w:val="single" w:sz="4" w:space="0" w:color="auto"/>
              <w:right w:val="single" w:sz="4" w:space="0" w:color="auto"/>
            </w:tcBorders>
            <w:shd w:val="clear" w:color="auto" w:fill="auto"/>
            <w:vAlign w:val="center"/>
            <w:hideMark/>
          </w:tcPr>
          <w:p w14:paraId="7B86BDE8" w14:textId="77777777" w:rsidR="00AC1FAA" w:rsidRPr="00901194" w:rsidRDefault="00000000" w:rsidP="00A3769A">
            <w:pPr>
              <w:spacing w:after="0" w:line="240" w:lineRule="auto"/>
              <w:jc w:val="center"/>
              <w:rPr>
                <w:rFonts w:eastAsia="Times New Roman" w:cs="Times New Roman"/>
                <w:color w:val="0563C1"/>
                <w:u w:val="single"/>
              </w:rPr>
            </w:pPr>
            <w:hyperlink r:id="rId206" w:history="1">
              <w:r w:rsidR="00AC1FAA" w:rsidRPr="00901194">
                <w:rPr>
                  <w:rFonts w:eastAsia="Times New Roman" w:cs="Times New Roman"/>
                  <w:color w:val="0563C1"/>
                  <w:u w:val="single"/>
                </w:rPr>
                <w:t>https://gnps.ucsd.edu/ProteoSAFe/status.jsp?task=0506cb53c28b4aefa42281c3da9c0881</w:t>
              </w:r>
            </w:hyperlink>
          </w:p>
        </w:tc>
        <w:tc>
          <w:tcPr>
            <w:tcW w:w="2070" w:type="dxa"/>
            <w:tcBorders>
              <w:top w:val="nil"/>
              <w:left w:val="nil"/>
              <w:bottom w:val="single" w:sz="4" w:space="0" w:color="auto"/>
              <w:right w:val="single" w:sz="4" w:space="0" w:color="auto"/>
            </w:tcBorders>
            <w:shd w:val="clear" w:color="auto" w:fill="auto"/>
            <w:vAlign w:val="center"/>
            <w:hideMark/>
          </w:tcPr>
          <w:p w14:paraId="7B3055F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84A6D0B" w14:textId="77777777" w:rsidTr="00AC1FAA">
        <w:trPr>
          <w:trHeight w:val="72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28D80D8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Leu-Phe (Leucylphenylalanine)</w:t>
            </w:r>
          </w:p>
        </w:tc>
        <w:tc>
          <w:tcPr>
            <w:tcW w:w="890" w:type="dxa"/>
            <w:tcBorders>
              <w:top w:val="nil"/>
              <w:left w:val="nil"/>
              <w:bottom w:val="single" w:sz="4" w:space="0" w:color="auto"/>
              <w:right w:val="single" w:sz="4" w:space="0" w:color="auto"/>
            </w:tcBorders>
            <w:shd w:val="clear" w:color="auto" w:fill="auto"/>
            <w:vAlign w:val="center"/>
            <w:hideMark/>
          </w:tcPr>
          <w:p w14:paraId="038B291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279.171</w:t>
            </w:r>
          </w:p>
        </w:tc>
        <w:tc>
          <w:tcPr>
            <w:tcW w:w="910" w:type="dxa"/>
            <w:tcBorders>
              <w:top w:val="nil"/>
              <w:left w:val="nil"/>
              <w:bottom w:val="single" w:sz="4" w:space="0" w:color="auto"/>
              <w:right w:val="single" w:sz="4" w:space="0" w:color="auto"/>
            </w:tcBorders>
            <w:shd w:val="clear" w:color="auto" w:fill="auto"/>
            <w:vAlign w:val="center"/>
            <w:hideMark/>
          </w:tcPr>
          <w:p w14:paraId="0CB5252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3.47</w:t>
            </w:r>
          </w:p>
        </w:tc>
        <w:tc>
          <w:tcPr>
            <w:tcW w:w="1250" w:type="dxa"/>
            <w:tcBorders>
              <w:top w:val="nil"/>
              <w:left w:val="nil"/>
              <w:bottom w:val="single" w:sz="4" w:space="0" w:color="auto"/>
              <w:right w:val="single" w:sz="4" w:space="0" w:color="auto"/>
            </w:tcBorders>
            <w:shd w:val="clear" w:color="auto" w:fill="auto"/>
            <w:vAlign w:val="center"/>
            <w:hideMark/>
          </w:tcPr>
          <w:p w14:paraId="1C5F77C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147 dataset matches</w:t>
            </w:r>
            <w:r w:rsidRPr="00901194">
              <w:rPr>
                <w:rFonts w:eastAsia="Times New Roman" w:cs="Times New Roman"/>
                <w:color w:val="000000"/>
              </w:rPr>
              <w:t xml:space="preserve">; 41 human, 26 mouse, 5 rat, 21 environment, 5 food metagenome, ~3 other animal (baboon, cheetah), ~9 plant (peppers, </w:t>
            </w:r>
            <w:r w:rsidRPr="00901194">
              <w:rPr>
                <w:rFonts w:eastAsia="Times New Roman" w:cs="Times New Roman"/>
                <w:i/>
                <w:iCs/>
                <w:color w:val="000000"/>
              </w:rPr>
              <w:t>Nicotiana benthamiana</w:t>
            </w:r>
            <w:r w:rsidRPr="00901194">
              <w:rPr>
                <w:rFonts w:eastAsia="Times New Roman" w:cs="Times New Roman"/>
                <w:color w:val="000000"/>
              </w:rPr>
              <w:t>, corn, potato, tomato, thale cress, cotton)</w:t>
            </w:r>
          </w:p>
        </w:tc>
        <w:tc>
          <w:tcPr>
            <w:tcW w:w="1710" w:type="dxa"/>
            <w:tcBorders>
              <w:top w:val="nil"/>
              <w:left w:val="nil"/>
              <w:bottom w:val="single" w:sz="4" w:space="0" w:color="auto"/>
              <w:right w:val="single" w:sz="4" w:space="0" w:color="auto"/>
            </w:tcBorders>
            <w:shd w:val="clear" w:color="auto" w:fill="auto"/>
            <w:vAlign w:val="center"/>
            <w:hideMark/>
          </w:tcPr>
          <w:p w14:paraId="1581E322"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Staphylococcus aureus, Eggerthella lenta, Akkermansia, Bacteroides, Bifidobacterium, Roseburia, Clostridium, Bacillus, Pseudomonas, Amycolaptosis, E. coli, Nocardia, Streptomyces</w:t>
            </w:r>
          </w:p>
        </w:tc>
        <w:tc>
          <w:tcPr>
            <w:tcW w:w="1620" w:type="dxa"/>
            <w:tcBorders>
              <w:top w:val="nil"/>
              <w:left w:val="nil"/>
              <w:bottom w:val="single" w:sz="4" w:space="0" w:color="auto"/>
              <w:right w:val="single" w:sz="4" w:space="0" w:color="auto"/>
            </w:tcBorders>
            <w:shd w:val="clear" w:color="auto" w:fill="auto"/>
            <w:vAlign w:val="center"/>
            <w:hideMark/>
          </w:tcPr>
          <w:p w14:paraId="32F355C9" w14:textId="03F46ED0"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ONR primary wright, Human-associated bacteria cultured with  bile acids, Burger ingredients, Human rheumatoid arthritis, Amerindians urbanization gradient, American gut (with  plant consumption comparison),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Ancient DNA teeth, Nobel twin study</w:t>
            </w:r>
          </w:p>
        </w:tc>
        <w:tc>
          <w:tcPr>
            <w:tcW w:w="1710" w:type="dxa"/>
            <w:tcBorders>
              <w:top w:val="nil"/>
              <w:left w:val="nil"/>
              <w:bottom w:val="single" w:sz="4" w:space="0" w:color="auto"/>
              <w:right w:val="single" w:sz="4" w:space="0" w:color="auto"/>
            </w:tcBorders>
            <w:shd w:val="clear" w:color="auto" w:fill="auto"/>
            <w:vAlign w:val="center"/>
            <w:hideMark/>
          </w:tcPr>
          <w:p w14:paraId="3C2ECFF8" w14:textId="77777777" w:rsidR="00AC1FAA" w:rsidRPr="00901194" w:rsidRDefault="00000000" w:rsidP="00A3769A">
            <w:pPr>
              <w:spacing w:after="0" w:line="240" w:lineRule="auto"/>
              <w:jc w:val="center"/>
              <w:rPr>
                <w:rFonts w:eastAsia="Times New Roman" w:cs="Times New Roman"/>
                <w:color w:val="0563C1"/>
                <w:u w:val="single"/>
              </w:rPr>
            </w:pPr>
            <w:hyperlink r:id="rId207" w:history="1">
              <w:r w:rsidR="00AC1FAA" w:rsidRPr="00901194">
                <w:rPr>
                  <w:rFonts w:eastAsia="Times New Roman" w:cs="Times New Roman"/>
                  <w:color w:val="0563C1"/>
                  <w:u w:val="single"/>
                </w:rPr>
                <w:t>https://gnps.ucsd.edu/ProteoSAFe/status.jsp?task=7781fd3196b142e0975dbafc0f737392</w:t>
              </w:r>
            </w:hyperlink>
          </w:p>
        </w:tc>
        <w:tc>
          <w:tcPr>
            <w:tcW w:w="2070" w:type="dxa"/>
            <w:tcBorders>
              <w:top w:val="nil"/>
              <w:left w:val="nil"/>
              <w:bottom w:val="single" w:sz="4" w:space="0" w:color="auto"/>
              <w:right w:val="single" w:sz="4" w:space="0" w:color="auto"/>
            </w:tcBorders>
            <w:shd w:val="clear" w:color="auto" w:fill="auto"/>
            <w:vAlign w:val="center"/>
            <w:hideMark/>
          </w:tcPr>
          <w:p w14:paraId="6AED2FA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604A1EF9" w14:textId="77777777" w:rsidTr="00AC1FAA">
        <w:trPr>
          <w:trHeight w:val="33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4A46023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N-Tetracosenoyl-4-sphingenine</w:t>
            </w:r>
          </w:p>
        </w:tc>
        <w:tc>
          <w:tcPr>
            <w:tcW w:w="890" w:type="dxa"/>
            <w:tcBorders>
              <w:top w:val="nil"/>
              <w:left w:val="nil"/>
              <w:bottom w:val="single" w:sz="4" w:space="0" w:color="auto"/>
              <w:right w:val="single" w:sz="4" w:space="0" w:color="auto"/>
            </w:tcBorders>
            <w:shd w:val="clear" w:color="auto" w:fill="auto"/>
            <w:vAlign w:val="center"/>
            <w:hideMark/>
          </w:tcPr>
          <w:p w14:paraId="7ACF827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282.279</w:t>
            </w:r>
          </w:p>
        </w:tc>
        <w:tc>
          <w:tcPr>
            <w:tcW w:w="910" w:type="dxa"/>
            <w:tcBorders>
              <w:top w:val="nil"/>
              <w:left w:val="nil"/>
              <w:bottom w:val="single" w:sz="4" w:space="0" w:color="auto"/>
              <w:right w:val="single" w:sz="4" w:space="0" w:color="auto"/>
            </w:tcBorders>
            <w:shd w:val="clear" w:color="auto" w:fill="auto"/>
            <w:vAlign w:val="center"/>
            <w:hideMark/>
          </w:tcPr>
          <w:p w14:paraId="05CD1FE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6.09</w:t>
            </w:r>
          </w:p>
        </w:tc>
        <w:tc>
          <w:tcPr>
            <w:tcW w:w="1250" w:type="dxa"/>
            <w:tcBorders>
              <w:top w:val="nil"/>
              <w:left w:val="nil"/>
              <w:bottom w:val="single" w:sz="4" w:space="0" w:color="auto"/>
              <w:right w:val="single" w:sz="4" w:space="0" w:color="auto"/>
            </w:tcBorders>
            <w:shd w:val="clear" w:color="auto" w:fill="auto"/>
            <w:vAlign w:val="center"/>
            <w:hideMark/>
          </w:tcPr>
          <w:p w14:paraId="294E4A9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29 dataset matches</w:t>
            </w:r>
            <w:r w:rsidRPr="00901194">
              <w:rPr>
                <w:rFonts w:eastAsia="Times New Roman" w:cs="Times New Roman"/>
                <w:color w:val="000000"/>
              </w:rPr>
              <w:t>; 7 human, 11 mouse, 4 rat, 2 environment,</w:t>
            </w:r>
          </w:p>
        </w:tc>
        <w:tc>
          <w:tcPr>
            <w:tcW w:w="1710" w:type="dxa"/>
            <w:tcBorders>
              <w:top w:val="nil"/>
              <w:left w:val="nil"/>
              <w:bottom w:val="single" w:sz="4" w:space="0" w:color="auto"/>
              <w:right w:val="single" w:sz="4" w:space="0" w:color="auto"/>
            </w:tcBorders>
            <w:shd w:val="clear" w:color="auto" w:fill="auto"/>
            <w:vAlign w:val="center"/>
            <w:hideMark/>
          </w:tcPr>
          <w:p w14:paraId="3B917DD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"Bacteria"</w:t>
            </w:r>
          </w:p>
        </w:tc>
        <w:tc>
          <w:tcPr>
            <w:tcW w:w="1620" w:type="dxa"/>
            <w:tcBorders>
              <w:top w:val="nil"/>
              <w:left w:val="nil"/>
              <w:bottom w:val="single" w:sz="4" w:space="0" w:color="auto"/>
              <w:right w:val="single" w:sz="4" w:space="0" w:color="auto"/>
            </w:tcBorders>
            <w:shd w:val="clear" w:color="auto" w:fill="auto"/>
            <w:vAlign w:val="center"/>
            <w:hideMark/>
          </w:tcPr>
          <w:p w14:paraId="5795974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Burger ingredients, Human rheumatoid arthritis, Amerindians urbanization gradient, Anti-inflammatory diet in rheumatoid arthritis patients</w:t>
            </w:r>
          </w:p>
        </w:tc>
        <w:tc>
          <w:tcPr>
            <w:tcW w:w="1710" w:type="dxa"/>
            <w:tcBorders>
              <w:top w:val="nil"/>
              <w:left w:val="nil"/>
              <w:bottom w:val="single" w:sz="4" w:space="0" w:color="auto"/>
              <w:right w:val="single" w:sz="4" w:space="0" w:color="auto"/>
            </w:tcBorders>
            <w:shd w:val="clear" w:color="auto" w:fill="auto"/>
            <w:vAlign w:val="center"/>
            <w:hideMark/>
          </w:tcPr>
          <w:p w14:paraId="20D8F6B4" w14:textId="77777777" w:rsidR="00AC1FAA" w:rsidRPr="00901194" w:rsidRDefault="00000000" w:rsidP="00A3769A">
            <w:pPr>
              <w:spacing w:after="0" w:line="240" w:lineRule="auto"/>
              <w:jc w:val="center"/>
              <w:rPr>
                <w:rFonts w:eastAsia="Times New Roman" w:cs="Times New Roman"/>
                <w:color w:val="0563C1"/>
                <w:u w:val="single"/>
              </w:rPr>
            </w:pPr>
            <w:hyperlink r:id="rId208" w:history="1">
              <w:r w:rsidR="00AC1FAA" w:rsidRPr="00901194">
                <w:rPr>
                  <w:rFonts w:eastAsia="Times New Roman" w:cs="Times New Roman"/>
                  <w:color w:val="0563C1"/>
                  <w:u w:val="single"/>
                </w:rPr>
                <w:t>https://gnps.ucsd.edu/ProteoSAFe/status.jsp?task=ca9486b15bc64efea62c56a21ff74057</w:t>
              </w:r>
            </w:hyperlink>
          </w:p>
        </w:tc>
        <w:tc>
          <w:tcPr>
            <w:tcW w:w="2070" w:type="dxa"/>
            <w:tcBorders>
              <w:top w:val="nil"/>
              <w:left w:val="nil"/>
              <w:bottom w:val="single" w:sz="4" w:space="0" w:color="auto"/>
              <w:right w:val="single" w:sz="4" w:space="0" w:color="auto"/>
            </w:tcBorders>
            <w:shd w:val="clear" w:color="auto" w:fill="auto"/>
            <w:vAlign w:val="center"/>
            <w:hideMark/>
          </w:tcPr>
          <w:p w14:paraId="3E7D198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585D9F18" w14:textId="77777777" w:rsidTr="00AC1FAA">
        <w:trPr>
          <w:trHeight w:val="33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6930DC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Octadecanamide</w:t>
            </w:r>
          </w:p>
        </w:tc>
        <w:tc>
          <w:tcPr>
            <w:tcW w:w="890" w:type="dxa"/>
            <w:tcBorders>
              <w:top w:val="nil"/>
              <w:left w:val="nil"/>
              <w:bottom w:val="single" w:sz="4" w:space="0" w:color="auto"/>
              <w:right w:val="single" w:sz="4" w:space="0" w:color="auto"/>
            </w:tcBorders>
            <w:shd w:val="clear" w:color="auto" w:fill="auto"/>
            <w:vAlign w:val="center"/>
            <w:hideMark/>
          </w:tcPr>
          <w:p w14:paraId="228349A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284.295</w:t>
            </w:r>
          </w:p>
        </w:tc>
        <w:tc>
          <w:tcPr>
            <w:tcW w:w="910" w:type="dxa"/>
            <w:tcBorders>
              <w:top w:val="nil"/>
              <w:left w:val="nil"/>
              <w:bottom w:val="single" w:sz="4" w:space="0" w:color="auto"/>
              <w:right w:val="single" w:sz="4" w:space="0" w:color="auto"/>
            </w:tcBorders>
            <w:shd w:val="clear" w:color="auto" w:fill="auto"/>
            <w:vAlign w:val="center"/>
            <w:hideMark/>
          </w:tcPr>
          <w:p w14:paraId="21AE644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8.55</w:t>
            </w:r>
          </w:p>
        </w:tc>
        <w:tc>
          <w:tcPr>
            <w:tcW w:w="1250" w:type="dxa"/>
            <w:tcBorders>
              <w:top w:val="nil"/>
              <w:left w:val="nil"/>
              <w:bottom w:val="single" w:sz="4" w:space="0" w:color="auto"/>
              <w:right w:val="single" w:sz="4" w:space="0" w:color="auto"/>
            </w:tcBorders>
            <w:shd w:val="clear" w:color="auto" w:fill="auto"/>
            <w:vAlign w:val="center"/>
            <w:hideMark/>
          </w:tcPr>
          <w:p w14:paraId="3A49463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 dataset matches</w:t>
            </w:r>
            <w:r w:rsidRPr="00901194">
              <w:rPr>
                <w:rFonts w:eastAsia="Times New Roman" w:cs="Times New Roman"/>
                <w:color w:val="000000"/>
              </w:rPr>
              <w:t>; 3 human, 2 mouse</w:t>
            </w:r>
          </w:p>
        </w:tc>
        <w:tc>
          <w:tcPr>
            <w:tcW w:w="1710" w:type="dxa"/>
            <w:tcBorders>
              <w:top w:val="nil"/>
              <w:left w:val="nil"/>
              <w:bottom w:val="single" w:sz="4" w:space="0" w:color="auto"/>
              <w:right w:val="single" w:sz="4" w:space="0" w:color="auto"/>
            </w:tcBorders>
            <w:shd w:val="clear" w:color="auto" w:fill="auto"/>
            <w:vAlign w:val="center"/>
            <w:hideMark/>
          </w:tcPr>
          <w:p w14:paraId="2816963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058CF88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human plasma</w:t>
            </w:r>
          </w:p>
        </w:tc>
        <w:tc>
          <w:tcPr>
            <w:tcW w:w="1710" w:type="dxa"/>
            <w:tcBorders>
              <w:top w:val="nil"/>
              <w:left w:val="nil"/>
              <w:bottom w:val="single" w:sz="4" w:space="0" w:color="auto"/>
              <w:right w:val="single" w:sz="4" w:space="0" w:color="auto"/>
            </w:tcBorders>
            <w:shd w:val="clear" w:color="auto" w:fill="auto"/>
            <w:vAlign w:val="center"/>
            <w:hideMark/>
          </w:tcPr>
          <w:p w14:paraId="0C27DA6B" w14:textId="77777777" w:rsidR="00AC1FAA" w:rsidRPr="00901194" w:rsidRDefault="00000000" w:rsidP="00A3769A">
            <w:pPr>
              <w:spacing w:after="0" w:line="240" w:lineRule="auto"/>
              <w:jc w:val="center"/>
              <w:rPr>
                <w:rFonts w:eastAsia="Times New Roman" w:cs="Times New Roman"/>
                <w:color w:val="0563C1"/>
                <w:u w:val="single"/>
              </w:rPr>
            </w:pPr>
            <w:hyperlink r:id="rId209" w:history="1">
              <w:r w:rsidR="00AC1FAA" w:rsidRPr="00901194">
                <w:rPr>
                  <w:rFonts w:eastAsia="Times New Roman" w:cs="Times New Roman"/>
                  <w:color w:val="0563C1"/>
                  <w:u w:val="single"/>
                </w:rPr>
                <w:t>https://gnps.ucsd.edu/ProteoSAFe/status.jsp?task=e11d31d2e9294d8ea30cf1712be3184a</w:t>
              </w:r>
            </w:hyperlink>
          </w:p>
        </w:tc>
        <w:tc>
          <w:tcPr>
            <w:tcW w:w="2070" w:type="dxa"/>
            <w:tcBorders>
              <w:top w:val="nil"/>
              <w:left w:val="nil"/>
              <w:bottom w:val="single" w:sz="4" w:space="0" w:color="auto"/>
              <w:right w:val="single" w:sz="4" w:space="0" w:color="auto"/>
            </w:tcBorders>
            <w:shd w:val="clear" w:color="auto" w:fill="auto"/>
            <w:vAlign w:val="center"/>
            <w:hideMark/>
          </w:tcPr>
          <w:p w14:paraId="6FF3004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34AA869B" w14:textId="77777777" w:rsidTr="00AC1FAA">
        <w:trPr>
          <w:trHeight w:val="33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AAD41B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Xanthosine</w:t>
            </w:r>
          </w:p>
        </w:tc>
        <w:tc>
          <w:tcPr>
            <w:tcW w:w="890" w:type="dxa"/>
            <w:tcBorders>
              <w:top w:val="nil"/>
              <w:left w:val="nil"/>
              <w:bottom w:val="single" w:sz="4" w:space="0" w:color="auto"/>
              <w:right w:val="single" w:sz="4" w:space="0" w:color="auto"/>
            </w:tcBorders>
            <w:shd w:val="clear" w:color="auto" w:fill="auto"/>
            <w:vAlign w:val="center"/>
            <w:hideMark/>
          </w:tcPr>
          <w:p w14:paraId="03BE2BA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285.083</w:t>
            </w:r>
          </w:p>
        </w:tc>
        <w:tc>
          <w:tcPr>
            <w:tcW w:w="910" w:type="dxa"/>
            <w:tcBorders>
              <w:top w:val="nil"/>
              <w:left w:val="nil"/>
              <w:bottom w:val="single" w:sz="4" w:space="0" w:color="auto"/>
              <w:right w:val="single" w:sz="4" w:space="0" w:color="auto"/>
            </w:tcBorders>
            <w:shd w:val="clear" w:color="auto" w:fill="auto"/>
            <w:vAlign w:val="center"/>
            <w:hideMark/>
          </w:tcPr>
          <w:p w14:paraId="319E2F7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0.40</w:t>
            </w:r>
          </w:p>
        </w:tc>
        <w:tc>
          <w:tcPr>
            <w:tcW w:w="1250" w:type="dxa"/>
            <w:tcBorders>
              <w:top w:val="nil"/>
              <w:left w:val="nil"/>
              <w:bottom w:val="single" w:sz="4" w:space="0" w:color="auto"/>
              <w:right w:val="single" w:sz="4" w:space="0" w:color="auto"/>
            </w:tcBorders>
            <w:shd w:val="clear" w:color="auto" w:fill="auto"/>
            <w:vAlign w:val="center"/>
            <w:hideMark/>
          </w:tcPr>
          <w:p w14:paraId="1C8EC03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41 dataset matches</w:t>
            </w:r>
            <w:r w:rsidRPr="00901194">
              <w:rPr>
                <w:rFonts w:eastAsia="Times New Roman" w:cs="Times New Roman"/>
                <w:color w:val="000000"/>
              </w:rPr>
              <w:t>; 5 human, 21 mouse, 3 rat, 1 environment, 3 food metagenome, ~1 plant (</w:t>
            </w:r>
            <w:r w:rsidRPr="00901194">
              <w:rPr>
                <w:rFonts w:eastAsia="Times New Roman" w:cs="Times New Roman"/>
                <w:i/>
                <w:iCs/>
                <w:color w:val="000000"/>
              </w:rPr>
              <w:t>Genipapo</w:t>
            </w:r>
            <w:r w:rsidRPr="00901194">
              <w:rPr>
                <w:rFonts w:eastAsia="Times New Roman" w:cs="Times New Roman"/>
                <w:color w:val="000000"/>
              </w:rPr>
              <w:t>), ~1 other animal (rhino)</w:t>
            </w:r>
          </w:p>
        </w:tc>
        <w:tc>
          <w:tcPr>
            <w:tcW w:w="1710" w:type="dxa"/>
            <w:tcBorders>
              <w:top w:val="nil"/>
              <w:left w:val="nil"/>
              <w:bottom w:val="single" w:sz="4" w:space="0" w:color="auto"/>
              <w:right w:val="single" w:sz="4" w:space="0" w:color="auto"/>
            </w:tcBorders>
            <w:shd w:val="clear" w:color="auto" w:fill="auto"/>
            <w:vAlign w:val="center"/>
            <w:hideMark/>
          </w:tcPr>
          <w:p w14:paraId="2B71DB39"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Pseudomonas fluorescens, Photobacterium galatheae, Paenibacillus peoriae, Xenorhabdus hominickii</w:t>
            </w:r>
          </w:p>
        </w:tc>
        <w:tc>
          <w:tcPr>
            <w:tcW w:w="1620" w:type="dxa"/>
            <w:tcBorders>
              <w:top w:val="nil"/>
              <w:left w:val="nil"/>
              <w:bottom w:val="single" w:sz="4" w:space="0" w:color="auto"/>
              <w:right w:val="single" w:sz="4" w:space="0" w:color="auto"/>
            </w:tcBorders>
            <w:shd w:val="clear" w:color="auto" w:fill="auto"/>
            <w:vAlign w:val="center"/>
            <w:hideMark/>
          </w:tcPr>
          <w:p w14:paraId="49F3E53C" w14:textId="3DF8D0F2"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Burger ingredients, Zoo mammal fecal samples</w:t>
            </w:r>
            <w:r w:rsidR="00040784" w:rsidRPr="00901194">
              <w:rPr>
                <w:rFonts w:eastAsia="Times New Roman" w:cs="Times New Roman"/>
                <w:color w:val="000000"/>
              </w:rPr>
              <w:fldChar w:fldCharType="begin" w:fldLock="1"/>
            </w:r>
            <w:r w:rsidR="0004078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r w:rsidRPr="00901194">
              <w:rPr>
                <w:rFonts w:eastAsia="Times New Roman" w:cs="Times New Roman"/>
                <w:color w:val="000000"/>
              </w:rPr>
              <w:t>, Nobel twin study</w:t>
            </w:r>
          </w:p>
        </w:tc>
        <w:tc>
          <w:tcPr>
            <w:tcW w:w="1710" w:type="dxa"/>
            <w:tcBorders>
              <w:top w:val="nil"/>
              <w:left w:val="nil"/>
              <w:bottom w:val="single" w:sz="4" w:space="0" w:color="auto"/>
              <w:right w:val="single" w:sz="4" w:space="0" w:color="auto"/>
            </w:tcBorders>
            <w:shd w:val="clear" w:color="auto" w:fill="auto"/>
            <w:vAlign w:val="center"/>
            <w:hideMark/>
          </w:tcPr>
          <w:p w14:paraId="2CAE0C3C" w14:textId="77777777" w:rsidR="00AC1FAA" w:rsidRPr="00901194" w:rsidRDefault="00000000" w:rsidP="00A3769A">
            <w:pPr>
              <w:spacing w:after="0" w:line="240" w:lineRule="auto"/>
              <w:jc w:val="center"/>
              <w:rPr>
                <w:rFonts w:eastAsia="Times New Roman" w:cs="Times New Roman"/>
                <w:color w:val="0563C1"/>
                <w:u w:val="single"/>
              </w:rPr>
            </w:pPr>
            <w:hyperlink r:id="rId210" w:history="1">
              <w:r w:rsidR="00AC1FAA" w:rsidRPr="00901194">
                <w:rPr>
                  <w:rFonts w:eastAsia="Times New Roman" w:cs="Times New Roman"/>
                  <w:color w:val="0563C1"/>
                  <w:u w:val="single"/>
                </w:rPr>
                <w:t>https://gnps.ucsd.edu/ProteoSAFe/status.jsp?task=f40c0769edcc4b89b9e2f5507e2a976a</w:t>
              </w:r>
            </w:hyperlink>
          </w:p>
        </w:tc>
        <w:tc>
          <w:tcPr>
            <w:tcW w:w="2070" w:type="dxa"/>
            <w:tcBorders>
              <w:top w:val="nil"/>
              <w:left w:val="nil"/>
              <w:bottom w:val="single" w:sz="4" w:space="0" w:color="auto"/>
              <w:right w:val="single" w:sz="4" w:space="0" w:color="auto"/>
            </w:tcBorders>
            <w:shd w:val="clear" w:color="auto" w:fill="auto"/>
            <w:vAlign w:val="center"/>
            <w:hideMark/>
          </w:tcPr>
          <w:p w14:paraId="2C1820A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5B9D3B23" w14:textId="77777777" w:rsidTr="00AC1FAA">
        <w:trPr>
          <w:trHeight w:val="39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0CFAC88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Arg-Ile (Arginylisoleucine)</w:t>
            </w:r>
          </w:p>
        </w:tc>
        <w:tc>
          <w:tcPr>
            <w:tcW w:w="890" w:type="dxa"/>
            <w:tcBorders>
              <w:top w:val="nil"/>
              <w:left w:val="nil"/>
              <w:bottom w:val="single" w:sz="4" w:space="0" w:color="auto"/>
              <w:right w:val="single" w:sz="4" w:space="0" w:color="auto"/>
            </w:tcBorders>
            <w:shd w:val="clear" w:color="auto" w:fill="auto"/>
            <w:vAlign w:val="center"/>
            <w:hideMark/>
          </w:tcPr>
          <w:p w14:paraId="0BEB527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288.203</w:t>
            </w:r>
          </w:p>
        </w:tc>
        <w:tc>
          <w:tcPr>
            <w:tcW w:w="910" w:type="dxa"/>
            <w:tcBorders>
              <w:top w:val="nil"/>
              <w:left w:val="nil"/>
              <w:bottom w:val="single" w:sz="4" w:space="0" w:color="auto"/>
              <w:right w:val="single" w:sz="4" w:space="0" w:color="auto"/>
            </w:tcBorders>
            <w:shd w:val="clear" w:color="auto" w:fill="auto"/>
            <w:vAlign w:val="center"/>
            <w:hideMark/>
          </w:tcPr>
          <w:p w14:paraId="5DC8336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0.36</w:t>
            </w:r>
          </w:p>
        </w:tc>
        <w:tc>
          <w:tcPr>
            <w:tcW w:w="1250" w:type="dxa"/>
            <w:tcBorders>
              <w:top w:val="nil"/>
              <w:left w:val="nil"/>
              <w:bottom w:val="single" w:sz="4" w:space="0" w:color="auto"/>
              <w:right w:val="single" w:sz="4" w:space="0" w:color="auto"/>
            </w:tcBorders>
            <w:shd w:val="clear" w:color="auto" w:fill="auto"/>
            <w:vAlign w:val="center"/>
            <w:hideMark/>
          </w:tcPr>
          <w:p w14:paraId="6469579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53 dataset matches</w:t>
            </w:r>
            <w:r w:rsidRPr="00901194">
              <w:rPr>
                <w:rFonts w:eastAsia="Times New Roman" w:cs="Times New Roman"/>
                <w:color w:val="000000"/>
              </w:rPr>
              <w:t>; 9 human, 9 mouse, 5 rat, 5 environment, 6 food metagenome, ~3 plant (cotton, potato, tomato), ~1 other animal (rhino)</w:t>
            </w:r>
          </w:p>
        </w:tc>
        <w:tc>
          <w:tcPr>
            <w:tcW w:w="1710" w:type="dxa"/>
            <w:tcBorders>
              <w:top w:val="nil"/>
              <w:left w:val="nil"/>
              <w:bottom w:val="single" w:sz="4" w:space="0" w:color="auto"/>
              <w:right w:val="single" w:sz="4" w:space="0" w:color="auto"/>
            </w:tcBorders>
            <w:shd w:val="clear" w:color="auto" w:fill="auto"/>
            <w:vAlign w:val="center"/>
            <w:hideMark/>
          </w:tcPr>
          <w:p w14:paraId="38519C16"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Akkermansia, Bifidobacterium, Roseburia, Clostridium, Paenibacillus, Amycolaptosis, Pseudomonas fluorescens, Photobacterium galatheae, Xenorhabdus hominickii</w:t>
            </w:r>
          </w:p>
        </w:tc>
        <w:tc>
          <w:tcPr>
            <w:tcW w:w="1620" w:type="dxa"/>
            <w:tcBorders>
              <w:top w:val="nil"/>
              <w:left w:val="nil"/>
              <w:bottom w:val="single" w:sz="4" w:space="0" w:color="auto"/>
              <w:right w:val="single" w:sz="4" w:space="0" w:color="auto"/>
            </w:tcBorders>
            <w:shd w:val="clear" w:color="auto" w:fill="auto"/>
            <w:vAlign w:val="center"/>
            <w:hideMark/>
          </w:tcPr>
          <w:p w14:paraId="2DDDD13C" w14:textId="5676EFBC"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Burger ingredients, Zoo mammal fecal samples</w:t>
            </w:r>
            <w:r w:rsidR="00040784" w:rsidRPr="00901194">
              <w:rPr>
                <w:rFonts w:eastAsia="Times New Roman" w:cs="Times New Roman"/>
                <w:color w:val="000000"/>
              </w:rPr>
              <w:fldChar w:fldCharType="begin" w:fldLock="1"/>
            </w:r>
            <w:r w:rsidR="005B174F"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40784" w:rsidRPr="00901194">
              <w:rPr>
                <w:rFonts w:eastAsia="Times New Roman" w:cs="Times New Roman"/>
                <w:color w:val="000000"/>
              </w:rPr>
              <w:fldChar w:fldCharType="separate"/>
            </w:r>
            <w:r w:rsidR="00040784" w:rsidRPr="00901194">
              <w:rPr>
                <w:rFonts w:eastAsia="Times New Roman" w:cs="Times New Roman"/>
                <w:noProof/>
                <w:color w:val="000000"/>
                <w:vertAlign w:val="superscript"/>
              </w:rPr>
              <w:t>231</w:t>
            </w:r>
            <w:r w:rsidR="00040784"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31B0AB16" w14:textId="77777777" w:rsidR="00AC1FAA" w:rsidRPr="00901194" w:rsidRDefault="00000000" w:rsidP="00A3769A">
            <w:pPr>
              <w:spacing w:after="0" w:line="240" w:lineRule="auto"/>
              <w:jc w:val="center"/>
              <w:rPr>
                <w:rFonts w:eastAsia="Times New Roman" w:cs="Times New Roman"/>
                <w:color w:val="0563C1"/>
                <w:u w:val="single"/>
              </w:rPr>
            </w:pPr>
            <w:hyperlink r:id="rId211" w:history="1">
              <w:r w:rsidR="00AC1FAA" w:rsidRPr="00901194">
                <w:rPr>
                  <w:rFonts w:eastAsia="Times New Roman" w:cs="Times New Roman"/>
                  <w:color w:val="0563C1"/>
                  <w:u w:val="single"/>
                </w:rPr>
                <w:t>https://gnps.ucsd.edu/ProteoSAFe/status.jsp?task=ac1635b5525e4c48a6ba690f9bd314b1</w:t>
              </w:r>
            </w:hyperlink>
          </w:p>
        </w:tc>
        <w:tc>
          <w:tcPr>
            <w:tcW w:w="2070" w:type="dxa"/>
            <w:tcBorders>
              <w:top w:val="nil"/>
              <w:left w:val="nil"/>
              <w:bottom w:val="single" w:sz="4" w:space="0" w:color="auto"/>
              <w:right w:val="single" w:sz="4" w:space="0" w:color="auto"/>
            </w:tcBorders>
            <w:shd w:val="clear" w:color="auto" w:fill="auto"/>
            <w:vAlign w:val="center"/>
            <w:hideMark/>
          </w:tcPr>
          <w:p w14:paraId="61A03EF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388B7698" w14:textId="77777777" w:rsidTr="00AC1FAA">
        <w:trPr>
          <w:trHeight w:val="36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9F295A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cis-11,14-Eicosadienoic acid</w:t>
            </w:r>
          </w:p>
        </w:tc>
        <w:tc>
          <w:tcPr>
            <w:tcW w:w="890" w:type="dxa"/>
            <w:tcBorders>
              <w:top w:val="nil"/>
              <w:left w:val="nil"/>
              <w:bottom w:val="single" w:sz="4" w:space="0" w:color="auto"/>
              <w:right w:val="single" w:sz="4" w:space="0" w:color="auto"/>
            </w:tcBorders>
            <w:shd w:val="clear" w:color="auto" w:fill="auto"/>
            <w:vAlign w:val="center"/>
            <w:hideMark/>
          </w:tcPr>
          <w:p w14:paraId="2A638BF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291.268</w:t>
            </w:r>
          </w:p>
        </w:tc>
        <w:tc>
          <w:tcPr>
            <w:tcW w:w="910" w:type="dxa"/>
            <w:tcBorders>
              <w:top w:val="nil"/>
              <w:left w:val="nil"/>
              <w:bottom w:val="single" w:sz="4" w:space="0" w:color="auto"/>
              <w:right w:val="single" w:sz="4" w:space="0" w:color="auto"/>
            </w:tcBorders>
            <w:shd w:val="clear" w:color="auto" w:fill="auto"/>
            <w:vAlign w:val="center"/>
            <w:hideMark/>
          </w:tcPr>
          <w:p w14:paraId="47FC94C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5.54</w:t>
            </w:r>
          </w:p>
        </w:tc>
        <w:tc>
          <w:tcPr>
            <w:tcW w:w="1250" w:type="dxa"/>
            <w:tcBorders>
              <w:top w:val="nil"/>
              <w:left w:val="nil"/>
              <w:bottom w:val="single" w:sz="4" w:space="0" w:color="auto"/>
              <w:right w:val="single" w:sz="4" w:space="0" w:color="auto"/>
            </w:tcBorders>
            <w:shd w:val="clear" w:color="auto" w:fill="auto"/>
            <w:vAlign w:val="center"/>
            <w:hideMark/>
          </w:tcPr>
          <w:p w14:paraId="3FE5B77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21 dataset matches</w:t>
            </w:r>
            <w:r w:rsidRPr="00901194">
              <w:rPr>
                <w:rFonts w:eastAsia="Times New Roman" w:cs="Times New Roman"/>
                <w:color w:val="000000"/>
              </w:rPr>
              <w:t>; 7 human, 2 mouse, 1 rat, 2 environment, 1 food metagenome, ~2 plant (Malpighiaceae plants, Myoporeae plants</w:t>
            </w:r>
          </w:p>
        </w:tc>
        <w:tc>
          <w:tcPr>
            <w:tcW w:w="1710" w:type="dxa"/>
            <w:tcBorders>
              <w:top w:val="nil"/>
              <w:left w:val="nil"/>
              <w:bottom w:val="single" w:sz="4" w:space="0" w:color="auto"/>
              <w:right w:val="single" w:sz="4" w:space="0" w:color="auto"/>
            </w:tcBorders>
            <w:shd w:val="clear" w:color="auto" w:fill="auto"/>
            <w:vAlign w:val="center"/>
            <w:hideMark/>
          </w:tcPr>
          <w:p w14:paraId="6ABD44F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7A0CDDE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(with  plant consumption comparison), Nobel twin study</w:t>
            </w:r>
          </w:p>
        </w:tc>
        <w:tc>
          <w:tcPr>
            <w:tcW w:w="1710" w:type="dxa"/>
            <w:tcBorders>
              <w:top w:val="nil"/>
              <w:left w:val="nil"/>
              <w:bottom w:val="single" w:sz="4" w:space="0" w:color="auto"/>
              <w:right w:val="single" w:sz="4" w:space="0" w:color="auto"/>
            </w:tcBorders>
            <w:shd w:val="clear" w:color="auto" w:fill="auto"/>
            <w:vAlign w:val="center"/>
            <w:hideMark/>
          </w:tcPr>
          <w:p w14:paraId="5AA8C226" w14:textId="77777777" w:rsidR="00AC1FAA" w:rsidRPr="00901194" w:rsidRDefault="00000000" w:rsidP="00A3769A">
            <w:pPr>
              <w:spacing w:after="0" w:line="240" w:lineRule="auto"/>
              <w:jc w:val="center"/>
              <w:rPr>
                <w:rFonts w:eastAsia="Times New Roman" w:cs="Times New Roman"/>
                <w:color w:val="0563C1"/>
                <w:u w:val="single"/>
              </w:rPr>
            </w:pPr>
            <w:hyperlink r:id="rId212" w:history="1">
              <w:r w:rsidR="00AC1FAA" w:rsidRPr="00901194">
                <w:rPr>
                  <w:rFonts w:eastAsia="Times New Roman" w:cs="Times New Roman"/>
                  <w:color w:val="0563C1"/>
                  <w:u w:val="single"/>
                </w:rPr>
                <w:t>https://gnps.ucsd.edu/ProteoSAFe/status.jsp?task=c7075cb219be444493020b722375a145</w:t>
              </w:r>
            </w:hyperlink>
          </w:p>
        </w:tc>
        <w:tc>
          <w:tcPr>
            <w:tcW w:w="2070" w:type="dxa"/>
            <w:tcBorders>
              <w:top w:val="nil"/>
              <w:left w:val="nil"/>
              <w:bottom w:val="single" w:sz="4" w:space="0" w:color="auto"/>
              <w:right w:val="single" w:sz="4" w:space="0" w:color="auto"/>
            </w:tcBorders>
            <w:shd w:val="clear" w:color="auto" w:fill="auto"/>
            <w:vAlign w:val="center"/>
            <w:hideMark/>
          </w:tcPr>
          <w:p w14:paraId="172D1BA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6C667251"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951684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N-Acetylmuramic Acid</w:t>
            </w:r>
          </w:p>
        </w:tc>
        <w:tc>
          <w:tcPr>
            <w:tcW w:w="890" w:type="dxa"/>
            <w:tcBorders>
              <w:top w:val="nil"/>
              <w:left w:val="nil"/>
              <w:bottom w:val="single" w:sz="4" w:space="0" w:color="auto"/>
              <w:right w:val="single" w:sz="4" w:space="0" w:color="auto"/>
            </w:tcBorders>
            <w:shd w:val="clear" w:color="auto" w:fill="auto"/>
            <w:vAlign w:val="center"/>
            <w:hideMark/>
          </w:tcPr>
          <w:p w14:paraId="231A5B7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294.119</w:t>
            </w:r>
          </w:p>
        </w:tc>
        <w:tc>
          <w:tcPr>
            <w:tcW w:w="910" w:type="dxa"/>
            <w:tcBorders>
              <w:top w:val="nil"/>
              <w:left w:val="nil"/>
              <w:bottom w:val="single" w:sz="4" w:space="0" w:color="auto"/>
              <w:right w:val="single" w:sz="4" w:space="0" w:color="auto"/>
            </w:tcBorders>
            <w:shd w:val="clear" w:color="auto" w:fill="auto"/>
            <w:vAlign w:val="center"/>
            <w:hideMark/>
          </w:tcPr>
          <w:p w14:paraId="4532A3E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0.38</w:t>
            </w:r>
          </w:p>
        </w:tc>
        <w:tc>
          <w:tcPr>
            <w:tcW w:w="1250" w:type="dxa"/>
            <w:tcBorders>
              <w:top w:val="nil"/>
              <w:left w:val="nil"/>
              <w:bottom w:val="single" w:sz="4" w:space="0" w:color="auto"/>
              <w:right w:val="single" w:sz="4" w:space="0" w:color="auto"/>
            </w:tcBorders>
            <w:shd w:val="clear" w:color="auto" w:fill="auto"/>
            <w:vAlign w:val="center"/>
            <w:hideMark/>
          </w:tcPr>
          <w:p w14:paraId="42C6314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17 dataset matches</w:t>
            </w:r>
            <w:r w:rsidRPr="00901194">
              <w:rPr>
                <w:rFonts w:eastAsia="Times New Roman" w:cs="Times New Roman"/>
                <w:color w:val="000000"/>
              </w:rPr>
              <w:t>; 1 human, 6 mouse, 1 rat, 2 environment, 1 plant (tomato)</w:t>
            </w:r>
          </w:p>
        </w:tc>
        <w:tc>
          <w:tcPr>
            <w:tcW w:w="1710" w:type="dxa"/>
            <w:tcBorders>
              <w:top w:val="nil"/>
              <w:left w:val="nil"/>
              <w:bottom w:val="single" w:sz="4" w:space="0" w:color="auto"/>
              <w:right w:val="single" w:sz="4" w:space="0" w:color="auto"/>
            </w:tcBorders>
            <w:shd w:val="clear" w:color="auto" w:fill="auto"/>
            <w:vAlign w:val="center"/>
            <w:hideMark/>
          </w:tcPr>
          <w:p w14:paraId="485C52C5"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scabiei, Streptomyces, Streptomyces clavuligerus</w:t>
            </w:r>
          </w:p>
        </w:tc>
        <w:tc>
          <w:tcPr>
            <w:tcW w:w="1620" w:type="dxa"/>
            <w:tcBorders>
              <w:top w:val="nil"/>
              <w:left w:val="nil"/>
              <w:bottom w:val="single" w:sz="4" w:space="0" w:color="auto"/>
              <w:right w:val="single" w:sz="4" w:space="0" w:color="auto"/>
            </w:tcBorders>
            <w:shd w:val="clear" w:color="auto" w:fill="auto"/>
            <w:vAlign w:val="center"/>
            <w:hideMark/>
          </w:tcPr>
          <w:p w14:paraId="18E0265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6A2B71C1" w14:textId="77777777" w:rsidR="00AC1FAA" w:rsidRPr="00901194" w:rsidRDefault="00000000" w:rsidP="00A3769A">
            <w:pPr>
              <w:spacing w:after="0" w:line="240" w:lineRule="auto"/>
              <w:jc w:val="center"/>
              <w:rPr>
                <w:rFonts w:eastAsia="Times New Roman" w:cs="Times New Roman"/>
                <w:color w:val="0563C1"/>
                <w:u w:val="single"/>
              </w:rPr>
            </w:pPr>
            <w:hyperlink r:id="rId213" w:history="1">
              <w:r w:rsidR="00AC1FAA" w:rsidRPr="00901194">
                <w:rPr>
                  <w:rFonts w:eastAsia="Times New Roman" w:cs="Times New Roman"/>
                  <w:color w:val="0563C1"/>
                  <w:u w:val="single"/>
                </w:rPr>
                <w:t>https://gnps.ucsd.edu/ProteoSAFe/status.jsp?task=6c495d96e0bb4ceeb8c8821fd7a8f57b</w:t>
              </w:r>
            </w:hyperlink>
          </w:p>
        </w:tc>
        <w:tc>
          <w:tcPr>
            <w:tcW w:w="2070" w:type="dxa"/>
            <w:tcBorders>
              <w:top w:val="nil"/>
              <w:left w:val="nil"/>
              <w:bottom w:val="single" w:sz="4" w:space="0" w:color="auto"/>
              <w:right w:val="single" w:sz="4" w:space="0" w:color="auto"/>
            </w:tcBorders>
            <w:shd w:val="clear" w:color="auto" w:fill="auto"/>
            <w:vAlign w:val="center"/>
            <w:hideMark/>
          </w:tcPr>
          <w:p w14:paraId="1FB7E20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77632ECE" w14:textId="77777777" w:rsidTr="00AC1FAA">
        <w:trPr>
          <w:trHeight w:val="69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13C767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Tyr-Leu (Tyrosylleucine)</w:t>
            </w:r>
          </w:p>
        </w:tc>
        <w:tc>
          <w:tcPr>
            <w:tcW w:w="890" w:type="dxa"/>
            <w:tcBorders>
              <w:top w:val="nil"/>
              <w:left w:val="nil"/>
              <w:bottom w:val="single" w:sz="4" w:space="0" w:color="auto"/>
              <w:right w:val="single" w:sz="4" w:space="0" w:color="auto"/>
            </w:tcBorders>
            <w:shd w:val="clear" w:color="auto" w:fill="auto"/>
            <w:vAlign w:val="center"/>
            <w:hideMark/>
          </w:tcPr>
          <w:p w14:paraId="7799F34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295.165</w:t>
            </w:r>
          </w:p>
        </w:tc>
        <w:tc>
          <w:tcPr>
            <w:tcW w:w="910" w:type="dxa"/>
            <w:tcBorders>
              <w:top w:val="nil"/>
              <w:left w:val="nil"/>
              <w:bottom w:val="single" w:sz="4" w:space="0" w:color="auto"/>
              <w:right w:val="single" w:sz="4" w:space="0" w:color="auto"/>
            </w:tcBorders>
            <w:shd w:val="clear" w:color="auto" w:fill="auto"/>
            <w:vAlign w:val="center"/>
            <w:hideMark/>
          </w:tcPr>
          <w:p w14:paraId="68168CC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2.71</w:t>
            </w:r>
          </w:p>
        </w:tc>
        <w:tc>
          <w:tcPr>
            <w:tcW w:w="1250" w:type="dxa"/>
            <w:tcBorders>
              <w:top w:val="nil"/>
              <w:left w:val="nil"/>
              <w:bottom w:val="single" w:sz="4" w:space="0" w:color="auto"/>
              <w:right w:val="single" w:sz="4" w:space="0" w:color="auto"/>
            </w:tcBorders>
            <w:shd w:val="clear" w:color="auto" w:fill="auto"/>
            <w:vAlign w:val="center"/>
            <w:hideMark/>
          </w:tcPr>
          <w:p w14:paraId="4424CD0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153 dataset matches</w:t>
            </w:r>
            <w:r w:rsidRPr="00901194">
              <w:rPr>
                <w:rFonts w:eastAsia="Times New Roman" w:cs="Times New Roman"/>
                <w:color w:val="000000"/>
              </w:rPr>
              <w:t>; 48 human, 18 mouse, 6 rat, 16 environment, 12 food metagenome, ~3 other animal (cheetah, dog, rhino), ~6 plant (thale cress, melon, potato, corn)</w:t>
            </w:r>
          </w:p>
        </w:tc>
        <w:tc>
          <w:tcPr>
            <w:tcW w:w="1710" w:type="dxa"/>
            <w:tcBorders>
              <w:top w:val="nil"/>
              <w:left w:val="nil"/>
              <w:bottom w:val="single" w:sz="4" w:space="0" w:color="auto"/>
              <w:right w:val="single" w:sz="4" w:space="0" w:color="auto"/>
            </w:tcBorders>
            <w:shd w:val="clear" w:color="auto" w:fill="auto"/>
            <w:vAlign w:val="center"/>
            <w:hideMark/>
          </w:tcPr>
          <w:p w14:paraId="52DA2144"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E. coli, Bacteroides, Akkermansia, Bifidobacterium, Roseburia, Eggerthella, Clostridium, Pseudomonas, Nocardia, Streptomyces, Bacillus, Amycolaptosis, Paenibacillus, Photobacterium galatheae, Xenorhabdus hominickii</w:t>
            </w:r>
          </w:p>
        </w:tc>
        <w:tc>
          <w:tcPr>
            <w:tcW w:w="1620" w:type="dxa"/>
            <w:tcBorders>
              <w:top w:val="nil"/>
              <w:left w:val="nil"/>
              <w:bottom w:val="single" w:sz="4" w:space="0" w:color="auto"/>
              <w:right w:val="single" w:sz="4" w:space="0" w:color="auto"/>
            </w:tcBorders>
            <w:shd w:val="clear" w:color="auto" w:fill="auto"/>
            <w:vAlign w:val="center"/>
            <w:hideMark/>
          </w:tcPr>
          <w:p w14:paraId="153B0F7D" w14:textId="74B667F5"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ONR human diet, Human skin microbiome isolates</w:t>
            </w:r>
            <w:r w:rsidR="005B174F" w:rsidRPr="00901194">
              <w:rPr>
                <w:rFonts w:eastAsia="Times New Roman" w:cs="Times New Roman"/>
                <w:color w:val="000000"/>
              </w:rPr>
              <w:fldChar w:fldCharType="begin" w:fldLock="1"/>
            </w:r>
            <w:r w:rsidR="005B174F" w:rsidRPr="00901194">
              <w:rPr>
                <w:rFonts w:eastAsia="Times New Roman" w:cs="Times New Roman"/>
                <w:color w:val="000000"/>
              </w:rPr>
              <w:instrText>ADDIN CSL_CITATION {"citationItems":[{"id":"ITEM-1","itemData":{"DOI":"https://doi.org/10.1186/s40168-020-00831-y","author":[{"dropping-particle":"","family":"Timm","given":"Collin M","non-dropping-particle":"","parse-names":false,"suffix":""},{"dropping-particle":"","family":"Loomis","given":"Kristin","non-dropping-particle":"","parse-names":false,"suffix":""},{"dropping-particle":"","family":"Stone","given":"William","non-dropping-particle":"","parse-names":false,"suffix":""},{"dropping-particle":"","family":"Mehoke","given":"Thomas","non-dropping-particle":"","parse-names":false,"suffix":""},{"dropping-particle":"","family":"Brensinger","given":"Bryan","non-dropping-particle":"","parse-names":false,"suffix":""},{"dropping-particle":"","family":"Pellicore","given":"Matthew","non-dropping-particle":"","parse-names":false,"suffix":""},{"dropping-particle":"","family":"Staniczenko","given":"Phillip P A","non-dropping-particle":"","parse-names":false,"suffix":""},{"dropping-particle":"","family":"Charles","given":"Curtisha","non-dropping-particle":"","parse-names":false,"suffix":""},{"dropping-particle":"","family":"Nayak","given":"Seema","non-dropping-particle":"","parse-names":false,"suffix":""},{"dropping-particle":"","family":"Karig","given":"David K","non-dropping-particle":"","parse-names":false,"suffix":""}],"container-title":"Microbiome","id":"ITEM-1","issue":"58","issued":{"date-parts":[["2020"]]},"page":"1-12","publisher":"Microbiome","title":"Isolation and characterization of diverse microbial representatives from the human skin microbiome","type":"article-journal","volume":"8"},"uris":["http://www.mendeley.com/documents/?uuid=fdef6533-4e54-4cba-9505-c8ebd3ec1be0"]}],"mendeley":{"formattedCitation":"&lt;sup&gt;232&lt;/sup&gt;","plainTextFormattedCitation":"232","previouslyFormattedCitation":"&lt;sup&gt;232&lt;/sup&gt;"},"properties":{"noteIndex":0},"schema":"https://github.com/citation-style-language/schema/raw/master/csl-citation.json"}</w:instrText>
            </w:r>
            <w:r w:rsidR="005B174F" w:rsidRPr="00901194">
              <w:rPr>
                <w:rFonts w:eastAsia="Times New Roman" w:cs="Times New Roman"/>
                <w:color w:val="000000"/>
              </w:rPr>
              <w:fldChar w:fldCharType="separate"/>
            </w:r>
            <w:r w:rsidR="005B174F" w:rsidRPr="00901194">
              <w:rPr>
                <w:rFonts w:eastAsia="Times New Roman" w:cs="Times New Roman"/>
                <w:noProof/>
                <w:color w:val="000000"/>
                <w:vertAlign w:val="superscript"/>
              </w:rPr>
              <w:t>232</w:t>
            </w:r>
            <w:r w:rsidR="005B174F" w:rsidRPr="00901194">
              <w:rPr>
                <w:rFonts w:eastAsia="Times New Roman" w:cs="Times New Roman"/>
                <w:color w:val="000000"/>
              </w:rPr>
              <w:fldChar w:fldCharType="end"/>
            </w:r>
            <w:r w:rsidRPr="00901194">
              <w:rPr>
                <w:rFonts w:eastAsia="Times New Roman" w:cs="Times New Roman"/>
                <w:color w:val="000000"/>
              </w:rPr>
              <w:t>, Burger ingredients, Human-associated bacteria cultured with  bile acids, ONR primary wright, Amerindians urbanization gradient, Zoo mammal fecal samples</w:t>
            </w:r>
            <w:r w:rsidR="005B174F" w:rsidRPr="00901194">
              <w:rPr>
                <w:rFonts w:eastAsia="Times New Roman" w:cs="Times New Roman"/>
                <w:color w:val="000000"/>
              </w:rPr>
              <w:fldChar w:fldCharType="begin" w:fldLock="1"/>
            </w:r>
            <w:r w:rsidR="000C76D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5B174F" w:rsidRPr="00901194">
              <w:rPr>
                <w:rFonts w:eastAsia="Times New Roman" w:cs="Times New Roman"/>
                <w:color w:val="000000"/>
              </w:rPr>
              <w:fldChar w:fldCharType="separate"/>
            </w:r>
            <w:r w:rsidR="005B174F" w:rsidRPr="00901194">
              <w:rPr>
                <w:rFonts w:eastAsia="Times New Roman" w:cs="Times New Roman"/>
                <w:noProof/>
                <w:color w:val="000000"/>
                <w:vertAlign w:val="superscript"/>
              </w:rPr>
              <w:t>231</w:t>
            </w:r>
            <w:r w:rsidR="005B174F" w:rsidRPr="00901194">
              <w:rPr>
                <w:rFonts w:eastAsia="Times New Roman" w:cs="Times New Roman"/>
                <w:color w:val="000000"/>
              </w:rPr>
              <w:fldChar w:fldCharType="end"/>
            </w:r>
            <w:r w:rsidRPr="00901194">
              <w:rPr>
                <w:rFonts w:eastAsia="Times New Roman" w:cs="Times New Roman"/>
                <w:color w:val="000000"/>
              </w:rPr>
              <w:t>, Nobel twin study, Anti-inflammatory diet in rheumatoid arthritis patients</w:t>
            </w:r>
          </w:p>
        </w:tc>
        <w:tc>
          <w:tcPr>
            <w:tcW w:w="1710" w:type="dxa"/>
            <w:tcBorders>
              <w:top w:val="nil"/>
              <w:left w:val="nil"/>
              <w:bottom w:val="single" w:sz="4" w:space="0" w:color="auto"/>
              <w:right w:val="single" w:sz="4" w:space="0" w:color="auto"/>
            </w:tcBorders>
            <w:shd w:val="clear" w:color="auto" w:fill="auto"/>
            <w:vAlign w:val="center"/>
            <w:hideMark/>
          </w:tcPr>
          <w:p w14:paraId="15CDE376" w14:textId="77777777" w:rsidR="00AC1FAA" w:rsidRPr="00901194" w:rsidRDefault="00000000" w:rsidP="00A3769A">
            <w:pPr>
              <w:spacing w:after="0" w:line="240" w:lineRule="auto"/>
              <w:jc w:val="center"/>
              <w:rPr>
                <w:rFonts w:eastAsia="Times New Roman" w:cs="Times New Roman"/>
                <w:color w:val="0563C1"/>
                <w:u w:val="single"/>
              </w:rPr>
            </w:pPr>
            <w:hyperlink r:id="rId214" w:history="1">
              <w:r w:rsidR="00AC1FAA" w:rsidRPr="00901194">
                <w:rPr>
                  <w:rFonts w:eastAsia="Times New Roman" w:cs="Times New Roman"/>
                  <w:color w:val="0563C1"/>
                  <w:u w:val="single"/>
                </w:rPr>
                <w:t>https://gnps.ucsd.edu/ProteoSAFe/status.jsp?task=b55595173aa54b429e8056f941be4d3a</w:t>
              </w:r>
            </w:hyperlink>
          </w:p>
        </w:tc>
        <w:tc>
          <w:tcPr>
            <w:tcW w:w="2070" w:type="dxa"/>
            <w:tcBorders>
              <w:top w:val="nil"/>
              <w:left w:val="nil"/>
              <w:bottom w:val="single" w:sz="4" w:space="0" w:color="auto"/>
              <w:right w:val="single" w:sz="4" w:space="0" w:color="auto"/>
            </w:tcBorders>
            <w:shd w:val="clear" w:color="auto" w:fill="auto"/>
            <w:vAlign w:val="center"/>
            <w:hideMark/>
          </w:tcPr>
          <w:p w14:paraId="169BF06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7AF4BAD1"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307914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Phe-Met (Phenylalanylmethionine)</w:t>
            </w:r>
          </w:p>
        </w:tc>
        <w:tc>
          <w:tcPr>
            <w:tcW w:w="890" w:type="dxa"/>
            <w:tcBorders>
              <w:top w:val="nil"/>
              <w:left w:val="nil"/>
              <w:bottom w:val="single" w:sz="4" w:space="0" w:color="auto"/>
              <w:right w:val="single" w:sz="4" w:space="0" w:color="auto"/>
            </w:tcBorders>
            <w:shd w:val="clear" w:color="auto" w:fill="auto"/>
            <w:vAlign w:val="center"/>
            <w:hideMark/>
          </w:tcPr>
          <w:p w14:paraId="445DB8D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297.126</w:t>
            </w:r>
          </w:p>
        </w:tc>
        <w:tc>
          <w:tcPr>
            <w:tcW w:w="910" w:type="dxa"/>
            <w:tcBorders>
              <w:top w:val="nil"/>
              <w:left w:val="nil"/>
              <w:bottom w:val="single" w:sz="4" w:space="0" w:color="auto"/>
              <w:right w:val="single" w:sz="4" w:space="0" w:color="auto"/>
            </w:tcBorders>
            <w:shd w:val="clear" w:color="auto" w:fill="auto"/>
            <w:vAlign w:val="center"/>
            <w:hideMark/>
          </w:tcPr>
          <w:p w14:paraId="5A89251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2.18</w:t>
            </w:r>
          </w:p>
        </w:tc>
        <w:tc>
          <w:tcPr>
            <w:tcW w:w="1250" w:type="dxa"/>
            <w:tcBorders>
              <w:top w:val="nil"/>
              <w:left w:val="nil"/>
              <w:bottom w:val="single" w:sz="4" w:space="0" w:color="auto"/>
              <w:right w:val="single" w:sz="4" w:space="0" w:color="auto"/>
            </w:tcBorders>
            <w:shd w:val="clear" w:color="auto" w:fill="auto"/>
            <w:vAlign w:val="center"/>
            <w:hideMark/>
          </w:tcPr>
          <w:p w14:paraId="5A5FB48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31 dataset matches</w:t>
            </w:r>
            <w:r w:rsidRPr="00901194">
              <w:rPr>
                <w:rFonts w:eastAsia="Times New Roman" w:cs="Times New Roman"/>
                <w:color w:val="000000"/>
              </w:rPr>
              <w:t>; 5 human, 7 mouse, 3 rat, 4 environment, 4 food metagenome, ~2 plant (tomato, corn)</w:t>
            </w:r>
          </w:p>
        </w:tc>
        <w:tc>
          <w:tcPr>
            <w:tcW w:w="1710" w:type="dxa"/>
            <w:tcBorders>
              <w:top w:val="nil"/>
              <w:left w:val="nil"/>
              <w:bottom w:val="single" w:sz="4" w:space="0" w:color="auto"/>
              <w:right w:val="single" w:sz="4" w:space="0" w:color="auto"/>
            </w:tcBorders>
            <w:shd w:val="clear" w:color="auto" w:fill="auto"/>
            <w:vAlign w:val="center"/>
            <w:hideMark/>
          </w:tcPr>
          <w:p w14:paraId="249E419E"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Bacillus</w:t>
            </w:r>
          </w:p>
        </w:tc>
        <w:tc>
          <w:tcPr>
            <w:tcW w:w="1620" w:type="dxa"/>
            <w:tcBorders>
              <w:top w:val="nil"/>
              <w:left w:val="nil"/>
              <w:bottom w:val="single" w:sz="4" w:space="0" w:color="auto"/>
              <w:right w:val="single" w:sz="4" w:space="0" w:color="auto"/>
            </w:tcBorders>
            <w:shd w:val="clear" w:color="auto" w:fill="auto"/>
            <w:vAlign w:val="center"/>
            <w:hideMark/>
          </w:tcPr>
          <w:p w14:paraId="66480D4F" w14:textId="346907B6"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Wright human study, Amerindians urbanization gradient, Zoo mammal fecal samples</w:t>
            </w:r>
            <w:r w:rsidR="000C76DD" w:rsidRPr="00901194">
              <w:rPr>
                <w:rFonts w:eastAsia="Times New Roman" w:cs="Times New Roman"/>
                <w:color w:val="000000"/>
              </w:rPr>
              <w:fldChar w:fldCharType="begin" w:fldLock="1"/>
            </w:r>
            <w:r w:rsidR="000C76D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C76DD" w:rsidRPr="00901194">
              <w:rPr>
                <w:rFonts w:eastAsia="Times New Roman" w:cs="Times New Roman"/>
                <w:color w:val="000000"/>
              </w:rPr>
              <w:fldChar w:fldCharType="separate"/>
            </w:r>
            <w:r w:rsidR="000C76DD" w:rsidRPr="00901194">
              <w:rPr>
                <w:rFonts w:eastAsia="Times New Roman" w:cs="Times New Roman"/>
                <w:noProof/>
                <w:color w:val="000000"/>
                <w:vertAlign w:val="superscript"/>
              </w:rPr>
              <w:t>231</w:t>
            </w:r>
            <w:r w:rsidR="000C76DD"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75337167" w14:textId="77777777" w:rsidR="00AC1FAA" w:rsidRPr="00901194" w:rsidRDefault="00000000" w:rsidP="00A3769A">
            <w:pPr>
              <w:spacing w:after="0" w:line="240" w:lineRule="auto"/>
              <w:jc w:val="center"/>
              <w:rPr>
                <w:rFonts w:eastAsia="Times New Roman" w:cs="Times New Roman"/>
                <w:color w:val="0563C1"/>
                <w:u w:val="single"/>
              </w:rPr>
            </w:pPr>
            <w:hyperlink r:id="rId215" w:history="1">
              <w:r w:rsidR="00AC1FAA" w:rsidRPr="00901194">
                <w:rPr>
                  <w:rFonts w:eastAsia="Times New Roman" w:cs="Times New Roman"/>
                  <w:color w:val="0563C1"/>
                  <w:u w:val="single"/>
                </w:rPr>
                <w:t>https://gnps.ucsd.edu/ProteoSAFe/status.jsp?task=f691a68d2503426aa15f80cdd92f7d90</w:t>
              </w:r>
            </w:hyperlink>
          </w:p>
        </w:tc>
        <w:tc>
          <w:tcPr>
            <w:tcW w:w="2070" w:type="dxa"/>
            <w:tcBorders>
              <w:top w:val="nil"/>
              <w:left w:val="nil"/>
              <w:bottom w:val="single" w:sz="4" w:space="0" w:color="auto"/>
              <w:right w:val="single" w:sz="4" w:space="0" w:color="auto"/>
            </w:tcBorders>
            <w:shd w:val="clear" w:color="auto" w:fill="auto"/>
            <w:vAlign w:val="center"/>
            <w:hideMark/>
          </w:tcPr>
          <w:p w14:paraId="5192773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38FB32AC" w14:textId="77777777" w:rsidTr="00AC1FAA">
        <w:trPr>
          <w:trHeight w:val="45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9AFE07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Ile-Gly-Ile (Isoleucylglycylisoleucine)</w:t>
            </w:r>
          </w:p>
        </w:tc>
        <w:tc>
          <w:tcPr>
            <w:tcW w:w="890" w:type="dxa"/>
            <w:tcBorders>
              <w:top w:val="nil"/>
              <w:left w:val="nil"/>
              <w:bottom w:val="single" w:sz="4" w:space="0" w:color="auto"/>
              <w:right w:val="single" w:sz="4" w:space="0" w:color="auto"/>
            </w:tcBorders>
            <w:shd w:val="clear" w:color="auto" w:fill="auto"/>
            <w:vAlign w:val="center"/>
            <w:hideMark/>
          </w:tcPr>
          <w:p w14:paraId="0B42BE2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302.205</w:t>
            </w:r>
          </w:p>
        </w:tc>
        <w:tc>
          <w:tcPr>
            <w:tcW w:w="910" w:type="dxa"/>
            <w:tcBorders>
              <w:top w:val="nil"/>
              <w:left w:val="nil"/>
              <w:bottom w:val="single" w:sz="4" w:space="0" w:color="auto"/>
              <w:right w:val="single" w:sz="4" w:space="0" w:color="auto"/>
            </w:tcBorders>
            <w:shd w:val="clear" w:color="auto" w:fill="auto"/>
            <w:vAlign w:val="center"/>
            <w:hideMark/>
          </w:tcPr>
          <w:p w14:paraId="1A8582E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3.04</w:t>
            </w:r>
          </w:p>
        </w:tc>
        <w:tc>
          <w:tcPr>
            <w:tcW w:w="1250" w:type="dxa"/>
            <w:tcBorders>
              <w:top w:val="nil"/>
              <w:left w:val="nil"/>
              <w:bottom w:val="single" w:sz="4" w:space="0" w:color="auto"/>
              <w:right w:val="single" w:sz="4" w:space="0" w:color="auto"/>
            </w:tcBorders>
            <w:shd w:val="clear" w:color="auto" w:fill="auto"/>
            <w:vAlign w:val="center"/>
            <w:hideMark/>
          </w:tcPr>
          <w:p w14:paraId="0EFAF21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99 dataset matches</w:t>
            </w:r>
            <w:r w:rsidRPr="00901194">
              <w:rPr>
                <w:rFonts w:eastAsia="Times New Roman" w:cs="Times New Roman"/>
                <w:color w:val="000000"/>
              </w:rPr>
              <w:t>; 16 human, 29 mouse, 5 rat, 14 environment, 7 food metagenome, ~3 other animal (cheetah, cat, dog), ~5 plant (corn, tomato, potato)</w:t>
            </w:r>
          </w:p>
        </w:tc>
        <w:tc>
          <w:tcPr>
            <w:tcW w:w="1710" w:type="dxa"/>
            <w:tcBorders>
              <w:top w:val="nil"/>
              <w:left w:val="nil"/>
              <w:bottom w:val="single" w:sz="4" w:space="0" w:color="auto"/>
              <w:right w:val="single" w:sz="4" w:space="0" w:color="auto"/>
            </w:tcBorders>
            <w:shd w:val="clear" w:color="auto" w:fill="auto"/>
            <w:vAlign w:val="center"/>
            <w:hideMark/>
          </w:tcPr>
          <w:p w14:paraId="4C263BF7"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Eubacteria, Bacillus, Bacteroides, Akkermansia, Bifidobacterium, Roseburia, Eggerthella, Clostridium, Pseudomonas, Amycolaptosis, Streptomyces albus, Paenibacillus</w:t>
            </w:r>
          </w:p>
        </w:tc>
        <w:tc>
          <w:tcPr>
            <w:tcW w:w="1620" w:type="dxa"/>
            <w:tcBorders>
              <w:top w:val="nil"/>
              <w:left w:val="nil"/>
              <w:bottom w:val="single" w:sz="4" w:space="0" w:color="auto"/>
              <w:right w:val="single" w:sz="4" w:space="0" w:color="auto"/>
            </w:tcBorders>
            <w:shd w:val="clear" w:color="auto" w:fill="auto"/>
            <w:vAlign w:val="center"/>
            <w:hideMark/>
          </w:tcPr>
          <w:p w14:paraId="71D743E0" w14:textId="5D922D6D"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Burger ingredients, Human gut bacteria biotransformation, Human-associated bacteria cultured with bile acids, ONR human diet, Amerindians urbanization gradient, Zoo mammal fecal samples</w:t>
            </w:r>
            <w:r w:rsidR="000C76DD" w:rsidRPr="00901194">
              <w:rPr>
                <w:rFonts w:eastAsia="Times New Roman" w:cs="Times New Roman"/>
                <w:color w:val="000000"/>
              </w:rPr>
              <w:fldChar w:fldCharType="begin" w:fldLock="1"/>
            </w:r>
            <w:r w:rsidR="000C76D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C76DD" w:rsidRPr="00901194">
              <w:rPr>
                <w:rFonts w:eastAsia="Times New Roman" w:cs="Times New Roman"/>
                <w:color w:val="000000"/>
              </w:rPr>
              <w:fldChar w:fldCharType="separate"/>
            </w:r>
            <w:r w:rsidR="000C76DD" w:rsidRPr="00901194">
              <w:rPr>
                <w:rFonts w:eastAsia="Times New Roman" w:cs="Times New Roman"/>
                <w:noProof/>
                <w:color w:val="000000"/>
                <w:vertAlign w:val="superscript"/>
              </w:rPr>
              <w:t>231</w:t>
            </w:r>
            <w:r w:rsidR="000C76DD"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6A53DDB6" w14:textId="77777777" w:rsidR="00AC1FAA" w:rsidRPr="00901194" w:rsidRDefault="00000000" w:rsidP="00A3769A">
            <w:pPr>
              <w:spacing w:after="0" w:line="240" w:lineRule="auto"/>
              <w:jc w:val="center"/>
              <w:rPr>
                <w:rFonts w:eastAsia="Times New Roman" w:cs="Times New Roman"/>
                <w:color w:val="0563C1"/>
                <w:u w:val="single"/>
              </w:rPr>
            </w:pPr>
            <w:hyperlink r:id="rId216" w:history="1">
              <w:r w:rsidR="00AC1FAA" w:rsidRPr="00901194">
                <w:rPr>
                  <w:rFonts w:eastAsia="Times New Roman" w:cs="Times New Roman"/>
                  <w:color w:val="0563C1"/>
                  <w:u w:val="single"/>
                </w:rPr>
                <w:t>https://gnps.ucsd.edu/ProteoSAFe/status.jsp?task=0b17a25c3d6445d5b2c4a8e335adba23</w:t>
              </w:r>
            </w:hyperlink>
          </w:p>
        </w:tc>
        <w:tc>
          <w:tcPr>
            <w:tcW w:w="2070" w:type="dxa"/>
            <w:tcBorders>
              <w:top w:val="nil"/>
              <w:left w:val="nil"/>
              <w:bottom w:val="single" w:sz="4" w:space="0" w:color="auto"/>
              <w:right w:val="single" w:sz="4" w:space="0" w:color="auto"/>
            </w:tcBorders>
            <w:shd w:val="clear" w:color="auto" w:fill="auto"/>
            <w:vAlign w:val="center"/>
            <w:hideMark/>
          </w:tcPr>
          <w:p w14:paraId="2E6D7A5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3D248FC0"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7D3CCE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Val-Trp (Valyltryptophan)</w:t>
            </w:r>
          </w:p>
        </w:tc>
        <w:tc>
          <w:tcPr>
            <w:tcW w:w="890" w:type="dxa"/>
            <w:tcBorders>
              <w:top w:val="nil"/>
              <w:left w:val="nil"/>
              <w:bottom w:val="single" w:sz="4" w:space="0" w:color="auto"/>
              <w:right w:val="single" w:sz="4" w:space="0" w:color="auto"/>
            </w:tcBorders>
            <w:shd w:val="clear" w:color="auto" w:fill="auto"/>
            <w:vAlign w:val="center"/>
            <w:hideMark/>
          </w:tcPr>
          <w:p w14:paraId="33675F6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304.167</w:t>
            </w:r>
          </w:p>
        </w:tc>
        <w:tc>
          <w:tcPr>
            <w:tcW w:w="910" w:type="dxa"/>
            <w:tcBorders>
              <w:top w:val="nil"/>
              <w:left w:val="nil"/>
              <w:bottom w:val="single" w:sz="4" w:space="0" w:color="auto"/>
              <w:right w:val="single" w:sz="4" w:space="0" w:color="auto"/>
            </w:tcBorders>
            <w:shd w:val="clear" w:color="auto" w:fill="auto"/>
            <w:vAlign w:val="center"/>
            <w:hideMark/>
          </w:tcPr>
          <w:p w14:paraId="1FC4BF5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3.02</w:t>
            </w:r>
          </w:p>
        </w:tc>
        <w:tc>
          <w:tcPr>
            <w:tcW w:w="1250" w:type="dxa"/>
            <w:tcBorders>
              <w:top w:val="nil"/>
              <w:left w:val="nil"/>
              <w:bottom w:val="single" w:sz="4" w:space="0" w:color="auto"/>
              <w:right w:val="single" w:sz="4" w:space="0" w:color="auto"/>
            </w:tcBorders>
            <w:shd w:val="clear" w:color="auto" w:fill="auto"/>
            <w:vAlign w:val="center"/>
            <w:hideMark/>
          </w:tcPr>
          <w:p w14:paraId="59ECAE1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28 dataset matches</w:t>
            </w:r>
            <w:r w:rsidRPr="00901194">
              <w:rPr>
                <w:rFonts w:eastAsia="Times New Roman" w:cs="Times New Roman"/>
                <w:color w:val="000000"/>
              </w:rPr>
              <w:t>; 2 human, 6 mouse, 2 rat, 2 food metagenome,~3 plant (tomato, cotton, potato), 1 other animal (rhino)</w:t>
            </w:r>
          </w:p>
        </w:tc>
        <w:tc>
          <w:tcPr>
            <w:tcW w:w="1710" w:type="dxa"/>
            <w:tcBorders>
              <w:top w:val="nil"/>
              <w:left w:val="nil"/>
              <w:bottom w:val="single" w:sz="4" w:space="0" w:color="auto"/>
              <w:right w:val="single" w:sz="4" w:space="0" w:color="auto"/>
            </w:tcBorders>
            <w:shd w:val="clear" w:color="auto" w:fill="auto"/>
            <w:vAlign w:val="center"/>
            <w:hideMark/>
          </w:tcPr>
          <w:p w14:paraId="67E07C01"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clavuligerus, Streptomyces scabiei, Bacteroides, Akkermansia, Bifidobacterium, Roseburia, Eggerthella, Clostridium</w:t>
            </w:r>
          </w:p>
        </w:tc>
        <w:tc>
          <w:tcPr>
            <w:tcW w:w="1620" w:type="dxa"/>
            <w:tcBorders>
              <w:top w:val="nil"/>
              <w:left w:val="nil"/>
              <w:bottom w:val="single" w:sz="4" w:space="0" w:color="auto"/>
              <w:right w:val="single" w:sz="4" w:space="0" w:color="auto"/>
            </w:tcBorders>
            <w:shd w:val="clear" w:color="auto" w:fill="auto"/>
            <w:vAlign w:val="center"/>
            <w:hideMark/>
          </w:tcPr>
          <w:p w14:paraId="2A021AAA" w14:textId="2B3C2F6B"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Zoo mammal fecal samples</w:t>
            </w:r>
            <w:r w:rsidR="000C76DD" w:rsidRPr="00901194">
              <w:rPr>
                <w:rFonts w:eastAsia="Times New Roman" w:cs="Times New Roman"/>
                <w:color w:val="000000"/>
              </w:rPr>
              <w:fldChar w:fldCharType="begin" w:fldLock="1"/>
            </w:r>
            <w:r w:rsidR="000C76D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C76DD" w:rsidRPr="00901194">
              <w:rPr>
                <w:rFonts w:eastAsia="Times New Roman" w:cs="Times New Roman"/>
                <w:color w:val="000000"/>
              </w:rPr>
              <w:fldChar w:fldCharType="separate"/>
            </w:r>
            <w:r w:rsidR="000C76DD" w:rsidRPr="00901194">
              <w:rPr>
                <w:rFonts w:eastAsia="Times New Roman" w:cs="Times New Roman"/>
                <w:noProof/>
                <w:color w:val="000000"/>
                <w:vertAlign w:val="superscript"/>
              </w:rPr>
              <w:t>231</w:t>
            </w:r>
            <w:r w:rsidR="000C76DD"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2DC5BF9B" w14:textId="77777777" w:rsidR="00AC1FAA" w:rsidRPr="00901194" w:rsidRDefault="00000000" w:rsidP="00A3769A">
            <w:pPr>
              <w:spacing w:after="0" w:line="240" w:lineRule="auto"/>
              <w:jc w:val="center"/>
              <w:rPr>
                <w:rFonts w:eastAsia="Times New Roman" w:cs="Times New Roman"/>
                <w:color w:val="0563C1"/>
                <w:u w:val="single"/>
              </w:rPr>
            </w:pPr>
            <w:hyperlink r:id="rId217" w:history="1">
              <w:r w:rsidR="00AC1FAA" w:rsidRPr="00901194">
                <w:rPr>
                  <w:rFonts w:eastAsia="Times New Roman" w:cs="Times New Roman"/>
                  <w:color w:val="0563C1"/>
                  <w:u w:val="single"/>
                </w:rPr>
                <w:t>https://gnps.ucsd.edu/ProteoSAFe/status.jsp?task=f2352760f6db441f9bb0880f3ee98c26</w:t>
              </w:r>
            </w:hyperlink>
          </w:p>
        </w:tc>
        <w:tc>
          <w:tcPr>
            <w:tcW w:w="2070" w:type="dxa"/>
            <w:tcBorders>
              <w:top w:val="nil"/>
              <w:left w:val="nil"/>
              <w:bottom w:val="single" w:sz="4" w:space="0" w:color="auto"/>
              <w:right w:val="single" w:sz="4" w:space="0" w:color="auto"/>
            </w:tcBorders>
            <w:shd w:val="clear" w:color="auto" w:fill="auto"/>
            <w:vAlign w:val="center"/>
            <w:hideMark/>
          </w:tcPr>
          <w:p w14:paraId="16545A9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DB46D33"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EAB8F5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Fructoselysine</w:t>
            </w:r>
          </w:p>
        </w:tc>
        <w:tc>
          <w:tcPr>
            <w:tcW w:w="890" w:type="dxa"/>
            <w:tcBorders>
              <w:top w:val="nil"/>
              <w:left w:val="nil"/>
              <w:bottom w:val="single" w:sz="4" w:space="0" w:color="auto"/>
              <w:right w:val="single" w:sz="4" w:space="0" w:color="auto"/>
            </w:tcBorders>
            <w:shd w:val="clear" w:color="auto" w:fill="auto"/>
            <w:vAlign w:val="center"/>
            <w:hideMark/>
          </w:tcPr>
          <w:p w14:paraId="56A7E21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309.164</w:t>
            </w:r>
          </w:p>
        </w:tc>
        <w:tc>
          <w:tcPr>
            <w:tcW w:w="910" w:type="dxa"/>
            <w:tcBorders>
              <w:top w:val="nil"/>
              <w:left w:val="nil"/>
              <w:bottom w:val="single" w:sz="4" w:space="0" w:color="auto"/>
              <w:right w:val="single" w:sz="4" w:space="0" w:color="auto"/>
            </w:tcBorders>
            <w:shd w:val="clear" w:color="auto" w:fill="auto"/>
            <w:vAlign w:val="center"/>
            <w:hideMark/>
          </w:tcPr>
          <w:p w14:paraId="0199572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0.31</w:t>
            </w:r>
          </w:p>
        </w:tc>
        <w:tc>
          <w:tcPr>
            <w:tcW w:w="1250" w:type="dxa"/>
            <w:tcBorders>
              <w:top w:val="nil"/>
              <w:left w:val="nil"/>
              <w:bottom w:val="single" w:sz="4" w:space="0" w:color="auto"/>
              <w:right w:val="single" w:sz="4" w:space="0" w:color="auto"/>
            </w:tcBorders>
            <w:shd w:val="clear" w:color="auto" w:fill="auto"/>
            <w:vAlign w:val="center"/>
            <w:hideMark/>
          </w:tcPr>
          <w:p w14:paraId="72B097D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44 dataset matches</w:t>
            </w:r>
            <w:r w:rsidRPr="00901194">
              <w:rPr>
                <w:rFonts w:eastAsia="Times New Roman" w:cs="Times New Roman"/>
                <w:color w:val="000000"/>
              </w:rPr>
              <w:t>; 12 human, 13 mouse, 4 rat, 1 environment, 3 food metagenome</w:t>
            </w:r>
          </w:p>
        </w:tc>
        <w:tc>
          <w:tcPr>
            <w:tcW w:w="1710" w:type="dxa"/>
            <w:tcBorders>
              <w:top w:val="nil"/>
              <w:left w:val="nil"/>
              <w:bottom w:val="single" w:sz="4" w:space="0" w:color="auto"/>
              <w:right w:val="single" w:sz="4" w:space="0" w:color="auto"/>
            </w:tcBorders>
            <w:shd w:val="clear" w:color="auto" w:fill="auto"/>
            <w:vAlign w:val="center"/>
            <w:hideMark/>
          </w:tcPr>
          <w:p w14:paraId="7BBD901B"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Nocardia, Streptomyces, Bacteroides, Akkermansia, Bifidobacterium, Roseburia, Eggerthella, Clostridium, Amycolaptosis</w:t>
            </w:r>
          </w:p>
        </w:tc>
        <w:tc>
          <w:tcPr>
            <w:tcW w:w="1620" w:type="dxa"/>
            <w:tcBorders>
              <w:top w:val="nil"/>
              <w:left w:val="nil"/>
              <w:bottom w:val="single" w:sz="4" w:space="0" w:color="auto"/>
              <w:right w:val="single" w:sz="4" w:space="0" w:color="auto"/>
            </w:tcBorders>
            <w:shd w:val="clear" w:color="auto" w:fill="auto"/>
            <w:vAlign w:val="center"/>
            <w:hideMark/>
          </w:tcPr>
          <w:p w14:paraId="324E5D5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American gut (also UK)</w:t>
            </w:r>
          </w:p>
        </w:tc>
        <w:tc>
          <w:tcPr>
            <w:tcW w:w="1710" w:type="dxa"/>
            <w:tcBorders>
              <w:top w:val="nil"/>
              <w:left w:val="nil"/>
              <w:bottom w:val="single" w:sz="4" w:space="0" w:color="auto"/>
              <w:right w:val="single" w:sz="4" w:space="0" w:color="auto"/>
            </w:tcBorders>
            <w:shd w:val="clear" w:color="auto" w:fill="auto"/>
            <w:vAlign w:val="center"/>
            <w:hideMark/>
          </w:tcPr>
          <w:p w14:paraId="03606E83" w14:textId="77777777" w:rsidR="00AC1FAA" w:rsidRPr="00901194" w:rsidRDefault="00000000" w:rsidP="00A3769A">
            <w:pPr>
              <w:spacing w:after="0" w:line="240" w:lineRule="auto"/>
              <w:jc w:val="center"/>
              <w:rPr>
                <w:rFonts w:eastAsia="Times New Roman" w:cs="Times New Roman"/>
                <w:color w:val="0563C1"/>
                <w:u w:val="single"/>
              </w:rPr>
            </w:pPr>
            <w:hyperlink r:id="rId218" w:history="1">
              <w:r w:rsidR="00AC1FAA" w:rsidRPr="00901194">
                <w:rPr>
                  <w:rFonts w:eastAsia="Times New Roman" w:cs="Times New Roman"/>
                  <w:color w:val="0563C1"/>
                  <w:u w:val="single"/>
                </w:rPr>
                <w:t>https://gnps.ucsd.edu/ProteoSAFe/status.jsp?task=d3840c7b8fd0438ab2518ebbabbf5b62</w:t>
              </w:r>
            </w:hyperlink>
          </w:p>
        </w:tc>
        <w:tc>
          <w:tcPr>
            <w:tcW w:w="2070" w:type="dxa"/>
            <w:tcBorders>
              <w:top w:val="nil"/>
              <w:left w:val="nil"/>
              <w:bottom w:val="single" w:sz="4" w:space="0" w:color="auto"/>
              <w:right w:val="single" w:sz="4" w:space="0" w:color="auto"/>
            </w:tcBorders>
            <w:shd w:val="clear" w:color="auto" w:fill="auto"/>
            <w:vAlign w:val="center"/>
            <w:hideMark/>
          </w:tcPr>
          <w:p w14:paraId="257C542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4FDDDD7D"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7DCE16F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N-Palmitoylglycine</w:t>
            </w:r>
          </w:p>
        </w:tc>
        <w:tc>
          <w:tcPr>
            <w:tcW w:w="890" w:type="dxa"/>
            <w:tcBorders>
              <w:top w:val="nil"/>
              <w:left w:val="nil"/>
              <w:bottom w:val="single" w:sz="4" w:space="0" w:color="auto"/>
              <w:right w:val="single" w:sz="4" w:space="0" w:color="auto"/>
            </w:tcBorders>
            <w:shd w:val="clear" w:color="auto" w:fill="auto"/>
            <w:vAlign w:val="center"/>
            <w:hideMark/>
          </w:tcPr>
          <w:p w14:paraId="6654E37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314.27</w:t>
            </w:r>
          </w:p>
        </w:tc>
        <w:tc>
          <w:tcPr>
            <w:tcW w:w="910" w:type="dxa"/>
            <w:tcBorders>
              <w:top w:val="nil"/>
              <w:left w:val="nil"/>
              <w:bottom w:val="single" w:sz="4" w:space="0" w:color="auto"/>
              <w:right w:val="single" w:sz="4" w:space="0" w:color="auto"/>
            </w:tcBorders>
            <w:shd w:val="clear" w:color="auto" w:fill="auto"/>
            <w:vAlign w:val="center"/>
            <w:hideMark/>
          </w:tcPr>
          <w:p w14:paraId="61A73A4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7.34</w:t>
            </w:r>
          </w:p>
        </w:tc>
        <w:tc>
          <w:tcPr>
            <w:tcW w:w="1250" w:type="dxa"/>
            <w:tcBorders>
              <w:top w:val="nil"/>
              <w:left w:val="nil"/>
              <w:bottom w:val="single" w:sz="4" w:space="0" w:color="auto"/>
              <w:right w:val="single" w:sz="4" w:space="0" w:color="auto"/>
            </w:tcBorders>
            <w:shd w:val="clear" w:color="auto" w:fill="auto"/>
            <w:vAlign w:val="center"/>
            <w:hideMark/>
          </w:tcPr>
          <w:p w14:paraId="67746F4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8 dataset matches</w:t>
            </w:r>
            <w:r w:rsidRPr="00901194">
              <w:rPr>
                <w:rFonts w:eastAsia="Times New Roman" w:cs="Times New Roman"/>
                <w:color w:val="000000"/>
              </w:rPr>
              <w:t>; 1 human, 2 mouse, ~1 plant (</w:t>
            </w:r>
            <w:r w:rsidRPr="00901194">
              <w:rPr>
                <w:rFonts w:eastAsia="Times New Roman" w:cs="Times New Roman"/>
                <w:i/>
                <w:iCs/>
                <w:color w:val="000000"/>
              </w:rPr>
              <w:t>Euphorbiaceae</w:t>
            </w:r>
            <w:r w:rsidRPr="00901194">
              <w:rPr>
                <w:rFonts w:eastAsia="Times New Roman" w:cs="Times New Roman"/>
                <w:color w:val="000000"/>
              </w:rPr>
              <w:t>)</w:t>
            </w:r>
          </w:p>
        </w:tc>
        <w:tc>
          <w:tcPr>
            <w:tcW w:w="1710" w:type="dxa"/>
            <w:tcBorders>
              <w:top w:val="nil"/>
              <w:left w:val="nil"/>
              <w:bottom w:val="single" w:sz="4" w:space="0" w:color="auto"/>
              <w:right w:val="single" w:sz="4" w:space="0" w:color="auto"/>
            </w:tcBorders>
            <w:shd w:val="clear" w:color="auto" w:fill="auto"/>
            <w:vAlign w:val="center"/>
            <w:hideMark/>
          </w:tcPr>
          <w:p w14:paraId="78DE697C"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Bacillus</w:t>
            </w:r>
          </w:p>
        </w:tc>
        <w:tc>
          <w:tcPr>
            <w:tcW w:w="1620" w:type="dxa"/>
            <w:tcBorders>
              <w:top w:val="nil"/>
              <w:left w:val="nil"/>
              <w:bottom w:val="single" w:sz="4" w:space="0" w:color="auto"/>
              <w:right w:val="single" w:sz="4" w:space="0" w:color="auto"/>
            </w:tcBorders>
            <w:shd w:val="clear" w:color="auto" w:fill="auto"/>
            <w:vAlign w:val="center"/>
            <w:hideMark/>
          </w:tcPr>
          <w:p w14:paraId="0781A0B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12FEC72D" w14:textId="77777777" w:rsidR="00AC1FAA" w:rsidRPr="00901194" w:rsidRDefault="00000000" w:rsidP="00A3769A">
            <w:pPr>
              <w:spacing w:after="0" w:line="240" w:lineRule="auto"/>
              <w:jc w:val="center"/>
              <w:rPr>
                <w:rFonts w:eastAsia="Times New Roman" w:cs="Times New Roman"/>
                <w:color w:val="0563C1"/>
                <w:u w:val="single"/>
              </w:rPr>
            </w:pPr>
            <w:hyperlink r:id="rId219" w:history="1">
              <w:r w:rsidR="00AC1FAA" w:rsidRPr="00901194">
                <w:rPr>
                  <w:rFonts w:eastAsia="Times New Roman" w:cs="Times New Roman"/>
                  <w:color w:val="0563C1"/>
                  <w:u w:val="single"/>
                </w:rPr>
                <w:t>https://gnps.ucsd.edu/ProteoSAFe/status.jsp?task=998632092bb7495692e01f7ba1be0248</w:t>
              </w:r>
            </w:hyperlink>
          </w:p>
        </w:tc>
        <w:tc>
          <w:tcPr>
            <w:tcW w:w="2070" w:type="dxa"/>
            <w:tcBorders>
              <w:top w:val="nil"/>
              <w:left w:val="nil"/>
              <w:bottom w:val="single" w:sz="4" w:space="0" w:color="auto"/>
              <w:right w:val="single" w:sz="4" w:space="0" w:color="auto"/>
            </w:tcBorders>
            <w:shd w:val="clear" w:color="auto" w:fill="auto"/>
            <w:vAlign w:val="center"/>
            <w:hideMark/>
          </w:tcPr>
          <w:p w14:paraId="532BBC2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0F49E567" w14:textId="77777777" w:rsidTr="00AC1FAA">
        <w:trPr>
          <w:trHeight w:val="42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0D86DC8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Ile-Trp (Iseoleucyltryptophan)</w:t>
            </w:r>
          </w:p>
        </w:tc>
        <w:tc>
          <w:tcPr>
            <w:tcW w:w="890" w:type="dxa"/>
            <w:tcBorders>
              <w:top w:val="nil"/>
              <w:left w:val="nil"/>
              <w:bottom w:val="single" w:sz="4" w:space="0" w:color="auto"/>
              <w:right w:val="single" w:sz="4" w:space="0" w:color="auto"/>
            </w:tcBorders>
            <w:shd w:val="clear" w:color="auto" w:fill="auto"/>
            <w:vAlign w:val="center"/>
            <w:hideMark/>
          </w:tcPr>
          <w:p w14:paraId="09C6F1E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318.167</w:t>
            </w:r>
          </w:p>
        </w:tc>
        <w:tc>
          <w:tcPr>
            <w:tcW w:w="910" w:type="dxa"/>
            <w:tcBorders>
              <w:top w:val="nil"/>
              <w:left w:val="nil"/>
              <w:bottom w:val="single" w:sz="4" w:space="0" w:color="auto"/>
              <w:right w:val="single" w:sz="4" w:space="0" w:color="auto"/>
            </w:tcBorders>
            <w:shd w:val="clear" w:color="auto" w:fill="auto"/>
            <w:vAlign w:val="center"/>
            <w:hideMark/>
          </w:tcPr>
          <w:p w14:paraId="303AC9A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2.27</w:t>
            </w:r>
          </w:p>
        </w:tc>
        <w:tc>
          <w:tcPr>
            <w:tcW w:w="1250" w:type="dxa"/>
            <w:tcBorders>
              <w:top w:val="nil"/>
              <w:left w:val="nil"/>
              <w:bottom w:val="single" w:sz="4" w:space="0" w:color="auto"/>
              <w:right w:val="single" w:sz="4" w:space="0" w:color="auto"/>
            </w:tcBorders>
            <w:shd w:val="clear" w:color="auto" w:fill="auto"/>
            <w:vAlign w:val="center"/>
            <w:hideMark/>
          </w:tcPr>
          <w:p w14:paraId="5A565E2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59 dataset matches</w:t>
            </w:r>
            <w:r w:rsidRPr="00901194">
              <w:rPr>
                <w:rFonts w:eastAsia="Times New Roman" w:cs="Times New Roman"/>
                <w:color w:val="000000"/>
              </w:rPr>
              <w:t>; 7 human, 12 mouse, 4 rat, 5 environment, 2 food metagenome, ~5 plant (cotton, wild oat, corn, tomato, peppers), ~2 other animal (cheetah)</w:t>
            </w:r>
          </w:p>
        </w:tc>
        <w:tc>
          <w:tcPr>
            <w:tcW w:w="1710" w:type="dxa"/>
            <w:tcBorders>
              <w:top w:val="nil"/>
              <w:left w:val="nil"/>
              <w:bottom w:val="single" w:sz="4" w:space="0" w:color="auto"/>
              <w:right w:val="single" w:sz="4" w:space="0" w:color="auto"/>
            </w:tcBorders>
            <w:shd w:val="clear" w:color="auto" w:fill="auto"/>
            <w:vAlign w:val="center"/>
            <w:hideMark/>
          </w:tcPr>
          <w:p w14:paraId="3E682776"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Staphylococcus aureus, Bacillus, Streptomyces, Pseudomonas, Amycolaptosis, Bacteroides, Akkermansia, Bifidobacterium, E. coli, Eggerthella lenta</w:t>
            </w:r>
          </w:p>
        </w:tc>
        <w:tc>
          <w:tcPr>
            <w:tcW w:w="1620" w:type="dxa"/>
            <w:tcBorders>
              <w:top w:val="nil"/>
              <w:left w:val="nil"/>
              <w:bottom w:val="single" w:sz="4" w:space="0" w:color="auto"/>
              <w:right w:val="single" w:sz="4" w:space="0" w:color="auto"/>
            </w:tcBorders>
            <w:shd w:val="clear" w:color="auto" w:fill="auto"/>
            <w:vAlign w:val="center"/>
            <w:hideMark/>
          </w:tcPr>
          <w:p w14:paraId="3CBEB368" w14:textId="3CB8B8BC"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Burger ingredients, Human gut bacteria biotransformation, Human-associated bacteria cultured with bile acids, ONR Wright human study, Zoo mammal fecal samples</w:t>
            </w:r>
            <w:r w:rsidR="000C76DD" w:rsidRPr="00901194">
              <w:rPr>
                <w:rFonts w:eastAsia="Times New Roman" w:cs="Times New Roman"/>
                <w:color w:val="000000"/>
              </w:rPr>
              <w:fldChar w:fldCharType="begin" w:fldLock="1"/>
            </w:r>
            <w:r w:rsidR="000C76D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C76DD" w:rsidRPr="00901194">
              <w:rPr>
                <w:rFonts w:eastAsia="Times New Roman" w:cs="Times New Roman"/>
                <w:color w:val="000000"/>
              </w:rPr>
              <w:fldChar w:fldCharType="separate"/>
            </w:r>
            <w:r w:rsidR="000C76DD" w:rsidRPr="00901194">
              <w:rPr>
                <w:rFonts w:eastAsia="Times New Roman" w:cs="Times New Roman"/>
                <w:noProof/>
                <w:color w:val="000000"/>
                <w:vertAlign w:val="superscript"/>
              </w:rPr>
              <w:t>231</w:t>
            </w:r>
            <w:r w:rsidR="000C76DD"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7AF578F1" w14:textId="77777777" w:rsidR="00AC1FAA" w:rsidRPr="00901194" w:rsidRDefault="00000000" w:rsidP="00A3769A">
            <w:pPr>
              <w:spacing w:after="0" w:line="240" w:lineRule="auto"/>
              <w:jc w:val="center"/>
              <w:rPr>
                <w:rFonts w:eastAsia="Times New Roman" w:cs="Times New Roman"/>
                <w:color w:val="0563C1"/>
                <w:u w:val="single"/>
              </w:rPr>
            </w:pPr>
            <w:hyperlink r:id="rId220" w:history="1">
              <w:r w:rsidR="00AC1FAA" w:rsidRPr="00901194">
                <w:rPr>
                  <w:rFonts w:eastAsia="Times New Roman" w:cs="Times New Roman"/>
                  <w:color w:val="0563C1"/>
                  <w:u w:val="single"/>
                </w:rPr>
                <w:t>https://gnps.ucsd.edu/ProteoSAFe/status.jsp?task=cf87c54ff6f14611846d4b9bb63f3b3b</w:t>
              </w:r>
            </w:hyperlink>
          </w:p>
        </w:tc>
        <w:tc>
          <w:tcPr>
            <w:tcW w:w="2070" w:type="dxa"/>
            <w:tcBorders>
              <w:top w:val="nil"/>
              <w:left w:val="nil"/>
              <w:bottom w:val="single" w:sz="4" w:space="0" w:color="auto"/>
              <w:right w:val="single" w:sz="4" w:space="0" w:color="auto"/>
            </w:tcBorders>
            <w:shd w:val="clear" w:color="auto" w:fill="auto"/>
            <w:vAlign w:val="center"/>
            <w:hideMark/>
          </w:tcPr>
          <w:p w14:paraId="362D9F6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5C973AA4" w14:textId="77777777" w:rsidTr="00AC1FAA">
        <w:trPr>
          <w:trHeight w:val="242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20F25AD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Lithocholic acid</w:t>
            </w:r>
          </w:p>
        </w:tc>
        <w:tc>
          <w:tcPr>
            <w:tcW w:w="890" w:type="dxa"/>
            <w:tcBorders>
              <w:top w:val="nil"/>
              <w:left w:val="nil"/>
              <w:bottom w:val="single" w:sz="4" w:space="0" w:color="auto"/>
              <w:right w:val="single" w:sz="4" w:space="0" w:color="auto"/>
            </w:tcBorders>
            <w:shd w:val="clear" w:color="auto" w:fill="auto"/>
            <w:vAlign w:val="center"/>
            <w:hideMark/>
          </w:tcPr>
          <w:p w14:paraId="0C949DD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323.273</w:t>
            </w:r>
          </w:p>
        </w:tc>
        <w:tc>
          <w:tcPr>
            <w:tcW w:w="910" w:type="dxa"/>
            <w:tcBorders>
              <w:top w:val="nil"/>
              <w:left w:val="nil"/>
              <w:bottom w:val="single" w:sz="4" w:space="0" w:color="auto"/>
              <w:right w:val="single" w:sz="4" w:space="0" w:color="auto"/>
            </w:tcBorders>
            <w:shd w:val="clear" w:color="auto" w:fill="auto"/>
            <w:vAlign w:val="center"/>
            <w:hideMark/>
          </w:tcPr>
          <w:p w14:paraId="3C77F48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6.84</w:t>
            </w:r>
          </w:p>
        </w:tc>
        <w:tc>
          <w:tcPr>
            <w:tcW w:w="1250" w:type="dxa"/>
            <w:tcBorders>
              <w:top w:val="nil"/>
              <w:left w:val="nil"/>
              <w:bottom w:val="single" w:sz="4" w:space="0" w:color="auto"/>
              <w:right w:val="single" w:sz="4" w:space="0" w:color="auto"/>
            </w:tcBorders>
            <w:shd w:val="clear" w:color="auto" w:fill="auto"/>
            <w:vAlign w:val="center"/>
            <w:hideMark/>
          </w:tcPr>
          <w:p w14:paraId="60EBE9E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17 dataset matches</w:t>
            </w:r>
            <w:r w:rsidRPr="00901194">
              <w:rPr>
                <w:rFonts w:eastAsia="Times New Roman" w:cs="Times New Roman"/>
                <w:color w:val="000000"/>
              </w:rPr>
              <w:t>; 8 human, 2 mouse, 3 rat, 1 environment, 1 plant (tomato)</w:t>
            </w:r>
          </w:p>
        </w:tc>
        <w:tc>
          <w:tcPr>
            <w:tcW w:w="1710" w:type="dxa"/>
            <w:tcBorders>
              <w:top w:val="nil"/>
              <w:left w:val="nil"/>
              <w:bottom w:val="single" w:sz="4" w:space="0" w:color="auto"/>
              <w:right w:val="single" w:sz="4" w:space="0" w:color="auto"/>
            </w:tcBorders>
            <w:shd w:val="clear" w:color="auto" w:fill="auto"/>
            <w:vAlign w:val="center"/>
            <w:hideMark/>
          </w:tcPr>
          <w:p w14:paraId="557A2CF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4B1C1A4F" w14:textId="4D6BEF72"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(also UK), ONR Primary Wright, Human rheumatoid arthritis, Zoo mammal fecal samples</w:t>
            </w:r>
            <w:r w:rsidR="000C76DD" w:rsidRPr="00901194">
              <w:rPr>
                <w:rFonts w:eastAsia="Times New Roman" w:cs="Times New Roman"/>
                <w:color w:val="000000"/>
              </w:rPr>
              <w:fldChar w:fldCharType="begin" w:fldLock="1"/>
            </w:r>
            <w:r w:rsidR="000C76D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0C76DD" w:rsidRPr="00901194">
              <w:rPr>
                <w:rFonts w:eastAsia="Times New Roman" w:cs="Times New Roman"/>
                <w:color w:val="000000"/>
              </w:rPr>
              <w:fldChar w:fldCharType="separate"/>
            </w:r>
            <w:r w:rsidR="000C76DD" w:rsidRPr="00901194">
              <w:rPr>
                <w:rFonts w:eastAsia="Times New Roman" w:cs="Times New Roman"/>
                <w:noProof/>
                <w:color w:val="000000"/>
                <w:vertAlign w:val="superscript"/>
              </w:rPr>
              <w:t>231</w:t>
            </w:r>
            <w:r w:rsidR="000C76DD"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102A17FA" w14:textId="77777777" w:rsidR="00AC1FAA" w:rsidRPr="00901194" w:rsidRDefault="00000000" w:rsidP="00A3769A">
            <w:pPr>
              <w:spacing w:after="0" w:line="240" w:lineRule="auto"/>
              <w:jc w:val="center"/>
              <w:rPr>
                <w:rFonts w:eastAsia="Times New Roman" w:cs="Times New Roman"/>
                <w:color w:val="0563C1"/>
                <w:u w:val="single"/>
              </w:rPr>
            </w:pPr>
            <w:hyperlink r:id="rId221" w:history="1">
              <w:r w:rsidR="00AC1FAA" w:rsidRPr="00901194">
                <w:rPr>
                  <w:rFonts w:eastAsia="Times New Roman" w:cs="Times New Roman"/>
                  <w:color w:val="0563C1"/>
                  <w:u w:val="single"/>
                </w:rPr>
                <w:t>https://gnps.ucsd.edu/ProteoSAFe/status.jsp?task=2bd41fcad2ef45be8edc72db760066f3</w:t>
              </w:r>
            </w:hyperlink>
          </w:p>
        </w:tc>
        <w:tc>
          <w:tcPr>
            <w:tcW w:w="2070" w:type="dxa"/>
            <w:tcBorders>
              <w:top w:val="nil"/>
              <w:left w:val="nil"/>
              <w:bottom w:val="single" w:sz="4" w:space="0" w:color="auto"/>
              <w:right w:val="single" w:sz="4" w:space="0" w:color="auto"/>
            </w:tcBorders>
            <w:shd w:val="clear" w:color="auto" w:fill="auto"/>
            <w:vAlign w:val="center"/>
            <w:hideMark/>
          </w:tcPr>
          <w:p w14:paraId="39E68C0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DE74582" w14:textId="77777777" w:rsidTr="00AC1FAA">
        <w:trPr>
          <w:trHeight w:val="36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0B18BB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Leucine enkephalin</w:t>
            </w:r>
          </w:p>
        </w:tc>
        <w:tc>
          <w:tcPr>
            <w:tcW w:w="890" w:type="dxa"/>
            <w:tcBorders>
              <w:top w:val="nil"/>
              <w:left w:val="nil"/>
              <w:bottom w:val="single" w:sz="4" w:space="0" w:color="auto"/>
              <w:right w:val="single" w:sz="4" w:space="0" w:color="auto"/>
            </w:tcBorders>
            <w:shd w:val="clear" w:color="auto" w:fill="auto"/>
            <w:vAlign w:val="center"/>
            <w:hideMark/>
          </w:tcPr>
          <w:p w14:paraId="2649685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336.192</w:t>
            </w:r>
          </w:p>
        </w:tc>
        <w:tc>
          <w:tcPr>
            <w:tcW w:w="910" w:type="dxa"/>
            <w:tcBorders>
              <w:top w:val="nil"/>
              <w:left w:val="nil"/>
              <w:bottom w:val="single" w:sz="4" w:space="0" w:color="auto"/>
              <w:right w:val="single" w:sz="4" w:space="0" w:color="auto"/>
            </w:tcBorders>
            <w:shd w:val="clear" w:color="auto" w:fill="auto"/>
            <w:vAlign w:val="center"/>
            <w:hideMark/>
          </w:tcPr>
          <w:p w14:paraId="69346CF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3.22</w:t>
            </w:r>
          </w:p>
        </w:tc>
        <w:tc>
          <w:tcPr>
            <w:tcW w:w="1250" w:type="dxa"/>
            <w:tcBorders>
              <w:top w:val="nil"/>
              <w:left w:val="nil"/>
              <w:bottom w:val="single" w:sz="4" w:space="0" w:color="auto"/>
              <w:right w:val="single" w:sz="4" w:space="0" w:color="auto"/>
            </w:tcBorders>
            <w:shd w:val="clear" w:color="auto" w:fill="auto"/>
            <w:vAlign w:val="center"/>
            <w:hideMark/>
          </w:tcPr>
          <w:p w14:paraId="1B44B1F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51 dataset matches</w:t>
            </w:r>
            <w:r w:rsidRPr="00901194">
              <w:rPr>
                <w:rFonts w:eastAsia="Times New Roman" w:cs="Times New Roman"/>
                <w:color w:val="000000"/>
              </w:rPr>
              <w:t>; 8 human, 10 mouse, 2 rat, 3 environment, 5 food metagenome, ~4 plant (corn, tomato), ~2 other animal (cheetah)</w:t>
            </w:r>
          </w:p>
        </w:tc>
        <w:tc>
          <w:tcPr>
            <w:tcW w:w="1710" w:type="dxa"/>
            <w:tcBorders>
              <w:top w:val="nil"/>
              <w:left w:val="nil"/>
              <w:bottom w:val="single" w:sz="4" w:space="0" w:color="auto"/>
              <w:right w:val="single" w:sz="4" w:space="0" w:color="auto"/>
            </w:tcBorders>
            <w:shd w:val="clear" w:color="auto" w:fill="auto"/>
            <w:vAlign w:val="center"/>
            <w:hideMark/>
          </w:tcPr>
          <w:p w14:paraId="356B5A92"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Akkermansia, Bifidobacterium, Eggerthella lenta, Roseburia, lactobacillus, Eubacterium, Bacillus, Streptomyces, Pseudomonas, Amycolaptosis, Paenibacillus</w:t>
            </w:r>
          </w:p>
        </w:tc>
        <w:tc>
          <w:tcPr>
            <w:tcW w:w="1620" w:type="dxa"/>
            <w:tcBorders>
              <w:top w:val="nil"/>
              <w:left w:val="nil"/>
              <w:bottom w:val="single" w:sz="4" w:space="0" w:color="auto"/>
              <w:right w:val="single" w:sz="4" w:space="0" w:color="auto"/>
            </w:tcBorders>
            <w:shd w:val="clear" w:color="auto" w:fill="auto"/>
            <w:vAlign w:val="center"/>
            <w:hideMark/>
          </w:tcPr>
          <w:p w14:paraId="727E5BB7" w14:textId="5A0F4B21"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Burger ingredients, ONR human diet, Human skin microbiome isolates</w:t>
            </w:r>
            <w:r w:rsidR="000C76DD" w:rsidRPr="00901194">
              <w:rPr>
                <w:rFonts w:eastAsia="Times New Roman" w:cs="Times New Roman"/>
                <w:color w:val="000000"/>
              </w:rPr>
              <w:fldChar w:fldCharType="begin" w:fldLock="1"/>
            </w:r>
            <w:r w:rsidR="000C76DD" w:rsidRPr="00901194">
              <w:rPr>
                <w:rFonts w:eastAsia="Times New Roman" w:cs="Times New Roman"/>
                <w:color w:val="000000"/>
              </w:rPr>
              <w:instrText>ADDIN CSL_CITATION {"citationItems":[{"id":"ITEM-1","itemData":{"DOI":"https://doi.org/10.1186/s40168-020-00831-y","author":[{"dropping-particle":"","family":"Timm","given":"Collin M","non-dropping-particle":"","parse-names":false,"suffix":""},{"dropping-particle":"","family":"Loomis","given":"Kristin","non-dropping-particle":"","parse-names":false,"suffix":""},{"dropping-particle":"","family":"Stone","given":"William","non-dropping-particle":"","parse-names":false,"suffix":""},{"dropping-particle":"","family":"Mehoke","given":"Thomas","non-dropping-particle":"","parse-names":false,"suffix":""},{"dropping-particle":"","family":"Brensinger","given":"Bryan","non-dropping-particle":"","parse-names":false,"suffix":""},{"dropping-particle":"","family":"Pellicore","given":"Matthew","non-dropping-particle":"","parse-names":false,"suffix":""},{"dropping-particle":"","family":"Staniczenko","given":"Phillip P A","non-dropping-particle":"","parse-names":false,"suffix":""},{"dropping-particle":"","family":"Charles","given":"Curtisha","non-dropping-particle":"","parse-names":false,"suffix":""},{"dropping-particle":"","family":"Nayak","given":"Seema","non-dropping-particle":"","parse-names":false,"suffix":""},{"dropping-particle":"","family":"Karig","given":"David K","non-dropping-particle":"","parse-names":false,"suffix":""}],"container-title":"Microbiome","id":"ITEM-1","issue":"58","issued":{"date-parts":[["2020"]]},"page":"1-12","publisher":"Microbiome","title":"Isolation and characterization of diverse microbial representatives from the human skin microbiome","type":"article-journal","volume":"8"},"uris":["http://www.mendeley.com/documents/?uuid=fdef6533-4e54-4cba-9505-c8ebd3ec1be0"]}],"mendeley":{"formattedCitation":"&lt;sup&gt;232&lt;/sup&gt;","plainTextFormattedCitation":"232","previouslyFormattedCitation":"&lt;sup&gt;232&lt;/sup&gt;"},"properties":{"noteIndex":0},"schema":"https://github.com/citation-style-language/schema/raw/master/csl-citation.json"}</w:instrText>
            </w:r>
            <w:r w:rsidR="000C76DD" w:rsidRPr="00901194">
              <w:rPr>
                <w:rFonts w:eastAsia="Times New Roman" w:cs="Times New Roman"/>
                <w:color w:val="000000"/>
              </w:rPr>
              <w:fldChar w:fldCharType="separate"/>
            </w:r>
            <w:r w:rsidR="000C76DD" w:rsidRPr="00901194">
              <w:rPr>
                <w:rFonts w:eastAsia="Times New Roman" w:cs="Times New Roman"/>
                <w:noProof/>
                <w:color w:val="000000"/>
                <w:vertAlign w:val="superscript"/>
              </w:rPr>
              <w:t>232</w:t>
            </w:r>
            <w:r w:rsidR="000C76DD" w:rsidRPr="00901194">
              <w:rPr>
                <w:rFonts w:eastAsia="Times New Roman" w:cs="Times New Roman"/>
                <w:color w:val="000000"/>
              </w:rPr>
              <w:fldChar w:fldCharType="end"/>
            </w:r>
            <w:r w:rsidRPr="00901194">
              <w:rPr>
                <w:rFonts w:eastAsia="Times New Roman" w:cs="Times New Roman"/>
                <w:color w:val="000000"/>
              </w:rPr>
              <w:t>, IBD severity human samples</w:t>
            </w:r>
          </w:p>
        </w:tc>
        <w:tc>
          <w:tcPr>
            <w:tcW w:w="1710" w:type="dxa"/>
            <w:tcBorders>
              <w:top w:val="nil"/>
              <w:left w:val="nil"/>
              <w:bottom w:val="single" w:sz="4" w:space="0" w:color="auto"/>
              <w:right w:val="single" w:sz="4" w:space="0" w:color="auto"/>
            </w:tcBorders>
            <w:shd w:val="clear" w:color="auto" w:fill="auto"/>
            <w:vAlign w:val="center"/>
            <w:hideMark/>
          </w:tcPr>
          <w:p w14:paraId="74918306" w14:textId="77777777" w:rsidR="00AC1FAA" w:rsidRPr="00901194" w:rsidRDefault="00000000" w:rsidP="00A3769A">
            <w:pPr>
              <w:spacing w:after="0" w:line="240" w:lineRule="auto"/>
              <w:jc w:val="center"/>
              <w:rPr>
                <w:rFonts w:eastAsia="Times New Roman" w:cs="Times New Roman"/>
                <w:color w:val="0563C1"/>
                <w:u w:val="single"/>
              </w:rPr>
            </w:pPr>
            <w:hyperlink r:id="rId222" w:history="1">
              <w:r w:rsidR="00AC1FAA" w:rsidRPr="00901194">
                <w:rPr>
                  <w:rFonts w:eastAsia="Times New Roman" w:cs="Times New Roman"/>
                  <w:color w:val="0563C1"/>
                  <w:u w:val="single"/>
                </w:rPr>
                <w:t>https://gnps.ucsd.edu/ProteoSAFe/status.jsp?task=e0bbeeff3ae04f2191b9bedf2ba39a22</w:t>
              </w:r>
            </w:hyperlink>
          </w:p>
        </w:tc>
        <w:tc>
          <w:tcPr>
            <w:tcW w:w="2070" w:type="dxa"/>
            <w:tcBorders>
              <w:top w:val="nil"/>
              <w:left w:val="nil"/>
              <w:bottom w:val="single" w:sz="4" w:space="0" w:color="auto"/>
              <w:right w:val="single" w:sz="4" w:space="0" w:color="auto"/>
            </w:tcBorders>
            <w:shd w:val="clear" w:color="auto" w:fill="auto"/>
            <w:vAlign w:val="center"/>
            <w:hideMark/>
          </w:tcPr>
          <w:p w14:paraId="0D5C6DA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1E838738" w14:textId="77777777" w:rsidTr="00AC1FAA">
        <w:trPr>
          <w:trHeight w:val="819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C625BA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13-Docosenamide, (Z)- (Erucamide)</w:t>
            </w:r>
          </w:p>
        </w:tc>
        <w:tc>
          <w:tcPr>
            <w:tcW w:w="890" w:type="dxa"/>
            <w:tcBorders>
              <w:top w:val="nil"/>
              <w:left w:val="nil"/>
              <w:bottom w:val="single" w:sz="4" w:space="0" w:color="auto"/>
              <w:right w:val="single" w:sz="4" w:space="0" w:color="auto"/>
            </w:tcBorders>
            <w:shd w:val="clear" w:color="auto" w:fill="auto"/>
            <w:vAlign w:val="center"/>
            <w:hideMark/>
          </w:tcPr>
          <w:p w14:paraId="0462DDD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338.342</w:t>
            </w:r>
          </w:p>
        </w:tc>
        <w:tc>
          <w:tcPr>
            <w:tcW w:w="910" w:type="dxa"/>
            <w:tcBorders>
              <w:top w:val="nil"/>
              <w:left w:val="nil"/>
              <w:bottom w:val="single" w:sz="4" w:space="0" w:color="auto"/>
              <w:right w:val="single" w:sz="4" w:space="0" w:color="auto"/>
            </w:tcBorders>
            <w:shd w:val="clear" w:color="auto" w:fill="auto"/>
            <w:vAlign w:val="center"/>
            <w:hideMark/>
          </w:tcPr>
          <w:p w14:paraId="5FE4BE6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9.19</w:t>
            </w:r>
          </w:p>
        </w:tc>
        <w:tc>
          <w:tcPr>
            <w:tcW w:w="1250" w:type="dxa"/>
            <w:tcBorders>
              <w:top w:val="nil"/>
              <w:left w:val="nil"/>
              <w:bottom w:val="single" w:sz="4" w:space="0" w:color="auto"/>
              <w:right w:val="single" w:sz="4" w:space="0" w:color="auto"/>
            </w:tcBorders>
            <w:shd w:val="clear" w:color="auto" w:fill="auto"/>
            <w:vAlign w:val="center"/>
            <w:hideMark/>
          </w:tcPr>
          <w:p w14:paraId="6569F5B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228 dataset matches</w:t>
            </w:r>
            <w:r w:rsidRPr="00901194">
              <w:rPr>
                <w:rFonts w:eastAsia="Times New Roman" w:cs="Times New Roman"/>
                <w:color w:val="000000"/>
              </w:rPr>
              <w:t>; 52 human, 31 mouse, 6 rat, 24 environment, 5 food metagenome, ~10 other animal (baboon, cheetah, rhino, sheep), ~16 plant (</w:t>
            </w:r>
            <w:r w:rsidRPr="00901194">
              <w:rPr>
                <w:rFonts w:eastAsia="Times New Roman" w:cs="Times New Roman"/>
                <w:i/>
                <w:iCs/>
                <w:color w:val="000000"/>
              </w:rPr>
              <w:t>Mitragyna speciosa</w:t>
            </w:r>
            <w:r w:rsidRPr="00901194">
              <w:rPr>
                <w:rFonts w:eastAsia="Times New Roman" w:cs="Times New Roman"/>
                <w:color w:val="000000"/>
              </w:rPr>
              <w:t xml:space="preserve">, </w:t>
            </w:r>
            <w:r w:rsidRPr="00901194">
              <w:rPr>
                <w:rFonts w:eastAsia="Times New Roman" w:cs="Times New Roman"/>
                <w:i/>
                <w:iCs/>
                <w:color w:val="000000"/>
              </w:rPr>
              <w:t xml:space="preserve">Myoporeae </w:t>
            </w:r>
            <w:r w:rsidRPr="00901194">
              <w:rPr>
                <w:rFonts w:eastAsia="Times New Roman" w:cs="Times New Roman"/>
                <w:color w:val="000000"/>
              </w:rPr>
              <w:t xml:space="preserve">plants, </w:t>
            </w:r>
            <w:r w:rsidRPr="00901194">
              <w:rPr>
                <w:rFonts w:eastAsia="Times New Roman" w:cs="Times New Roman"/>
                <w:i/>
                <w:iCs/>
                <w:color w:val="000000"/>
              </w:rPr>
              <w:t>Angelica keiskei</w:t>
            </w:r>
            <w:r w:rsidRPr="00901194">
              <w:rPr>
                <w:rFonts w:eastAsia="Times New Roman" w:cs="Times New Roman"/>
                <w:color w:val="000000"/>
              </w:rPr>
              <w:t xml:space="preserve">, </w:t>
            </w:r>
            <w:r w:rsidRPr="00901194">
              <w:rPr>
                <w:rFonts w:eastAsia="Times New Roman" w:cs="Times New Roman"/>
                <w:i/>
                <w:iCs/>
                <w:color w:val="000000"/>
              </w:rPr>
              <w:t>Malpighiaceae</w:t>
            </w:r>
            <w:r w:rsidRPr="00901194">
              <w:rPr>
                <w:rFonts w:eastAsia="Times New Roman" w:cs="Times New Roman"/>
                <w:color w:val="000000"/>
              </w:rPr>
              <w:t xml:space="preserve"> plants, </w:t>
            </w:r>
            <w:r w:rsidRPr="00901194">
              <w:rPr>
                <w:rFonts w:eastAsia="Times New Roman" w:cs="Times New Roman"/>
                <w:i/>
                <w:iCs/>
                <w:color w:val="000000"/>
              </w:rPr>
              <w:t>Thapsia garganica</w:t>
            </w:r>
            <w:r w:rsidRPr="00901194">
              <w:rPr>
                <w:rFonts w:eastAsia="Times New Roman" w:cs="Times New Roman"/>
                <w:color w:val="000000"/>
              </w:rPr>
              <w:t xml:space="preserve">, oranges, melon, tomato, wild oat, thale cress, </w:t>
            </w:r>
            <w:r w:rsidRPr="00901194">
              <w:rPr>
                <w:rFonts w:eastAsia="Times New Roman" w:cs="Times New Roman"/>
                <w:i/>
                <w:iCs/>
                <w:color w:val="000000"/>
              </w:rPr>
              <w:t>Psychotria insularum</w:t>
            </w:r>
            <w:r w:rsidRPr="00901194">
              <w:rPr>
                <w:rFonts w:eastAsia="Times New Roman" w:cs="Times New Roman"/>
                <w:color w:val="000000"/>
              </w:rPr>
              <w:t>, seaweed)</w:t>
            </w:r>
          </w:p>
        </w:tc>
        <w:tc>
          <w:tcPr>
            <w:tcW w:w="1710" w:type="dxa"/>
            <w:tcBorders>
              <w:top w:val="nil"/>
              <w:left w:val="nil"/>
              <w:bottom w:val="single" w:sz="4" w:space="0" w:color="auto"/>
              <w:right w:val="single" w:sz="4" w:space="0" w:color="auto"/>
            </w:tcBorders>
            <w:shd w:val="clear" w:color="auto" w:fill="auto"/>
            <w:vAlign w:val="center"/>
            <w:hideMark/>
          </w:tcPr>
          <w:p w14:paraId="2D05894A"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Akkermansia, Bifidobacterium, Roseburia, Eggerthella, Clostridium, Methylobacter tundripaludum, E. coli, Pseudomonas, Bacillus, Cyanobacteria, Colwellia chukchiensis, Maribacter ulvicola, Algoriphagus machipongonensis, Zobellia uliginosa, Saccharomonospora viridis, Burkholderia, Streptomyces, Moorena bouillonii, Glutamicibacter arilaitensis, Staphylococcus aureus</w:t>
            </w:r>
          </w:p>
        </w:tc>
        <w:tc>
          <w:tcPr>
            <w:tcW w:w="1620" w:type="dxa"/>
            <w:tcBorders>
              <w:top w:val="nil"/>
              <w:left w:val="nil"/>
              <w:bottom w:val="single" w:sz="4" w:space="0" w:color="auto"/>
              <w:right w:val="single" w:sz="4" w:space="0" w:color="auto"/>
            </w:tcBorders>
            <w:shd w:val="clear" w:color="auto" w:fill="auto"/>
            <w:vAlign w:val="center"/>
            <w:hideMark/>
          </w:tcPr>
          <w:p w14:paraId="48709ABF" w14:textId="2F1FD059"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gut bacteria biotransformation, Burger ingredients, ONR primary wright, Human-associated bacteria cultured with bile acids, Human skin microbiome isolates</w:t>
            </w:r>
            <w:r w:rsidR="000C76DD" w:rsidRPr="00901194">
              <w:rPr>
                <w:rFonts w:eastAsia="Times New Roman" w:cs="Times New Roman"/>
                <w:color w:val="000000"/>
              </w:rPr>
              <w:fldChar w:fldCharType="begin" w:fldLock="1"/>
            </w:r>
            <w:r w:rsidR="00360C94" w:rsidRPr="00901194">
              <w:rPr>
                <w:rFonts w:eastAsia="Times New Roman" w:cs="Times New Roman"/>
                <w:color w:val="000000"/>
              </w:rPr>
              <w:instrText>ADDIN CSL_CITATION {"citationItems":[{"id":"ITEM-1","itemData":{"DOI":"https://doi.org/10.1186/s40168-020-00831-y","author":[{"dropping-particle":"","family":"Timm","given":"Collin M","non-dropping-particle":"","parse-names":false,"suffix":""},{"dropping-particle":"","family":"Loomis","given":"Kristin","non-dropping-particle":"","parse-names":false,"suffix":""},{"dropping-particle":"","family":"Stone","given":"William","non-dropping-particle":"","parse-names":false,"suffix":""},{"dropping-particle":"","family":"Mehoke","given":"Thomas","non-dropping-particle":"","parse-names":false,"suffix":""},{"dropping-particle":"","family":"Brensinger","given":"Bryan","non-dropping-particle":"","parse-names":false,"suffix":""},{"dropping-particle":"","family":"Pellicore","given":"Matthew","non-dropping-particle":"","parse-names":false,"suffix":""},{"dropping-particle":"","family":"Staniczenko","given":"Phillip P A","non-dropping-particle":"","parse-names":false,"suffix":""},{"dropping-particle":"","family":"Charles","given":"Curtisha","non-dropping-particle":"","parse-names":false,"suffix":""},{"dropping-particle":"","family":"Nayak","given":"Seema","non-dropping-particle":"","parse-names":false,"suffix":""},{"dropping-particle":"","family":"Karig","given":"David K","non-dropping-particle":"","parse-names":false,"suffix":""}],"container-title":"Microbiome","id":"ITEM-1","issue":"58","issued":{"date-parts":[["2020"]]},"page":"1-12","publisher":"Microbiome","title":"Isolation and characterization of diverse microbial representatives from the human skin microbiome","type":"article-journal","volume":"8"},"uris":["http://www.mendeley.com/documents/?uuid=fdef6533-4e54-4cba-9505-c8ebd3ec1be0"]}],"mendeley":{"formattedCitation":"&lt;sup&gt;232&lt;/sup&gt;","plainTextFormattedCitation":"232","previouslyFormattedCitation":"&lt;sup&gt;232&lt;/sup&gt;"},"properties":{"noteIndex":0},"schema":"https://github.com/citation-style-language/schema/raw/master/csl-citation.json"}</w:instrText>
            </w:r>
            <w:r w:rsidR="000C76DD" w:rsidRPr="00901194">
              <w:rPr>
                <w:rFonts w:eastAsia="Times New Roman" w:cs="Times New Roman"/>
                <w:color w:val="000000"/>
              </w:rPr>
              <w:fldChar w:fldCharType="separate"/>
            </w:r>
            <w:r w:rsidR="000C76DD" w:rsidRPr="00901194">
              <w:rPr>
                <w:rFonts w:eastAsia="Times New Roman" w:cs="Times New Roman"/>
                <w:noProof/>
                <w:color w:val="000000"/>
                <w:vertAlign w:val="superscript"/>
              </w:rPr>
              <w:t>232</w:t>
            </w:r>
            <w:r w:rsidR="000C76DD" w:rsidRPr="00901194">
              <w:rPr>
                <w:rFonts w:eastAsia="Times New Roman" w:cs="Times New Roman"/>
                <w:color w:val="000000"/>
              </w:rPr>
              <w:fldChar w:fldCharType="end"/>
            </w:r>
            <w:r w:rsidRPr="00901194">
              <w:rPr>
                <w:rFonts w:eastAsia="Times New Roman" w:cs="Times New Roman"/>
                <w:color w:val="000000"/>
              </w:rPr>
              <w:t>, ONR human fecal, American Gut (with plant consumption comparison), Amerindians urbanization gradient, ONR primary bile acids, Ancient DNA teeth</w:t>
            </w:r>
          </w:p>
        </w:tc>
        <w:tc>
          <w:tcPr>
            <w:tcW w:w="1710" w:type="dxa"/>
            <w:tcBorders>
              <w:top w:val="nil"/>
              <w:left w:val="nil"/>
              <w:bottom w:val="single" w:sz="4" w:space="0" w:color="auto"/>
              <w:right w:val="single" w:sz="4" w:space="0" w:color="auto"/>
            </w:tcBorders>
            <w:shd w:val="clear" w:color="auto" w:fill="auto"/>
            <w:vAlign w:val="center"/>
            <w:hideMark/>
          </w:tcPr>
          <w:p w14:paraId="22ED7A70" w14:textId="77777777" w:rsidR="00AC1FAA" w:rsidRPr="00901194" w:rsidRDefault="00000000" w:rsidP="00A3769A">
            <w:pPr>
              <w:spacing w:after="0" w:line="240" w:lineRule="auto"/>
              <w:jc w:val="center"/>
              <w:rPr>
                <w:rFonts w:eastAsia="Times New Roman" w:cs="Times New Roman"/>
                <w:color w:val="0563C1"/>
                <w:u w:val="single"/>
              </w:rPr>
            </w:pPr>
            <w:hyperlink r:id="rId223" w:history="1">
              <w:r w:rsidR="00AC1FAA" w:rsidRPr="00901194">
                <w:rPr>
                  <w:rFonts w:eastAsia="Times New Roman" w:cs="Times New Roman"/>
                  <w:color w:val="0563C1"/>
                  <w:u w:val="single"/>
                </w:rPr>
                <w:t>https://gnps.ucsd.edu/ProteoSAFe/status.jsp?task=50b42b413dbd4aa98745d64374ae8f6d</w:t>
              </w:r>
            </w:hyperlink>
          </w:p>
        </w:tc>
        <w:tc>
          <w:tcPr>
            <w:tcW w:w="2070" w:type="dxa"/>
            <w:tcBorders>
              <w:top w:val="nil"/>
              <w:left w:val="nil"/>
              <w:bottom w:val="single" w:sz="4" w:space="0" w:color="auto"/>
              <w:right w:val="single" w:sz="4" w:space="0" w:color="auto"/>
            </w:tcBorders>
            <w:shd w:val="clear" w:color="auto" w:fill="auto"/>
            <w:vAlign w:val="center"/>
            <w:hideMark/>
          </w:tcPr>
          <w:p w14:paraId="0B7EE77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60843892"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6E73CE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Phe-Trp (Phenylalanyltryptophan)</w:t>
            </w:r>
          </w:p>
        </w:tc>
        <w:tc>
          <w:tcPr>
            <w:tcW w:w="890" w:type="dxa"/>
            <w:tcBorders>
              <w:top w:val="nil"/>
              <w:left w:val="nil"/>
              <w:bottom w:val="single" w:sz="4" w:space="0" w:color="auto"/>
              <w:right w:val="single" w:sz="4" w:space="0" w:color="auto"/>
            </w:tcBorders>
            <w:shd w:val="clear" w:color="auto" w:fill="auto"/>
            <w:vAlign w:val="center"/>
            <w:hideMark/>
          </w:tcPr>
          <w:p w14:paraId="6017F6F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352.166</w:t>
            </w:r>
          </w:p>
        </w:tc>
        <w:tc>
          <w:tcPr>
            <w:tcW w:w="910" w:type="dxa"/>
            <w:tcBorders>
              <w:top w:val="nil"/>
              <w:left w:val="nil"/>
              <w:bottom w:val="single" w:sz="4" w:space="0" w:color="auto"/>
              <w:right w:val="single" w:sz="4" w:space="0" w:color="auto"/>
            </w:tcBorders>
            <w:shd w:val="clear" w:color="auto" w:fill="auto"/>
            <w:vAlign w:val="center"/>
            <w:hideMark/>
          </w:tcPr>
          <w:p w14:paraId="1269DFB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3.28</w:t>
            </w:r>
          </w:p>
        </w:tc>
        <w:tc>
          <w:tcPr>
            <w:tcW w:w="1250" w:type="dxa"/>
            <w:tcBorders>
              <w:top w:val="nil"/>
              <w:left w:val="nil"/>
              <w:bottom w:val="single" w:sz="4" w:space="0" w:color="auto"/>
              <w:right w:val="single" w:sz="4" w:space="0" w:color="auto"/>
            </w:tcBorders>
            <w:shd w:val="clear" w:color="auto" w:fill="auto"/>
            <w:vAlign w:val="center"/>
            <w:hideMark/>
          </w:tcPr>
          <w:p w14:paraId="02B8004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43 dataset matches</w:t>
            </w:r>
            <w:r w:rsidRPr="00901194">
              <w:rPr>
                <w:rFonts w:eastAsia="Times New Roman" w:cs="Times New Roman"/>
                <w:color w:val="000000"/>
              </w:rPr>
              <w:t>; 19 human, 11 mouse, 1 rat, 1 environment, ~2 other animal (baboon, cheetah), ~2 plant (tomato)</w:t>
            </w:r>
          </w:p>
        </w:tc>
        <w:tc>
          <w:tcPr>
            <w:tcW w:w="1710" w:type="dxa"/>
            <w:tcBorders>
              <w:top w:val="nil"/>
              <w:left w:val="nil"/>
              <w:bottom w:val="single" w:sz="4" w:space="0" w:color="auto"/>
              <w:right w:val="single" w:sz="4" w:space="0" w:color="auto"/>
            </w:tcBorders>
            <w:shd w:val="clear" w:color="auto" w:fill="auto"/>
            <w:vAlign w:val="center"/>
            <w:hideMark/>
          </w:tcPr>
          <w:p w14:paraId="67EEFE8D"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Bacillus subtilis, Paenibacillus</w:t>
            </w:r>
          </w:p>
        </w:tc>
        <w:tc>
          <w:tcPr>
            <w:tcW w:w="1620" w:type="dxa"/>
            <w:tcBorders>
              <w:top w:val="nil"/>
              <w:left w:val="nil"/>
              <w:bottom w:val="single" w:sz="4" w:space="0" w:color="auto"/>
              <w:right w:val="single" w:sz="4" w:space="0" w:color="auto"/>
            </w:tcBorders>
            <w:shd w:val="clear" w:color="auto" w:fill="auto"/>
            <w:vAlign w:val="center"/>
            <w:hideMark/>
          </w:tcPr>
          <w:p w14:paraId="56A85CDD" w14:textId="22244398"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Wright Human study, Burger ingredients, ONR primary wright, Zoo mammal fecal samples</w:t>
            </w:r>
            <w:r w:rsidR="00360C94" w:rsidRPr="00901194">
              <w:rPr>
                <w:rFonts w:eastAsia="Times New Roman" w:cs="Times New Roman"/>
                <w:color w:val="000000"/>
              </w:rPr>
              <w:fldChar w:fldCharType="begin" w:fldLock="1"/>
            </w:r>
            <w:r w:rsidR="00360C9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360C94" w:rsidRPr="00901194">
              <w:rPr>
                <w:rFonts w:eastAsia="Times New Roman" w:cs="Times New Roman"/>
                <w:color w:val="000000"/>
              </w:rPr>
              <w:fldChar w:fldCharType="separate"/>
            </w:r>
            <w:r w:rsidR="00360C94" w:rsidRPr="00901194">
              <w:rPr>
                <w:rFonts w:eastAsia="Times New Roman" w:cs="Times New Roman"/>
                <w:noProof/>
                <w:color w:val="000000"/>
                <w:vertAlign w:val="superscript"/>
              </w:rPr>
              <w:t>231</w:t>
            </w:r>
            <w:r w:rsidR="00360C94" w:rsidRPr="00901194">
              <w:rPr>
                <w:rFonts w:eastAsia="Times New Roman" w:cs="Times New Roman"/>
                <w:color w:val="000000"/>
              </w:rPr>
              <w:fldChar w:fldCharType="end"/>
            </w:r>
            <w:r w:rsidRPr="00901194">
              <w:rPr>
                <w:rFonts w:eastAsia="Times New Roman" w:cs="Times New Roman"/>
                <w:color w:val="000000"/>
              </w:rPr>
              <w:t>, Analysis of Alzheimer’s, Nobel twin study</w:t>
            </w:r>
          </w:p>
        </w:tc>
        <w:tc>
          <w:tcPr>
            <w:tcW w:w="1710" w:type="dxa"/>
            <w:tcBorders>
              <w:top w:val="nil"/>
              <w:left w:val="nil"/>
              <w:bottom w:val="single" w:sz="4" w:space="0" w:color="auto"/>
              <w:right w:val="single" w:sz="4" w:space="0" w:color="auto"/>
            </w:tcBorders>
            <w:shd w:val="clear" w:color="auto" w:fill="auto"/>
            <w:vAlign w:val="center"/>
            <w:hideMark/>
          </w:tcPr>
          <w:p w14:paraId="13FF5B83" w14:textId="77777777" w:rsidR="00AC1FAA" w:rsidRPr="00901194" w:rsidRDefault="00000000" w:rsidP="00A3769A">
            <w:pPr>
              <w:spacing w:after="0" w:line="240" w:lineRule="auto"/>
              <w:jc w:val="center"/>
              <w:rPr>
                <w:rFonts w:eastAsia="Times New Roman" w:cs="Times New Roman"/>
                <w:color w:val="0563C1"/>
                <w:u w:val="single"/>
              </w:rPr>
            </w:pPr>
            <w:hyperlink r:id="rId224" w:history="1">
              <w:r w:rsidR="00AC1FAA" w:rsidRPr="00901194">
                <w:rPr>
                  <w:rFonts w:eastAsia="Times New Roman" w:cs="Times New Roman"/>
                  <w:color w:val="0563C1"/>
                  <w:u w:val="single"/>
                </w:rPr>
                <w:t>https://gnps.ucsd.edu/ProteoSAFe/status.jsp?task=ab7256224a5240c38e829d2455ec4738</w:t>
              </w:r>
            </w:hyperlink>
          </w:p>
        </w:tc>
        <w:tc>
          <w:tcPr>
            <w:tcW w:w="2070" w:type="dxa"/>
            <w:tcBorders>
              <w:top w:val="nil"/>
              <w:left w:val="nil"/>
              <w:bottom w:val="single" w:sz="4" w:space="0" w:color="auto"/>
              <w:right w:val="single" w:sz="4" w:space="0" w:color="auto"/>
            </w:tcBorders>
            <w:shd w:val="clear" w:color="auto" w:fill="auto"/>
            <w:vAlign w:val="center"/>
            <w:hideMark/>
          </w:tcPr>
          <w:p w14:paraId="4666602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084864A5" w14:textId="77777777" w:rsidTr="00AC1FAA">
        <w:trPr>
          <w:trHeight w:val="3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4B7B28E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Ile-Val-Lys (Isoleucylvalyllysine)</w:t>
            </w:r>
          </w:p>
        </w:tc>
        <w:tc>
          <w:tcPr>
            <w:tcW w:w="890" w:type="dxa"/>
            <w:tcBorders>
              <w:top w:val="nil"/>
              <w:left w:val="nil"/>
              <w:bottom w:val="single" w:sz="4" w:space="0" w:color="auto"/>
              <w:right w:val="single" w:sz="4" w:space="0" w:color="auto"/>
            </w:tcBorders>
            <w:shd w:val="clear" w:color="auto" w:fill="auto"/>
            <w:vAlign w:val="center"/>
            <w:hideMark/>
          </w:tcPr>
          <w:p w14:paraId="4EDD2D6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359.266</w:t>
            </w:r>
          </w:p>
        </w:tc>
        <w:tc>
          <w:tcPr>
            <w:tcW w:w="910" w:type="dxa"/>
            <w:tcBorders>
              <w:top w:val="nil"/>
              <w:left w:val="nil"/>
              <w:bottom w:val="single" w:sz="4" w:space="0" w:color="auto"/>
              <w:right w:val="single" w:sz="4" w:space="0" w:color="auto"/>
            </w:tcBorders>
            <w:shd w:val="clear" w:color="auto" w:fill="auto"/>
            <w:vAlign w:val="center"/>
            <w:hideMark/>
          </w:tcPr>
          <w:p w14:paraId="1623186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0.60</w:t>
            </w:r>
          </w:p>
        </w:tc>
        <w:tc>
          <w:tcPr>
            <w:tcW w:w="1250" w:type="dxa"/>
            <w:tcBorders>
              <w:top w:val="nil"/>
              <w:left w:val="nil"/>
              <w:bottom w:val="single" w:sz="4" w:space="0" w:color="auto"/>
              <w:right w:val="single" w:sz="4" w:space="0" w:color="auto"/>
            </w:tcBorders>
            <w:shd w:val="clear" w:color="auto" w:fill="auto"/>
            <w:vAlign w:val="center"/>
            <w:hideMark/>
          </w:tcPr>
          <w:p w14:paraId="5B6B7D9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13 dataset matches</w:t>
            </w:r>
            <w:r w:rsidRPr="00901194">
              <w:rPr>
                <w:rFonts w:eastAsia="Times New Roman" w:cs="Times New Roman"/>
                <w:color w:val="000000"/>
              </w:rPr>
              <w:t xml:space="preserve">; 1 human, 5 mouse, 3 rat, </w:t>
            </w:r>
          </w:p>
        </w:tc>
        <w:tc>
          <w:tcPr>
            <w:tcW w:w="1710" w:type="dxa"/>
            <w:tcBorders>
              <w:top w:val="nil"/>
              <w:left w:val="nil"/>
              <w:bottom w:val="single" w:sz="4" w:space="0" w:color="auto"/>
              <w:right w:val="single" w:sz="4" w:space="0" w:color="auto"/>
            </w:tcBorders>
            <w:shd w:val="clear" w:color="auto" w:fill="auto"/>
            <w:vAlign w:val="center"/>
            <w:hideMark/>
          </w:tcPr>
          <w:p w14:paraId="45BE95E0"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Pseudomonas, bacillus, Bacillus subtilis</w:t>
            </w:r>
          </w:p>
        </w:tc>
        <w:tc>
          <w:tcPr>
            <w:tcW w:w="1620" w:type="dxa"/>
            <w:tcBorders>
              <w:top w:val="nil"/>
              <w:left w:val="nil"/>
              <w:bottom w:val="single" w:sz="4" w:space="0" w:color="auto"/>
              <w:right w:val="single" w:sz="4" w:space="0" w:color="auto"/>
            </w:tcBorders>
            <w:shd w:val="clear" w:color="auto" w:fill="auto"/>
            <w:vAlign w:val="center"/>
            <w:hideMark/>
          </w:tcPr>
          <w:p w14:paraId="3B8881C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710" w:type="dxa"/>
            <w:tcBorders>
              <w:top w:val="nil"/>
              <w:left w:val="nil"/>
              <w:bottom w:val="single" w:sz="4" w:space="0" w:color="auto"/>
              <w:right w:val="single" w:sz="4" w:space="0" w:color="auto"/>
            </w:tcBorders>
            <w:shd w:val="clear" w:color="auto" w:fill="auto"/>
            <w:vAlign w:val="center"/>
            <w:hideMark/>
          </w:tcPr>
          <w:p w14:paraId="7EE85DA0" w14:textId="77777777" w:rsidR="00AC1FAA" w:rsidRPr="00901194" w:rsidRDefault="00000000" w:rsidP="00A3769A">
            <w:pPr>
              <w:spacing w:after="0" w:line="240" w:lineRule="auto"/>
              <w:jc w:val="center"/>
              <w:rPr>
                <w:rFonts w:eastAsia="Times New Roman" w:cs="Times New Roman"/>
                <w:color w:val="0563C1"/>
                <w:u w:val="single"/>
              </w:rPr>
            </w:pPr>
            <w:hyperlink r:id="rId225" w:history="1">
              <w:r w:rsidR="00AC1FAA" w:rsidRPr="00901194">
                <w:rPr>
                  <w:rFonts w:eastAsia="Times New Roman" w:cs="Times New Roman"/>
                  <w:color w:val="0563C1"/>
                  <w:u w:val="single"/>
                </w:rPr>
                <w:t>https://gnps.ucsd.edu/ProteoSAFe/status.jsp?task=f1259278f31d49e7965135dc4fd92f5f</w:t>
              </w:r>
            </w:hyperlink>
          </w:p>
        </w:tc>
        <w:tc>
          <w:tcPr>
            <w:tcW w:w="2070" w:type="dxa"/>
            <w:tcBorders>
              <w:top w:val="nil"/>
              <w:left w:val="nil"/>
              <w:bottom w:val="single" w:sz="4" w:space="0" w:color="auto"/>
              <w:right w:val="single" w:sz="4" w:space="0" w:color="auto"/>
            </w:tcBorders>
            <w:shd w:val="clear" w:color="auto" w:fill="auto"/>
            <w:vAlign w:val="center"/>
            <w:hideMark/>
          </w:tcPr>
          <w:p w14:paraId="335CC04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01767BFE" w14:textId="77777777" w:rsidTr="00AC1FAA">
        <w:trPr>
          <w:trHeight w:val="60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C49B80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Cholesterol</w:t>
            </w:r>
          </w:p>
        </w:tc>
        <w:tc>
          <w:tcPr>
            <w:tcW w:w="890" w:type="dxa"/>
            <w:tcBorders>
              <w:top w:val="nil"/>
              <w:left w:val="nil"/>
              <w:bottom w:val="single" w:sz="4" w:space="0" w:color="auto"/>
              <w:right w:val="single" w:sz="4" w:space="0" w:color="auto"/>
            </w:tcBorders>
            <w:shd w:val="clear" w:color="auto" w:fill="auto"/>
            <w:vAlign w:val="center"/>
            <w:hideMark/>
          </w:tcPr>
          <w:p w14:paraId="1326A7B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369.352</w:t>
            </w:r>
          </w:p>
        </w:tc>
        <w:tc>
          <w:tcPr>
            <w:tcW w:w="910" w:type="dxa"/>
            <w:tcBorders>
              <w:top w:val="nil"/>
              <w:left w:val="nil"/>
              <w:bottom w:val="single" w:sz="4" w:space="0" w:color="auto"/>
              <w:right w:val="single" w:sz="4" w:space="0" w:color="auto"/>
            </w:tcBorders>
            <w:shd w:val="clear" w:color="auto" w:fill="auto"/>
            <w:vAlign w:val="center"/>
            <w:hideMark/>
          </w:tcPr>
          <w:p w14:paraId="4CFCB48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10.50</w:t>
            </w:r>
          </w:p>
        </w:tc>
        <w:tc>
          <w:tcPr>
            <w:tcW w:w="1250" w:type="dxa"/>
            <w:tcBorders>
              <w:top w:val="nil"/>
              <w:left w:val="nil"/>
              <w:bottom w:val="single" w:sz="4" w:space="0" w:color="auto"/>
              <w:right w:val="single" w:sz="4" w:space="0" w:color="auto"/>
            </w:tcBorders>
            <w:shd w:val="clear" w:color="auto" w:fill="auto"/>
            <w:vAlign w:val="center"/>
            <w:hideMark/>
          </w:tcPr>
          <w:p w14:paraId="15A7715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204 dataset matches</w:t>
            </w:r>
            <w:r w:rsidRPr="00901194">
              <w:rPr>
                <w:rFonts w:eastAsia="Times New Roman" w:cs="Times New Roman"/>
                <w:color w:val="000000"/>
              </w:rPr>
              <w:t>; 102 human, 49 mouse, 6 rat, 5 environment, 17 food metagenome, ~5 plant (seaweed, tomato, sugarcane, thale cress, tomato), ~7 other animal (baboon, dog, sheep)</w:t>
            </w:r>
          </w:p>
        </w:tc>
        <w:tc>
          <w:tcPr>
            <w:tcW w:w="1710" w:type="dxa"/>
            <w:tcBorders>
              <w:top w:val="nil"/>
              <w:left w:val="nil"/>
              <w:bottom w:val="single" w:sz="4" w:space="0" w:color="auto"/>
              <w:right w:val="single" w:sz="4" w:space="0" w:color="auto"/>
            </w:tcBorders>
            <w:shd w:val="clear" w:color="auto" w:fill="auto"/>
            <w:vAlign w:val="center"/>
            <w:hideMark/>
          </w:tcPr>
          <w:p w14:paraId="53B41AEE"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Bifidobacterium, Akkermansia, Cutibacterium acnes, Streptomyces coelicolor, Pseudomonas aeruginosa</w:t>
            </w:r>
          </w:p>
        </w:tc>
        <w:tc>
          <w:tcPr>
            <w:tcW w:w="1620" w:type="dxa"/>
            <w:tcBorders>
              <w:top w:val="nil"/>
              <w:left w:val="nil"/>
              <w:bottom w:val="single" w:sz="4" w:space="0" w:color="auto"/>
              <w:right w:val="single" w:sz="4" w:space="0" w:color="auto"/>
            </w:tcBorders>
            <w:shd w:val="clear" w:color="auto" w:fill="auto"/>
            <w:vAlign w:val="center"/>
            <w:hideMark/>
          </w:tcPr>
          <w:p w14:paraId="3F79EDC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Amerindians urbanization gradient, Nobel twin study, American Gut (with plant consumption comparison and UK), Human gut bacteria biotransformation, urbanization gradient foods, ONR Wright human study, ONR human diet, ONR human fecal, Molecular analysis of human brain tissues</w:t>
            </w:r>
          </w:p>
        </w:tc>
        <w:tc>
          <w:tcPr>
            <w:tcW w:w="1710" w:type="dxa"/>
            <w:tcBorders>
              <w:top w:val="nil"/>
              <w:left w:val="nil"/>
              <w:bottom w:val="single" w:sz="4" w:space="0" w:color="auto"/>
              <w:right w:val="single" w:sz="4" w:space="0" w:color="auto"/>
            </w:tcBorders>
            <w:shd w:val="clear" w:color="auto" w:fill="auto"/>
            <w:vAlign w:val="center"/>
            <w:hideMark/>
          </w:tcPr>
          <w:p w14:paraId="43A30863" w14:textId="77777777" w:rsidR="00AC1FAA" w:rsidRPr="00901194" w:rsidRDefault="00000000" w:rsidP="00A3769A">
            <w:pPr>
              <w:spacing w:after="0" w:line="240" w:lineRule="auto"/>
              <w:jc w:val="center"/>
              <w:rPr>
                <w:rFonts w:eastAsia="Times New Roman" w:cs="Times New Roman"/>
                <w:color w:val="0563C1"/>
                <w:u w:val="single"/>
              </w:rPr>
            </w:pPr>
            <w:hyperlink r:id="rId226" w:history="1">
              <w:r w:rsidR="00AC1FAA" w:rsidRPr="00901194">
                <w:rPr>
                  <w:rFonts w:eastAsia="Times New Roman" w:cs="Times New Roman"/>
                  <w:color w:val="0563C1"/>
                  <w:u w:val="single"/>
                </w:rPr>
                <w:t>https://gnps.ucsd.edu/ProteoSAFe/status.jsp?task=4d622370a5fa4ad5bb1eab577469d246</w:t>
              </w:r>
            </w:hyperlink>
          </w:p>
        </w:tc>
        <w:tc>
          <w:tcPr>
            <w:tcW w:w="2070" w:type="dxa"/>
            <w:tcBorders>
              <w:top w:val="nil"/>
              <w:left w:val="nil"/>
              <w:bottom w:val="single" w:sz="4" w:space="0" w:color="auto"/>
              <w:right w:val="single" w:sz="4" w:space="0" w:color="auto"/>
            </w:tcBorders>
            <w:shd w:val="clear" w:color="auto" w:fill="auto"/>
            <w:vAlign w:val="center"/>
            <w:hideMark/>
          </w:tcPr>
          <w:p w14:paraId="6085A0C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1CF08012" w14:textId="77777777" w:rsidTr="00AC1FAA">
        <w:trPr>
          <w:trHeight w:val="39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97F767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(R)-4-((3R,5S,8R,9S,10S,13R,14S,17R)-3-hydroxy-10,13-dimethyl-7,12-dioxohexadecahydro-1H-cyclopenta[a]phenanthren-17-yl)pentanoic acid</w:t>
            </w:r>
          </w:p>
        </w:tc>
        <w:tc>
          <w:tcPr>
            <w:tcW w:w="890" w:type="dxa"/>
            <w:tcBorders>
              <w:top w:val="nil"/>
              <w:left w:val="nil"/>
              <w:bottom w:val="single" w:sz="4" w:space="0" w:color="auto"/>
              <w:right w:val="single" w:sz="4" w:space="0" w:color="auto"/>
            </w:tcBorders>
            <w:shd w:val="clear" w:color="auto" w:fill="auto"/>
            <w:vAlign w:val="center"/>
            <w:hideMark/>
          </w:tcPr>
          <w:p w14:paraId="69F1BAF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405.264</w:t>
            </w:r>
          </w:p>
        </w:tc>
        <w:tc>
          <w:tcPr>
            <w:tcW w:w="910" w:type="dxa"/>
            <w:tcBorders>
              <w:top w:val="nil"/>
              <w:left w:val="nil"/>
              <w:bottom w:val="single" w:sz="4" w:space="0" w:color="auto"/>
              <w:right w:val="single" w:sz="4" w:space="0" w:color="auto"/>
            </w:tcBorders>
            <w:shd w:val="clear" w:color="auto" w:fill="auto"/>
            <w:vAlign w:val="center"/>
            <w:hideMark/>
          </w:tcPr>
          <w:p w14:paraId="799E1F9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4.81</w:t>
            </w:r>
          </w:p>
        </w:tc>
        <w:tc>
          <w:tcPr>
            <w:tcW w:w="1250" w:type="dxa"/>
            <w:tcBorders>
              <w:top w:val="nil"/>
              <w:left w:val="nil"/>
              <w:bottom w:val="single" w:sz="4" w:space="0" w:color="auto"/>
              <w:right w:val="single" w:sz="4" w:space="0" w:color="auto"/>
            </w:tcBorders>
            <w:shd w:val="clear" w:color="auto" w:fill="auto"/>
            <w:vAlign w:val="center"/>
            <w:hideMark/>
          </w:tcPr>
          <w:p w14:paraId="422FEFB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51 dataset matches</w:t>
            </w:r>
            <w:r w:rsidRPr="00901194">
              <w:rPr>
                <w:rFonts w:eastAsia="Times New Roman" w:cs="Times New Roman"/>
                <w:color w:val="000000"/>
              </w:rPr>
              <w:t>; 22 human, 12 mouse, 1 rat, 1 environment, 5 food metagenome, ~3 other animal (cheetah)</w:t>
            </w:r>
          </w:p>
        </w:tc>
        <w:tc>
          <w:tcPr>
            <w:tcW w:w="1710" w:type="dxa"/>
            <w:tcBorders>
              <w:top w:val="nil"/>
              <w:left w:val="nil"/>
              <w:bottom w:val="single" w:sz="4" w:space="0" w:color="auto"/>
              <w:right w:val="single" w:sz="4" w:space="0" w:color="auto"/>
            </w:tcBorders>
            <w:shd w:val="clear" w:color="auto" w:fill="auto"/>
            <w:vAlign w:val="center"/>
            <w:hideMark/>
          </w:tcPr>
          <w:p w14:paraId="440B973E"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Pseudonocardia, Gordonia, Kitasatospora</w:t>
            </w:r>
          </w:p>
        </w:tc>
        <w:tc>
          <w:tcPr>
            <w:tcW w:w="1620" w:type="dxa"/>
            <w:tcBorders>
              <w:top w:val="nil"/>
              <w:left w:val="nil"/>
              <w:bottom w:val="single" w:sz="4" w:space="0" w:color="auto"/>
              <w:right w:val="single" w:sz="4" w:space="0" w:color="auto"/>
            </w:tcBorders>
            <w:shd w:val="clear" w:color="auto" w:fill="auto"/>
            <w:vAlign w:val="center"/>
            <w:hideMark/>
          </w:tcPr>
          <w:p w14:paraId="0BB610F9" w14:textId="21C1A60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Human-associated bacteria cultured with bile acids, IBD severity, American Gut (with plant consumption comparison), Zoo mammal fecal samples</w:t>
            </w:r>
            <w:r w:rsidR="00360C94" w:rsidRPr="00901194">
              <w:rPr>
                <w:rFonts w:eastAsia="Times New Roman" w:cs="Times New Roman"/>
                <w:color w:val="000000"/>
              </w:rPr>
              <w:fldChar w:fldCharType="begin" w:fldLock="1"/>
            </w:r>
            <w:r w:rsidR="00360C94"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360C94" w:rsidRPr="00901194">
              <w:rPr>
                <w:rFonts w:eastAsia="Times New Roman" w:cs="Times New Roman"/>
                <w:color w:val="000000"/>
              </w:rPr>
              <w:fldChar w:fldCharType="separate"/>
            </w:r>
            <w:r w:rsidR="00360C94" w:rsidRPr="00901194">
              <w:rPr>
                <w:rFonts w:eastAsia="Times New Roman" w:cs="Times New Roman"/>
                <w:noProof/>
                <w:color w:val="000000"/>
                <w:vertAlign w:val="superscript"/>
              </w:rPr>
              <w:t>231</w:t>
            </w:r>
            <w:r w:rsidR="00360C94" w:rsidRPr="00901194">
              <w:rPr>
                <w:rFonts w:eastAsia="Times New Roman" w:cs="Times New Roman"/>
                <w:color w:val="000000"/>
              </w:rPr>
              <w:fldChar w:fldCharType="end"/>
            </w:r>
            <w:r w:rsidRPr="00901194">
              <w:rPr>
                <w:rFonts w:eastAsia="Times New Roman" w:cs="Times New Roman"/>
                <w:color w:val="000000"/>
              </w:rPr>
              <w:t>, Nobel twin study, IBD severity</w:t>
            </w:r>
          </w:p>
        </w:tc>
        <w:tc>
          <w:tcPr>
            <w:tcW w:w="1710" w:type="dxa"/>
            <w:tcBorders>
              <w:top w:val="nil"/>
              <w:left w:val="nil"/>
              <w:bottom w:val="single" w:sz="4" w:space="0" w:color="auto"/>
              <w:right w:val="single" w:sz="4" w:space="0" w:color="auto"/>
            </w:tcBorders>
            <w:shd w:val="clear" w:color="auto" w:fill="auto"/>
            <w:vAlign w:val="center"/>
            <w:hideMark/>
          </w:tcPr>
          <w:p w14:paraId="62B5E610" w14:textId="77777777" w:rsidR="00AC1FAA" w:rsidRPr="00901194" w:rsidRDefault="00000000" w:rsidP="00A3769A">
            <w:pPr>
              <w:spacing w:after="0" w:line="240" w:lineRule="auto"/>
              <w:jc w:val="center"/>
              <w:rPr>
                <w:rFonts w:eastAsia="Times New Roman" w:cs="Times New Roman"/>
                <w:color w:val="0563C1"/>
                <w:u w:val="single"/>
              </w:rPr>
            </w:pPr>
            <w:hyperlink r:id="rId227" w:history="1">
              <w:r w:rsidR="00AC1FAA" w:rsidRPr="00901194">
                <w:rPr>
                  <w:rFonts w:eastAsia="Times New Roman" w:cs="Times New Roman"/>
                  <w:color w:val="0563C1"/>
                  <w:u w:val="single"/>
                </w:rPr>
                <w:t>https://gnps.ucsd.edu/ProteoSAFe/status.jsp?task=8cfb07ca20de46af9157341b39d25de5</w:t>
              </w:r>
            </w:hyperlink>
          </w:p>
        </w:tc>
        <w:tc>
          <w:tcPr>
            <w:tcW w:w="2070" w:type="dxa"/>
            <w:tcBorders>
              <w:top w:val="nil"/>
              <w:left w:val="nil"/>
              <w:bottom w:val="single" w:sz="4" w:space="0" w:color="auto"/>
              <w:right w:val="single" w:sz="4" w:space="0" w:color="auto"/>
            </w:tcBorders>
            <w:shd w:val="clear" w:color="auto" w:fill="auto"/>
            <w:vAlign w:val="center"/>
            <w:hideMark/>
          </w:tcPr>
          <w:p w14:paraId="7747EA3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535D3DED" w14:textId="77777777" w:rsidTr="00AC1FAA">
        <w:trPr>
          <w:trHeight w:val="39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16DE86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Glycoursodeoxycholic acid</w:t>
            </w:r>
          </w:p>
        </w:tc>
        <w:tc>
          <w:tcPr>
            <w:tcW w:w="890" w:type="dxa"/>
            <w:tcBorders>
              <w:top w:val="nil"/>
              <w:left w:val="nil"/>
              <w:bottom w:val="single" w:sz="4" w:space="0" w:color="auto"/>
              <w:right w:val="single" w:sz="4" w:space="0" w:color="auto"/>
            </w:tcBorders>
            <w:shd w:val="clear" w:color="auto" w:fill="auto"/>
            <w:vAlign w:val="center"/>
            <w:hideMark/>
          </w:tcPr>
          <w:p w14:paraId="0079F4F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414.301</w:t>
            </w:r>
          </w:p>
        </w:tc>
        <w:tc>
          <w:tcPr>
            <w:tcW w:w="910" w:type="dxa"/>
            <w:tcBorders>
              <w:top w:val="nil"/>
              <w:left w:val="nil"/>
              <w:bottom w:val="single" w:sz="4" w:space="0" w:color="auto"/>
              <w:right w:val="single" w:sz="4" w:space="0" w:color="auto"/>
            </w:tcBorders>
            <w:shd w:val="clear" w:color="auto" w:fill="auto"/>
            <w:vAlign w:val="center"/>
            <w:hideMark/>
          </w:tcPr>
          <w:p w14:paraId="61B8568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5.01</w:t>
            </w:r>
          </w:p>
        </w:tc>
        <w:tc>
          <w:tcPr>
            <w:tcW w:w="1250" w:type="dxa"/>
            <w:tcBorders>
              <w:top w:val="nil"/>
              <w:left w:val="nil"/>
              <w:bottom w:val="single" w:sz="4" w:space="0" w:color="auto"/>
              <w:right w:val="single" w:sz="4" w:space="0" w:color="auto"/>
            </w:tcBorders>
            <w:shd w:val="clear" w:color="auto" w:fill="auto"/>
            <w:vAlign w:val="center"/>
            <w:hideMark/>
          </w:tcPr>
          <w:p w14:paraId="77DBE02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47 dataset matches</w:t>
            </w:r>
            <w:r w:rsidRPr="00901194">
              <w:rPr>
                <w:rFonts w:eastAsia="Times New Roman" w:cs="Times New Roman"/>
                <w:color w:val="000000"/>
              </w:rPr>
              <w:t>; 26 human, 2 mouse, 5 rat, 3 environment, ~2 other animal (baboon), ~1 plant (tomato)</w:t>
            </w:r>
          </w:p>
        </w:tc>
        <w:tc>
          <w:tcPr>
            <w:tcW w:w="1710" w:type="dxa"/>
            <w:tcBorders>
              <w:top w:val="nil"/>
              <w:left w:val="nil"/>
              <w:bottom w:val="single" w:sz="4" w:space="0" w:color="auto"/>
              <w:right w:val="single" w:sz="4" w:space="0" w:color="auto"/>
            </w:tcBorders>
            <w:shd w:val="clear" w:color="auto" w:fill="auto"/>
            <w:vAlign w:val="center"/>
            <w:hideMark/>
          </w:tcPr>
          <w:p w14:paraId="4933AB3C"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Akkermansia, Bifidobacterium, Alteromonas, Pseudomonas fragi, E. coli, Streptomyces</w:t>
            </w:r>
          </w:p>
        </w:tc>
        <w:tc>
          <w:tcPr>
            <w:tcW w:w="1620" w:type="dxa"/>
            <w:tcBorders>
              <w:top w:val="nil"/>
              <w:left w:val="nil"/>
              <w:bottom w:val="single" w:sz="4" w:space="0" w:color="auto"/>
              <w:right w:val="single" w:sz="4" w:space="0" w:color="auto"/>
            </w:tcBorders>
            <w:shd w:val="clear" w:color="auto" w:fill="auto"/>
            <w:vAlign w:val="center"/>
            <w:hideMark/>
          </w:tcPr>
          <w:p w14:paraId="5E3CFFE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Human rheumatoid arthritis, ONR primary wright, Human gut bacteria biotransformation, Nobel twin study, Amerindians urbanization gradient, Analysis of Alzheimer’s</w:t>
            </w:r>
          </w:p>
        </w:tc>
        <w:tc>
          <w:tcPr>
            <w:tcW w:w="1710" w:type="dxa"/>
            <w:tcBorders>
              <w:top w:val="nil"/>
              <w:left w:val="nil"/>
              <w:bottom w:val="single" w:sz="4" w:space="0" w:color="auto"/>
              <w:right w:val="single" w:sz="4" w:space="0" w:color="auto"/>
            </w:tcBorders>
            <w:shd w:val="clear" w:color="auto" w:fill="auto"/>
            <w:vAlign w:val="center"/>
            <w:hideMark/>
          </w:tcPr>
          <w:p w14:paraId="65330CD9" w14:textId="77777777" w:rsidR="00AC1FAA" w:rsidRPr="00901194" w:rsidRDefault="00000000" w:rsidP="00A3769A">
            <w:pPr>
              <w:spacing w:after="0" w:line="240" w:lineRule="auto"/>
              <w:jc w:val="center"/>
              <w:rPr>
                <w:rFonts w:eastAsia="Times New Roman" w:cs="Times New Roman"/>
                <w:color w:val="0563C1"/>
                <w:u w:val="single"/>
              </w:rPr>
            </w:pPr>
            <w:hyperlink r:id="rId228" w:history="1">
              <w:r w:rsidR="00AC1FAA" w:rsidRPr="00901194">
                <w:rPr>
                  <w:rFonts w:eastAsia="Times New Roman" w:cs="Times New Roman"/>
                  <w:color w:val="0563C1"/>
                  <w:u w:val="single"/>
                </w:rPr>
                <w:t>https://gnps.ucsd.edu/ProteoSAFe/status.jsp?task=43e8d71f3ad84cc0b7a7967e821a45a9</w:t>
              </w:r>
            </w:hyperlink>
          </w:p>
        </w:tc>
        <w:tc>
          <w:tcPr>
            <w:tcW w:w="2070" w:type="dxa"/>
            <w:tcBorders>
              <w:top w:val="nil"/>
              <w:left w:val="nil"/>
              <w:bottom w:val="single" w:sz="4" w:space="0" w:color="auto"/>
              <w:right w:val="single" w:sz="4" w:space="0" w:color="auto"/>
            </w:tcBorders>
            <w:shd w:val="clear" w:color="auto" w:fill="auto"/>
            <w:vAlign w:val="center"/>
            <w:hideMark/>
          </w:tcPr>
          <w:p w14:paraId="7280D44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6406B447" w14:textId="77777777" w:rsidTr="00AC1FAA">
        <w:trPr>
          <w:trHeight w:val="66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B1D908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Cholic acid</w:t>
            </w:r>
          </w:p>
        </w:tc>
        <w:tc>
          <w:tcPr>
            <w:tcW w:w="890" w:type="dxa"/>
            <w:tcBorders>
              <w:top w:val="nil"/>
              <w:left w:val="nil"/>
              <w:bottom w:val="single" w:sz="4" w:space="0" w:color="auto"/>
              <w:right w:val="single" w:sz="4" w:space="0" w:color="auto"/>
            </w:tcBorders>
            <w:shd w:val="clear" w:color="auto" w:fill="auto"/>
            <w:vAlign w:val="center"/>
            <w:hideMark/>
          </w:tcPr>
          <w:p w14:paraId="783E664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426.318</w:t>
            </w:r>
          </w:p>
        </w:tc>
        <w:tc>
          <w:tcPr>
            <w:tcW w:w="910" w:type="dxa"/>
            <w:tcBorders>
              <w:top w:val="nil"/>
              <w:left w:val="nil"/>
              <w:bottom w:val="single" w:sz="4" w:space="0" w:color="auto"/>
              <w:right w:val="single" w:sz="4" w:space="0" w:color="auto"/>
            </w:tcBorders>
            <w:shd w:val="clear" w:color="auto" w:fill="auto"/>
            <w:vAlign w:val="center"/>
            <w:hideMark/>
          </w:tcPr>
          <w:p w14:paraId="0CE7A15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5.19</w:t>
            </w:r>
          </w:p>
        </w:tc>
        <w:tc>
          <w:tcPr>
            <w:tcW w:w="1250" w:type="dxa"/>
            <w:tcBorders>
              <w:top w:val="nil"/>
              <w:left w:val="nil"/>
              <w:bottom w:val="single" w:sz="4" w:space="0" w:color="auto"/>
              <w:right w:val="single" w:sz="4" w:space="0" w:color="auto"/>
            </w:tcBorders>
            <w:shd w:val="clear" w:color="auto" w:fill="auto"/>
            <w:vAlign w:val="center"/>
            <w:hideMark/>
          </w:tcPr>
          <w:p w14:paraId="2D24785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187 dataset matches</w:t>
            </w:r>
            <w:r w:rsidRPr="00901194">
              <w:rPr>
                <w:rFonts w:eastAsia="Times New Roman" w:cs="Times New Roman"/>
                <w:color w:val="000000"/>
              </w:rPr>
              <w:t>; 51 human, 54 mouse, 10 rat, 15 environment, 13 food metageneome, ~2 plant (Ardisia crenata, thale cress), ~6 other animal (baboon, dog, cheetah, sheep)</w:t>
            </w:r>
          </w:p>
        </w:tc>
        <w:tc>
          <w:tcPr>
            <w:tcW w:w="1710" w:type="dxa"/>
            <w:tcBorders>
              <w:top w:val="nil"/>
              <w:left w:val="nil"/>
              <w:bottom w:val="single" w:sz="4" w:space="0" w:color="auto"/>
              <w:right w:val="single" w:sz="4" w:space="0" w:color="auto"/>
            </w:tcBorders>
            <w:shd w:val="clear" w:color="auto" w:fill="auto"/>
            <w:vAlign w:val="center"/>
            <w:hideMark/>
          </w:tcPr>
          <w:p w14:paraId="6B2897BC"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Bacteroides, Akkermansia, Bifidobacterium, Roseburia, Eggerthella, Clostridium, Pseudomonas, Stenotrophomonas, Achromobacter, Salinispora, Photobacterium galatheae, Paenibacillus peoriae, Xenorhabdus hominickii, Streptomyces, Salinispora, Nocardiopsis, Brevibacterium, Bacillus, Alteromonas</w:t>
            </w:r>
          </w:p>
        </w:tc>
        <w:tc>
          <w:tcPr>
            <w:tcW w:w="1620" w:type="dxa"/>
            <w:tcBorders>
              <w:top w:val="nil"/>
              <w:left w:val="nil"/>
              <w:bottom w:val="single" w:sz="4" w:space="0" w:color="auto"/>
              <w:right w:val="single" w:sz="4" w:space="0" w:color="auto"/>
            </w:tcBorders>
            <w:shd w:val="clear" w:color="auto" w:fill="auto"/>
            <w:vAlign w:val="center"/>
            <w:hideMark/>
          </w:tcPr>
          <w:p w14:paraId="0F51FF1C" w14:textId="684C084D"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Wright Human study, ONR Primary Wright, Burger ingredients, Human gut bacteria biotransformation, American Gut (also UK), Zoo mammal fecal samples</w:t>
            </w:r>
            <w:r w:rsidR="00360C94" w:rsidRPr="00901194">
              <w:rPr>
                <w:rFonts w:eastAsia="Times New Roman" w:cs="Times New Roman"/>
                <w:color w:val="000000"/>
              </w:rPr>
              <w:fldChar w:fldCharType="begin" w:fldLock="1"/>
            </w:r>
            <w:r w:rsidR="00EC528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360C94" w:rsidRPr="00901194">
              <w:rPr>
                <w:rFonts w:eastAsia="Times New Roman" w:cs="Times New Roman"/>
                <w:color w:val="000000"/>
              </w:rPr>
              <w:fldChar w:fldCharType="separate"/>
            </w:r>
            <w:r w:rsidR="00360C94" w:rsidRPr="00901194">
              <w:rPr>
                <w:rFonts w:eastAsia="Times New Roman" w:cs="Times New Roman"/>
                <w:noProof/>
                <w:color w:val="000000"/>
                <w:vertAlign w:val="superscript"/>
              </w:rPr>
              <w:t>231</w:t>
            </w:r>
            <w:r w:rsidR="00360C94" w:rsidRPr="00901194">
              <w:rPr>
                <w:rFonts w:eastAsia="Times New Roman" w:cs="Times New Roman"/>
                <w:color w:val="000000"/>
              </w:rPr>
              <w:fldChar w:fldCharType="end"/>
            </w:r>
            <w:r w:rsidRPr="00901194">
              <w:rPr>
                <w:rFonts w:eastAsia="Times New Roman" w:cs="Times New Roman"/>
                <w:color w:val="000000"/>
              </w:rPr>
              <w:t>, Nobel twin study, IBD severity</w:t>
            </w:r>
          </w:p>
        </w:tc>
        <w:tc>
          <w:tcPr>
            <w:tcW w:w="1710" w:type="dxa"/>
            <w:tcBorders>
              <w:top w:val="nil"/>
              <w:left w:val="nil"/>
              <w:bottom w:val="single" w:sz="4" w:space="0" w:color="auto"/>
              <w:right w:val="single" w:sz="4" w:space="0" w:color="auto"/>
            </w:tcBorders>
            <w:shd w:val="clear" w:color="auto" w:fill="auto"/>
            <w:vAlign w:val="center"/>
            <w:hideMark/>
          </w:tcPr>
          <w:p w14:paraId="57B499BB" w14:textId="77777777" w:rsidR="00AC1FAA" w:rsidRPr="00901194" w:rsidRDefault="00000000" w:rsidP="00A3769A">
            <w:pPr>
              <w:spacing w:after="0" w:line="240" w:lineRule="auto"/>
              <w:jc w:val="center"/>
              <w:rPr>
                <w:rFonts w:eastAsia="Times New Roman" w:cs="Times New Roman"/>
                <w:color w:val="0563C1"/>
                <w:u w:val="single"/>
              </w:rPr>
            </w:pPr>
            <w:hyperlink r:id="rId229" w:history="1">
              <w:r w:rsidR="00AC1FAA" w:rsidRPr="00901194">
                <w:rPr>
                  <w:rFonts w:eastAsia="Times New Roman" w:cs="Times New Roman"/>
                  <w:color w:val="0563C1"/>
                  <w:u w:val="single"/>
                </w:rPr>
                <w:t>https://gnps.ucsd.edu/ProteoSAFe/status.jsp?task=496f2c33aaed4da0a9096623376f7afe</w:t>
              </w:r>
            </w:hyperlink>
          </w:p>
        </w:tc>
        <w:tc>
          <w:tcPr>
            <w:tcW w:w="2070" w:type="dxa"/>
            <w:tcBorders>
              <w:top w:val="nil"/>
              <w:left w:val="nil"/>
              <w:bottom w:val="single" w:sz="4" w:space="0" w:color="auto"/>
              <w:right w:val="single" w:sz="4" w:space="0" w:color="auto"/>
            </w:tcBorders>
            <w:shd w:val="clear" w:color="auto" w:fill="auto"/>
            <w:vAlign w:val="center"/>
            <w:hideMark/>
          </w:tcPr>
          <w:p w14:paraId="467A7C7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202B1FD" w14:textId="77777777" w:rsidTr="00AC1FAA">
        <w:trPr>
          <w:trHeight w:val="26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703F051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6R)-2-(hydroxymethyl)-6-((3R,5R,7R,8R,9S,10S,12S,13R,14S,17R)-3,7,12-trihydroxy-10,13-dimethylhexadecahydro-1H-</w:t>
            </w:r>
            <w:r w:rsidRPr="00901194">
              <w:rPr>
                <w:rFonts w:eastAsia="Times New Roman" w:cs="Times New Roman"/>
                <w:color w:val="000000"/>
              </w:rPr>
              <w:lastRenderedPageBreak/>
              <w:t>cyclopenta[a]phenanthren-17-yl)heptanoic acid</w:t>
            </w:r>
          </w:p>
        </w:tc>
        <w:tc>
          <w:tcPr>
            <w:tcW w:w="890" w:type="dxa"/>
            <w:tcBorders>
              <w:top w:val="nil"/>
              <w:left w:val="nil"/>
              <w:bottom w:val="single" w:sz="4" w:space="0" w:color="auto"/>
              <w:right w:val="single" w:sz="4" w:space="0" w:color="auto"/>
            </w:tcBorders>
            <w:shd w:val="clear" w:color="auto" w:fill="auto"/>
            <w:vAlign w:val="center"/>
            <w:hideMark/>
          </w:tcPr>
          <w:p w14:paraId="3CB2785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431.318</w:t>
            </w:r>
          </w:p>
        </w:tc>
        <w:tc>
          <w:tcPr>
            <w:tcW w:w="910" w:type="dxa"/>
            <w:tcBorders>
              <w:top w:val="nil"/>
              <w:left w:val="nil"/>
              <w:bottom w:val="single" w:sz="4" w:space="0" w:color="auto"/>
              <w:right w:val="single" w:sz="4" w:space="0" w:color="auto"/>
            </w:tcBorders>
            <w:shd w:val="clear" w:color="auto" w:fill="auto"/>
            <w:vAlign w:val="center"/>
            <w:hideMark/>
          </w:tcPr>
          <w:p w14:paraId="25BFF56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5.25</w:t>
            </w:r>
          </w:p>
        </w:tc>
        <w:tc>
          <w:tcPr>
            <w:tcW w:w="1250" w:type="dxa"/>
            <w:tcBorders>
              <w:top w:val="nil"/>
              <w:left w:val="nil"/>
              <w:bottom w:val="single" w:sz="4" w:space="0" w:color="auto"/>
              <w:right w:val="single" w:sz="4" w:space="0" w:color="auto"/>
            </w:tcBorders>
            <w:shd w:val="clear" w:color="auto" w:fill="auto"/>
            <w:vAlign w:val="center"/>
            <w:hideMark/>
          </w:tcPr>
          <w:p w14:paraId="5037438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6 dataset matches</w:t>
            </w:r>
            <w:r w:rsidRPr="00901194">
              <w:rPr>
                <w:rFonts w:eastAsia="Times New Roman" w:cs="Times New Roman"/>
                <w:color w:val="000000"/>
              </w:rPr>
              <w:t>; 1 human, 2 mouse, 2 rat, 1 other animal (cheetah)</w:t>
            </w:r>
          </w:p>
        </w:tc>
        <w:tc>
          <w:tcPr>
            <w:tcW w:w="1710" w:type="dxa"/>
            <w:tcBorders>
              <w:top w:val="nil"/>
              <w:left w:val="nil"/>
              <w:bottom w:val="single" w:sz="4" w:space="0" w:color="auto"/>
              <w:right w:val="single" w:sz="4" w:space="0" w:color="auto"/>
            </w:tcBorders>
            <w:shd w:val="clear" w:color="auto" w:fill="auto"/>
            <w:vAlign w:val="center"/>
            <w:hideMark/>
          </w:tcPr>
          <w:p w14:paraId="7327096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3B9FBEE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Amerindians Urbanization gradient</w:t>
            </w:r>
          </w:p>
        </w:tc>
        <w:tc>
          <w:tcPr>
            <w:tcW w:w="1710" w:type="dxa"/>
            <w:tcBorders>
              <w:top w:val="nil"/>
              <w:left w:val="nil"/>
              <w:bottom w:val="single" w:sz="4" w:space="0" w:color="auto"/>
              <w:right w:val="single" w:sz="4" w:space="0" w:color="auto"/>
            </w:tcBorders>
            <w:shd w:val="clear" w:color="auto" w:fill="auto"/>
            <w:vAlign w:val="center"/>
            <w:hideMark/>
          </w:tcPr>
          <w:p w14:paraId="7A6C917D" w14:textId="77777777" w:rsidR="00AC1FAA" w:rsidRPr="00901194" w:rsidRDefault="00000000" w:rsidP="00A3769A">
            <w:pPr>
              <w:spacing w:after="0" w:line="240" w:lineRule="auto"/>
              <w:jc w:val="center"/>
              <w:rPr>
                <w:rFonts w:eastAsia="Times New Roman" w:cs="Times New Roman"/>
                <w:color w:val="0563C1"/>
                <w:u w:val="single"/>
              </w:rPr>
            </w:pPr>
            <w:hyperlink r:id="rId230" w:history="1">
              <w:r w:rsidR="00AC1FAA" w:rsidRPr="00901194">
                <w:rPr>
                  <w:rFonts w:eastAsia="Times New Roman" w:cs="Times New Roman"/>
                  <w:color w:val="0563C1"/>
                  <w:u w:val="single"/>
                </w:rPr>
                <w:t>https://gnps.ucsd.edu/ProteoSAFe/status.jsp?task=9d7b3242ba97467f88cc7e2849a73c9a</w:t>
              </w:r>
            </w:hyperlink>
          </w:p>
        </w:tc>
        <w:tc>
          <w:tcPr>
            <w:tcW w:w="2070" w:type="dxa"/>
            <w:tcBorders>
              <w:top w:val="nil"/>
              <w:left w:val="nil"/>
              <w:bottom w:val="single" w:sz="4" w:space="0" w:color="auto"/>
              <w:right w:val="single" w:sz="4" w:space="0" w:color="auto"/>
            </w:tcBorders>
            <w:shd w:val="clear" w:color="auto" w:fill="auto"/>
            <w:vAlign w:val="center"/>
            <w:hideMark/>
          </w:tcPr>
          <w:p w14:paraId="3216713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6921E5E4" w14:textId="77777777" w:rsidTr="00AC1FAA">
        <w:trPr>
          <w:trHeight w:val="51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C72EA4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Oleanolic acid</w:t>
            </w:r>
          </w:p>
        </w:tc>
        <w:tc>
          <w:tcPr>
            <w:tcW w:w="890" w:type="dxa"/>
            <w:tcBorders>
              <w:top w:val="nil"/>
              <w:left w:val="nil"/>
              <w:bottom w:val="single" w:sz="4" w:space="0" w:color="auto"/>
              <w:right w:val="single" w:sz="4" w:space="0" w:color="auto"/>
            </w:tcBorders>
            <w:shd w:val="clear" w:color="auto" w:fill="auto"/>
            <w:vAlign w:val="center"/>
            <w:hideMark/>
          </w:tcPr>
          <w:p w14:paraId="3F93C9C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439.359</w:t>
            </w:r>
          </w:p>
        </w:tc>
        <w:tc>
          <w:tcPr>
            <w:tcW w:w="910" w:type="dxa"/>
            <w:tcBorders>
              <w:top w:val="nil"/>
              <w:left w:val="nil"/>
              <w:bottom w:val="single" w:sz="4" w:space="0" w:color="auto"/>
              <w:right w:val="single" w:sz="4" w:space="0" w:color="auto"/>
            </w:tcBorders>
            <w:shd w:val="clear" w:color="auto" w:fill="auto"/>
            <w:vAlign w:val="center"/>
            <w:hideMark/>
          </w:tcPr>
          <w:p w14:paraId="23B041B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7.62</w:t>
            </w:r>
          </w:p>
        </w:tc>
        <w:tc>
          <w:tcPr>
            <w:tcW w:w="1250" w:type="dxa"/>
            <w:tcBorders>
              <w:top w:val="nil"/>
              <w:left w:val="nil"/>
              <w:bottom w:val="single" w:sz="4" w:space="0" w:color="auto"/>
              <w:right w:val="single" w:sz="4" w:space="0" w:color="auto"/>
            </w:tcBorders>
            <w:shd w:val="clear" w:color="auto" w:fill="auto"/>
            <w:vAlign w:val="center"/>
            <w:hideMark/>
          </w:tcPr>
          <w:p w14:paraId="3BD5D75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106 dataset matches</w:t>
            </w:r>
            <w:r w:rsidRPr="00901194">
              <w:rPr>
                <w:rFonts w:eastAsia="Times New Roman" w:cs="Times New Roman"/>
                <w:color w:val="000000"/>
              </w:rPr>
              <w:t xml:space="preserve">; 22 human,  11 mouse, 3 rat, 5 environment, 16 food metagenome, ~5 other animal (cheetah, ant), ~11 plant (rosemary, </w:t>
            </w:r>
            <w:r w:rsidRPr="00901194">
              <w:rPr>
                <w:rFonts w:eastAsia="Times New Roman" w:cs="Times New Roman"/>
                <w:i/>
                <w:iCs/>
                <w:color w:val="000000"/>
              </w:rPr>
              <w:t>Fraxinus excelsior</w:t>
            </w:r>
            <w:r w:rsidRPr="00901194">
              <w:rPr>
                <w:rFonts w:eastAsia="Times New Roman" w:cs="Times New Roman"/>
                <w:color w:val="000000"/>
              </w:rPr>
              <w:t xml:space="preserve">, oranges, corn, tomato, </w:t>
            </w:r>
            <w:r w:rsidRPr="00901194">
              <w:rPr>
                <w:rFonts w:eastAsia="Times New Roman" w:cs="Times New Roman"/>
                <w:i/>
                <w:iCs/>
                <w:color w:val="000000"/>
              </w:rPr>
              <w:t>Parietaria judaica</w:t>
            </w:r>
            <w:r w:rsidRPr="00901194">
              <w:rPr>
                <w:rFonts w:eastAsia="Times New Roman" w:cs="Times New Roman"/>
                <w:color w:val="000000"/>
              </w:rPr>
              <w:t>)</w:t>
            </w:r>
          </w:p>
        </w:tc>
        <w:tc>
          <w:tcPr>
            <w:tcW w:w="1710" w:type="dxa"/>
            <w:tcBorders>
              <w:top w:val="nil"/>
              <w:left w:val="nil"/>
              <w:bottom w:val="single" w:sz="4" w:space="0" w:color="auto"/>
              <w:right w:val="single" w:sz="4" w:space="0" w:color="auto"/>
            </w:tcBorders>
            <w:shd w:val="clear" w:color="auto" w:fill="auto"/>
            <w:vAlign w:val="center"/>
            <w:hideMark/>
          </w:tcPr>
          <w:p w14:paraId="15B2A728"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Burkholderia, Bacillus, Eggerthella lenta, Cyanonacteria, Staphylococcus, Acinetobacter pittii, Pantoea conspicua, Klebsiella, Enterobacter</w:t>
            </w:r>
          </w:p>
        </w:tc>
        <w:tc>
          <w:tcPr>
            <w:tcW w:w="1620" w:type="dxa"/>
            <w:tcBorders>
              <w:top w:val="nil"/>
              <w:left w:val="nil"/>
              <w:bottom w:val="single" w:sz="4" w:space="0" w:color="auto"/>
              <w:right w:val="single" w:sz="4" w:space="0" w:color="auto"/>
            </w:tcBorders>
            <w:shd w:val="clear" w:color="auto" w:fill="auto"/>
            <w:vAlign w:val="center"/>
            <w:hideMark/>
          </w:tcPr>
          <w:p w14:paraId="01C363C1" w14:textId="77A39B01"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Wright Human study, American Gut, Amazon urbanization housing analysis, Urbanization gradient foods, Zoo mammal fecal samples</w:t>
            </w:r>
            <w:r w:rsidR="00EC528D" w:rsidRPr="00901194">
              <w:rPr>
                <w:rFonts w:eastAsia="Times New Roman" w:cs="Times New Roman"/>
                <w:color w:val="000000"/>
              </w:rPr>
              <w:fldChar w:fldCharType="begin" w:fldLock="1"/>
            </w:r>
            <w:r w:rsidR="00EC528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EC528D" w:rsidRPr="00901194">
              <w:rPr>
                <w:rFonts w:eastAsia="Times New Roman" w:cs="Times New Roman"/>
                <w:color w:val="000000"/>
              </w:rPr>
              <w:fldChar w:fldCharType="separate"/>
            </w:r>
            <w:r w:rsidR="00EC528D" w:rsidRPr="00901194">
              <w:rPr>
                <w:rFonts w:eastAsia="Times New Roman" w:cs="Times New Roman"/>
                <w:noProof/>
                <w:color w:val="000000"/>
                <w:vertAlign w:val="superscript"/>
              </w:rPr>
              <w:t>231</w:t>
            </w:r>
            <w:r w:rsidR="00EC528D" w:rsidRPr="00901194">
              <w:rPr>
                <w:rFonts w:eastAsia="Times New Roman" w:cs="Times New Roman"/>
                <w:color w:val="000000"/>
              </w:rPr>
              <w:fldChar w:fldCharType="end"/>
            </w:r>
          </w:p>
        </w:tc>
        <w:tc>
          <w:tcPr>
            <w:tcW w:w="1710" w:type="dxa"/>
            <w:tcBorders>
              <w:top w:val="nil"/>
              <w:left w:val="nil"/>
              <w:bottom w:val="single" w:sz="4" w:space="0" w:color="auto"/>
              <w:right w:val="single" w:sz="4" w:space="0" w:color="auto"/>
            </w:tcBorders>
            <w:shd w:val="clear" w:color="auto" w:fill="auto"/>
            <w:vAlign w:val="center"/>
            <w:hideMark/>
          </w:tcPr>
          <w:p w14:paraId="3FD69BC2" w14:textId="77777777" w:rsidR="00AC1FAA" w:rsidRPr="00901194" w:rsidRDefault="00000000" w:rsidP="00A3769A">
            <w:pPr>
              <w:spacing w:after="0" w:line="240" w:lineRule="auto"/>
              <w:jc w:val="center"/>
              <w:rPr>
                <w:rFonts w:eastAsia="Times New Roman" w:cs="Times New Roman"/>
                <w:color w:val="0563C1"/>
                <w:u w:val="single"/>
              </w:rPr>
            </w:pPr>
            <w:hyperlink r:id="rId231" w:history="1">
              <w:r w:rsidR="00AC1FAA" w:rsidRPr="00901194">
                <w:rPr>
                  <w:rFonts w:eastAsia="Times New Roman" w:cs="Times New Roman"/>
                  <w:color w:val="0563C1"/>
                  <w:u w:val="single"/>
                </w:rPr>
                <w:t>https://gnps.ucsd.edu/ProteoSAFe/status.jsp?task=800acf7db452461c9d0a890f990ecd83</w:t>
              </w:r>
            </w:hyperlink>
          </w:p>
        </w:tc>
        <w:tc>
          <w:tcPr>
            <w:tcW w:w="2070" w:type="dxa"/>
            <w:tcBorders>
              <w:top w:val="nil"/>
              <w:left w:val="nil"/>
              <w:bottom w:val="single" w:sz="4" w:space="0" w:color="auto"/>
              <w:right w:val="single" w:sz="4" w:space="0" w:color="auto"/>
            </w:tcBorders>
            <w:shd w:val="clear" w:color="auto" w:fill="auto"/>
            <w:vAlign w:val="center"/>
            <w:hideMark/>
          </w:tcPr>
          <w:p w14:paraId="2722479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24947CD6" w14:textId="77777777" w:rsidTr="00AC1FAA">
        <w:trPr>
          <w:trHeight w:val="819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47D3AD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Glycocholic acid</w:t>
            </w:r>
          </w:p>
        </w:tc>
        <w:tc>
          <w:tcPr>
            <w:tcW w:w="890" w:type="dxa"/>
            <w:tcBorders>
              <w:top w:val="nil"/>
              <w:left w:val="nil"/>
              <w:bottom w:val="single" w:sz="4" w:space="0" w:color="auto"/>
              <w:right w:val="single" w:sz="4" w:space="0" w:color="auto"/>
            </w:tcBorders>
            <w:shd w:val="clear" w:color="auto" w:fill="auto"/>
            <w:vAlign w:val="center"/>
            <w:hideMark/>
          </w:tcPr>
          <w:p w14:paraId="634709D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446.32</w:t>
            </w:r>
          </w:p>
        </w:tc>
        <w:tc>
          <w:tcPr>
            <w:tcW w:w="910" w:type="dxa"/>
            <w:tcBorders>
              <w:top w:val="nil"/>
              <w:left w:val="nil"/>
              <w:bottom w:val="single" w:sz="4" w:space="0" w:color="auto"/>
              <w:right w:val="single" w:sz="4" w:space="0" w:color="auto"/>
            </w:tcBorders>
            <w:shd w:val="clear" w:color="auto" w:fill="auto"/>
            <w:vAlign w:val="center"/>
            <w:hideMark/>
          </w:tcPr>
          <w:p w14:paraId="3752799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4.69</w:t>
            </w:r>
          </w:p>
        </w:tc>
        <w:tc>
          <w:tcPr>
            <w:tcW w:w="1250" w:type="dxa"/>
            <w:tcBorders>
              <w:top w:val="nil"/>
              <w:left w:val="nil"/>
              <w:bottom w:val="single" w:sz="4" w:space="0" w:color="auto"/>
              <w:right w:val="single" w:sz="4" w:space="0" w:color="auto"/>
            </w:tcBorders>
            <w:shd w:val="clear" w:color="auto" w:fill="auto"/>
            <w:vAlign w:val="center"/>
            <w:hideMark/>
          </w:tcPr>
          <w:p w14:paraId="720F7DEE"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204 dataset matches</w:t>
            </w:r>
            <w:r w:rsidRPr="00901194">
              <w:rPr>
                <w:rFonts w:eastAsia="Times New Roman" w:cs="Times New Roman"/>
                <w:color w:val="000000"/>
              </w:rPr>
              <w:t xml:space="preserve">; 85 human, 19 mouse, 2 rat, 2 environment, 18 food metagenome, ~9 plant (corn, tomato, </w:t>
            </w:r>
            <w:r w:rsidRPr="00901194">
              <w:rPr>
                <w:rFonts w:eastAsia="Times New Roman" w:cs="Times New Roman"/>
                <w:i/>
                <w:iCs/>
                <w:color w:val="000000"/>
              </w:rPr>
              <w:t>Ardisia crenata</w:t>
            </w:r>
            <w:r w:rsidRPr="00901194">
              <w:rPr>
                <w:rFonts w:eastAsia="Times New Roman" w:cs="Times New Roman"/>
                <w:color w:val="000000"/>
              </w:rPr>
              <w:t>), ~7 other animal (rhino, baboon, cheetah)</w:t>
            </w:r>
          </w:p>
        </w:tc>
        <w:tc>
          <w:tcPr>
            <w:tcW w:w="1710" w:type="dxa"/>
            <w:tcBorders>
              <w:top w:val="nil"/>
              <w:left w:val="nil"/>
              <w:bottom w:val="single" w:sz="4" w:space="0" w:color="auto"/>
              <w:right w:val="single" w:sz="4" w:space="0" w:color="auto"/>
            </w:tcBorders>
            <w:shd w:val="clear" w:color="auto" w:fill="auto"/>
            <w:vAlign w:val="center"/>
            <w:hideMark/>
          </w:tcPr>
          <w:p w14:paraId="575EF8C3"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Cyanobacteria, Pseudomonas, Streptomyces, E. coli, Alteromonas, Bacillus subtilis, Pseudonocardia, Gordonia, Kitasatospora, Actinomadura, Nocardia, Actinomycetes,Pseudoalteromonas, Roseovarius, Staphylococcus aureus, Bacteroides, Akkermansia, Bifidobacterium, Roseburia, Eggerthella, Clostridium, Paenibacillus, Cutibacterium acnes</w:t>
            </w:r>
          </w:p>
        </w:tc>
        <w:tc>
          <w:tcPr>
            <w:tcW w:w="1620" w:type="dxa"/>
            <w:tcBorders>
              <w:top w:val="nil"/>
              <w:left w:val="nil"/>
              <w:bottom w:val="single" w:sz="4" w:space="0" w:color="auto"/>
              <w:right w:val="single" w:sz="4" w:space="0" w:color="auto"/>
            </w:tcBorders>
            <w:shd w:val="clear" w:color="auto" w:fill="auto"/>
            <w:vAlign w:val="center"/>
            <w:hideMark/>
          </w:tcPr>
          <w:p w14:paraId="717A40D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 xml:space="preserve">Human-associated bacteria cultured with bile acids, ONR Wright human study, IBD human samples, Burger ingredients, Human rheumatoid arthritis, Human gut bacteria biotransformation, Amerindians urbanization gradient, Urbanization gradient foods, ONR human plasma, ONR primary bile acids, Nobel twin study, </w:t>
            </w:r>
            <w:r w:rsidRPr="00901194">
              <w:rPr>
                <w:rFonts w:eastAsia="Times New Roman" w:cs="Times New Roman"/>
                <w:i/>
                <w:iCs/>
                <w:color w:val="000000"/>
              </w:rPr>
              <w:t>Salinispora</w:t>
            </w:r>
            <w:r w:rsidRPr="00901194">
              <w:rPr>
                <w:rFonts w:eastAsia="Times New Roman" w:cs="Times New Roman"/>
                <w:color w:val="000000"/>
              </w:rPr>
              <w:t>, American Gut (with plant consumption comparison)</w:t>
            </w:r>
          </w:p>
        </w:tc>
        <w:tc>
          <w:tcPr>
            <w:tcW w:w="1710" w:type="dxa"/>
            <w:tcBorders>
              <w:top w:val="nil"/>
              <w:left w:val="nil"/>
              <w:bottom w:val="single" w:sz="4" w:space="0" w:color="auto"/>
              <w:right w:val="single" w:sz="4" w:space="0" w:color="auto"/>
            </w:tcBorders>
            <w:shd w:val="clear" w:color="auto" w:fill="auto"/>
            <w:vAlign w:val="center"/>
            <w:hideMark/>
          </w:tcPr>
          <w:p w14:paraId="7A170099" w14:textId="77777777" w:rsidR="00AC1FAA" w:rsidRPr="00901194" w:rsidRDefault="00000000" w:rsidP="00A3769A">
            <w:pPr>
              <w:spacing w:after="0" w:line="240" w:lineRule="auto"/>
              <w:jc w:val="center"/>
              <w:rPr>
                <w:rFonts w:eastAsia="Times New Roman" w:cs="Times New Roman"/>
                <w:color w:val="0563C1"/>
                <w:u w:val="single"/>
              </w:rPr>
            </w:pPr>
            <w:hyperlink r:id="rId232" w:history="1">
              <w:r w:rsidR="00AC1FAA" w:rsidRPr="00901194">
                <w:rPr>
                  <w:rFonts w:eastAsia="Times New Roman" w:cs="Times New Roman"/>
                  <w:color w:val="0563C1"/>
                  <w:u w:val="single"/>
                </w:rPr>
                <w:t>https://gnps.ucsd.edu/ProteoSAFe/status.jsp?task=8d5d343a95964faba3108020318837ff</w:t>
              </w:r>
            </w:hyperlink>
          </w:p>
        </w:tc>
        <w:tc>
          <w:tcPr>
            <w:tcW w:w="2070" w:type="dxa"/>
            <w:tcBorders>
              <w:top w:val="nil"/>
              <w:left w:val="nil"/>
              <w:bottom w:val="single" w:sz="4" w:space="0" w:color="auto"/>
              <w:right w:val="single" w:sz="4" w:space="0" w:color="auto"/>
            </w:tcBorders>
            <w:shd w:val="clear" w:color="auto" w:fill="auto"/>
            <w:vAlign w:val="center"/>
            <w:hideMark/>
          </w:tcPr>
          <w:p w14:paraId="5F7EF54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19263182" w14:textId="77777777" w:rsidTr="00AC1FAA">
        <w:trPr>
          <w:trHeight w:val="152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F85E1A0"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Enoxolone</w:t>
            </w:r>
          </w:p>
        </w:tc>
        <w:tc>
          <w:tcPr>
            <w:tcW w:w="890" w:type="dxa"/>
            <w:tcBorders>
              <w:top w:val="nil"/>
              <w:left w:val="nil"/>
              <w:bottom w:val="single" w:sz="4" w:space="0" w:color="auto"/>
              <w:right w:val="single" w:sz="4" w:space="0" w:color="auto"/>
            </w:tcBorders>
            <w:shd w:val="clear" w:color="auto" w:fill="auto"/>
            <w:vAlign w:val="center"/>
            <w:hideMark/>
          </w:tcPr>
          <w:p w14:paraId="7E2DA6B1"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471.347</w:t>
            </w:r>
          </w:p>
        </w:tc>
        <w:tc>
          <w:tcPr>
            <w:tcW w:w="910" w:type="dxa"/>
            <w:tcBorders>
              <w:top w:val="nil"/>
              <w:left w:val="nil"/>
              <w:bottom w:val="single" w:sz="4" w:space="0" w:color="auto"/>
              <w:right w:val="single" w:sz="4" w:space="0" w:color="auto"/>
            </w:tcBorders>
            <w:shd w:val="clear" w:color="auto" w:fill="auto"/>
            <w:vAlign w:val="center"/>
            <w:hideMark/>
          </w:tcPr>
          <w:p w14:paraId="3860BFF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6.92</w:t>
            </w:r>
          </w:p>
        </w:tc>
        <w:tc>
          <w:tcPr>
            <w:tcW w:w="1250" w:type="dxa"/>
            <w:tcBorders>
              <w:top w:val="nil"/>
              <w:left w:val="nil"/>
              <w:bottom w:val="single" w:sz="4" w:space="0" w:color="auto"/>
              <w:right w:val="single" w:sz="4" w:space="0" w:color="auto"/>
            </w:tcBorders>
            <w:shd w:val="clear" w:color="auto" w:fill="auto"/>
            <w:vAlign w:val="center"/>
            <w:hideMark/>
          </w:tcPr>
          <w:p w14:paraId="72B18E0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32 dataset matches</w:t>
            </w:r>
            <w:r w:rsidRPr="00901194">
              <w:rPr>
                <w:rFonts w:eastAsia="Times New Roman" w:cs="Times New Roman"/>
                <w:color w:val="000000"/>
              </w:rPr>
              <w:t>; 12 human, 2 mouse, 2 environment, 4 food metagenome, ~2 other animal (cheetah), ~3 plant (melon)</w:t>
            </w:r>
          </w:p>
        </w:tc>
        <w:tc>
          <w:tcPr>
            <w:tcW w:w="1710" w:type="dxa"/>
            <w:tcBorders>
              <w:top w:val="nil"/>
              <w:left w:val="nil"/>
              <w:bottom w:val="single" w:sz="4" w:space="0" w:color="auto"/>
              <w:right w:val="single" w:sz="4" w:space="0" w:color="auto"/>
            </w:tcBorders>
            <w:shd w:val="clear" w:color="auto" w:fill="auto"/>
            <w:vAlign w:val="center"/>
            <w:hideMark/>
          </w:tcPr>
          <w:p w14:paraId="20A32CFD"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Bacillus subtilis, E. coli</w:t>
            </w:r>
          </w:p>
        </w:tc>
        <w:tc>
          <w:tcPr>
            <w:tcW w:w="1620" w:type="dxa"/>
            <w:tcBorders>
              <w:top w:val="nil"/>
              <w:left w:val="nil"/>
              <w:bottom w:val="single" w:sz="4" w:space="0" w:color="auto"/>
              <w:right w:val="single" w:sz="4" w:space="0" w:color="auto"/>
            </w:tcBorders>
            <w:shd w:val="clear" w:color="auto" w:fill="auto"/>
            <w:vAlign w:val="center"/>
            <w:hideMark/>
          </w:tcPr>
          <w:p w14:paraId="2F01BC74"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American Gut (also UK), Ancient DNA teeth</w:t>
            </w:r>
          </w:p>
        </w:tc>
        <w:tc>
          <w:tcPr>
            <w:tcW w:w="1710" w:type="dxa"/>
            <w:tcBorders>
              <w:top w:val="nil"/>
              <w:left w:val="nil"/>
              <w:bottom w:val="single" w:sz="4" w:space="0" w:color="auto"/>
              <w:right w:val="single" w:sz="4" w:space="0" w:color="auto"/>
            </w:tcBorders>
            <w:shd w:val="clear" w:color="auto" w:fill="auto"/>
            <w:vAlign w:val="center"/>
            <w:hideMark/>
          </w:tcPr>
          <w:p w14:paraId="70A7801C" w14:textId="77777777" w:rsidR="00AC1FAA" w:rsidRPr="00901194" w:rsidRDefault="00000000" w:rsidP="00A3769A">
            <w:pPr>
              <w:spacing w:after="0" w:line="240" w:lineRule="auto"/>
              <w:jc w:val="center"/>
              <w:rPr>
                <w:rFonts w:eastAsia="Times New Roman" w:cs="Times New Roman"/>
                <w:color w:val="0563C1"/>
                <w:u w:val="single"/>
              </w:rPr>
            </w:pPr>
            <w:hyperlink r:id="rId233" w:history="1">
              <w:r w:rsidR="00AC1FAA" w:rsidRPr="00901194">
                <w:rPr>
                  <w:rFonts w:eastAsia="Times New Roman" w:cs="Times New Roman"/>
                  <w:color w:val="0563C1"/>
                  <w:u w:val="single"/>
                </w:rPr>
                <w:t>https://gnps.ucsd.edu/ProteoSAFe/status.jsp?task=bdc20710970b4c47a99c178a1c2606e9</w:t>
              </w:r>
            </w:hyperlink>
          </w:p>
        </w:tc>
        <w:tc>
          <w:tcPr>
            <w:tcW w:w="2070" w:type="dxa"/>
            <w:tcBorders>
              <w:top w:val="nil"/>
              <w:left w:val="nil"/>
              <w:bottom w:val="single" w:sz="4" w:space="0" w:color="auto"/>
              <w:right w:val="single" w:sz="4" w:space="0" w:color="auto"/>
            </w:tcBorders>
            <w:shd w:val="clear" w:color="auto" w:fill="auto"/>
            <w:vAlign w:val="center"/>
            <w:hideMark/>
          </w:tcPr>
          <w:p w14:paraId="64EAA76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Absent</w:t>
            </w:r>
          </w:p>
        </w:tc>
      </w:tr>
      <w:tr w:rsidR="00AC1FAA" w:rsidRPr="00901194" w14:paraId="481107D5" w14:textId="77777777" w:rsidTr="00AC1FAA">
        <w:trPr>
          <w:trHeight w:val="540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6945F615"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Bilirubin</w:t>
            </w:r>
          </w:p>
        </w:tc>
        <w:tc>
          <w:tcPr>
            <w:tcW w:w="890" w:type="dxa"/>
            <w:tcBorders>
              <w:top w:val="nil"/>
              <w:left w:val="nil"/>
              <w:bottom w:val="single" w:sz="4" w:space="0" w:color="auto"/>
              <w:right w:val="single" w:sz="4" w:space="0" w:color="auto"/>
            </w:tcBorders>
            <w:shd w:val="clear" w:color="auto" w:fill="auto"/>
            <w:vAlign w:val="center"/>
            <w:hideMark/>
          </w:tcPr>
          <w:p w14:paraId="3BFE63C3"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585.272</w:t>
            </w:r>
          </w:p>
        </w:tc>
        <w:tc>
          <w:tcPr>
            <w:tcW w:w="910" w:type="dxa"/>
            <w:tcBorders>
              <w:top w:val="nil"/>
              <w:left w:val="nil"/>
              <w:bottom w:val="single" w:sz="4" w:space="0" w:color="auto"/>
              <w:right w:val="single" w:sz="4" w:space="0" w:color="auto"/>
            </w:tcBorders>
            <w:shd w:val="clear" w:color="auto" w:fill="auto"/>
            <w:vAlign w:val="center"/>
            <w:hideMark/>
          </w:tcPr>
          <w:p w14:paraId="29460B6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8.90</w:t>
            </w:r>
          </w:p>
        </w:tc>
        <w:tc>
          <w:tcPr>
            <w:tcW w:w="1250" w:type="dxa"/>
            <w:tcBorders>
              <w:top w:val="nil"/>
              <w:left w:val="nil"/>
              <w:bottom w:val="single" w:sz="4" w:space="0" w:color="auto"/>
              <w:right w:val="single" w:sz="4" w:space="0" w:color="auto"/>
            </w:tcBorders>
            <w:shd w:val="clear" w:color="auto" w:fill="auto"/>
            <w:vAlign w:val="center"/>
            <w:hideMark/>
          </w:tcPr>
          <w:p w14:paraId="7F3046E8"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123 dataset matches</w:t>
            </w:r>
            <w:r w:rsidRPr="00901194">
              <w:rPr>
                <w:rFonts w:eastAsia="Times New Roman" w:cs="Times New Roman"/>
                <w:color w:val="000000"/>
              </w:rPr>
              <w:t>; 65 human, 33 mouse, 7 rat, 1 environment, 1 food metagenome, ~5 other animal (cheetah, baboon, dog), ~2 plant (tomato, thale cress)</w:t>
            </w:r>
          </w:p>
        </w:tc>
        <w:tc>
          <w:tcPr>
            <w:tcW w:w="1710" w:type="dxa"/>
            <w:tcBorders>
              <w:top w:val="nil"/>
              <w:left w:val="nil"/>
              <w:bottom w:val="single" w:sz="4" w:space="0" w:color="auto"/>
              <w:right w:val="single" w:sz="4" w:space="0" w:color="auto"/>
            </w:tcBorders>
            <w:shd w:val="clear" w:color="auto" w:fill="auto"/>
            <w:vAlign w:val="center"/>
            <w:hideMark/>
          </w:tcPr>
          <w:p w14:paraId="7A1D1FF9" w14:textId="77777777" w:rsidR="00AC1FAA" w:rsidRPr="00901194" w:rsidRDefault="00AC1FAA" w:rsidP="00A3769A">
            <w:pPr>
              <w:spacing w:after="0" w:line="240" w:lineRule="auto"/>
              <w:jc w:val="center"/>
              <w:rPr>
                <w:rFonts w:eastAsia="Times New Roman" w:cs="Times New Roman"/>
                <w:i/>
                <w:iCs/>
                <w:color w:val="000000"/>
              </w:rPr>
            </w:pPr>
            <w:r w:rsidRPr="00901194">
              <w:rPr>
                <w:rFonts w:eastAsia="Times New Roman" w:cs="Times New Roman"/>
                <w:i/>
                <w:iCs/>
                <w:color w:val="000000"/>
              </w:rPr>
              <w:t>Streptomyces albus, Kitasatospora cystarginea</w:t>
            </w:r>
          </w:p>
        </w:tc>
        <w:tc>
          <w:tcPr>
            <w:tcW w:w="1620" w:type="dxa"/>
            <w:tcBorders>
              <w:top w:val="nil"/>
              <w:left w:val="nil"/>
              <w:bottom w:val="single" w:sz="4" w:space="0" w:color="auto"/>
              <w:right w:val="single" w:sz="4" w:space="0" w:color="auto"/>
            </w:tcBorders>
            <w:shd w:val="clear" w:color="auto" w:fill="auto"/>
            <w:vAlign w:val="center"/>
            <w:hideMark/>
          </w:tcPr>
          <w:p w14:paraId="4A6090A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human plasma, IBD human fecal samples, ONR Primary Wright, Human rheumatoid arthritis, American gut (with  plant consumption comparison), Amerindians urbanization gradient, Amazon urbanization housing analysis, IBD severity</w:t>
            </w:r>
          </w:p>
        </w:tc>
        <w:tc>
          <w:tcPr>
            <w:tcW w:w="1710" w:type="dxa"/>
            <w:tcBorders>
              <w:top w:val="nil"/>
              <w:left w:val="nil"/>
              <w:bottom w:val="single" w:sz="4" w:space="0" w:color="auto"/>
              <w:right w:val="single" w:sz="4" w:space="0" w:color="auto"/>
            </w:tcBorders>
            <w:shd w:val="clear" w:color="auto" w:fill="auto"/>
            <w:vAlign w:val="center"/>
            <w:hideMark/>
          </w:tcPr>
          <w:p w14:paraId="759A9150" w14:textId="77777777" w:rsidR="00AC1FAA" w:rsidRPr="00901194" w:rsidRDefault="00000000" w:rsidP="00A3769A">
            <w:pPr>
              <w:spacing w:after="0" w:line="240" w:lineRule="auto"/>
              <w:jc w:val="center"/>
              <w:rPr>
                <w:rFonts w:eastAsia="Times New Roman" w:cs="Times New Roman"/>
                <w:color w:val="0563C1"/>
                <w:u w:val="single"/>
              </w:rPr>
            </w:pPr>
            <w:hyperlink r:id="rId234" w:history="1">
              <w:r w:rsidR="00AC1FAA" w:rsidRPr="00901194">
                <w:rPr>
                  <w:rFonts w:eastAsia="Times New Roman" w:cs="Times New Roman"/>
                  <w:color w:val="0563C1"/>
                  <w:u w:val="single"/>
                </w:rPr>
                <w:t>https://gnps.ucsd.edu/ProteoSAFe/status.jsp?task=2405d7eb22f64cceba64d6b43bd2f0aa</w:t>
              </w:r>
            </w:hyperlink>
          </w:p>
        </w:tc>
        <w:tc>
          <w:tcPr>
            <w:tcW w:w="2070" w:type="dxa"/>
            <w:tcBorders>
              <w:top w:val="nil"/>
              <w:left w:val="nil"/>
              <w:bottom w:val="single" w:sz="4" w:space="0" w:color="auto"/>
              <w:right w:val="single" w:sz="4" w:space="0" w:color="auto"/>
            </w:tcBorders>
            <w:shd w:val="clear" w:color="auto" w:fill="auto"/>
            <w:vAlign w:val="center"/>
            <w:hideMark/>
          </w:tcPr>
          <w:p w14:paraId="45C595CF"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50431269"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506643DB"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lastRenderedPageBreak/>
              <w:t>Urobilin</w:t>
            </w:r>
          </w:p>
        </w:tc>
        <w:tc>
          <w:tcPr>
            <w:tcW w:w="890" w:type="dxa"/>
            <w:tcBorders>
              <w:top w:val="nil"/>
              <w:left w:val="nil"/>
              <w:bottom w:val="single" w:sz="4" w:space="0" w:color="auto"/>
              <w:right w:val="single" w:sz="4" w:space="0" w:color="auto"/>
            </w:tcBorders>
            <w:shd w:val="clear" w:color="auto" w:fill="auto"/>
            <w:vAlign w:val="center"/>
            <w:hideMark/>
          </w:tcPr>
          <w:p w14:paraId="7E45FB5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591.318</w:t>
            </w:r>
          </w:p>
        </w:tc>
        <w:tc>
          <w:tcPr>
            <w:tcW w:w="910" w:type="dxa"/>
            <w:tcBorders>
              <w:top w:val="nil"/>
              <w:left w:val="nil"/>
              <w:bottom w:val="single" w:sz="4" w:space="0" w:color="auto"/>
              <w:right w:val="single" w:sz="4" w:space="0" w:color="auto"/>
            </w:tcBorders>
            <w:shd w:val="clear" w:color="auto" w:fill="auto"/>
            <w:vAlign w:val="center"/>
            <w:hideMark/>
          </w:tcPr>
          <w:p w14:paraId="5DC8A0E2"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4.07</w:t>
            </w:r>
          </w:p>
        </w:tc>
        <w:tc>
          <w:tcPr>
            <w:tcW w:w="1250" w:type="dxa"/>
            <w:tcBorders>
              <w:top w:val="nil"/>
              <w:left w:val="nil"/>
              <w:bottom w:val="single" w:sz="4" w:space="0" w:color="auto"/>
              <w:right w:val="single" w:sz="4" w:space="0" w:color="auto"/>
            </w:tcBorders>
            <w:shd w:val="clear" w:color="auto" w:fill="auto"/>
            <w:vAlign w:val="center"/>
            <w:hideMark/>
          </w:tcPr>
          <w:p w14:paraId="74D0DB3C"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116 dataset matches</w:t>
            </w:r>
            <w:r w:rsidRPr="00901194">
              <w:rPr>
                <w:rFonts w:eastAsia="Times New Roman" w:cs="Times New Roman"/>
                <w:color w:val="000000"/>
              </w:rPr>
              <w:t>; 62 human, 34 mouse, 6 rat, 6 environment, ~4 other animal (cheetah, cats, rhino), ~1 plant (tomato)</w:t>
            </w:r>
          </w:p>
        </w:tc>
        <w:tc>
          <w:tcPr>
            <w:tcW w:w="1710" w:type="dxa"/>
            <w:tcBorders>
              <w:top w:val="nil"/>
              <w:left w:val="nil"/>
              <w:bottom w:val="single" w:sz="4" w:space="0" w:color="auto"/>
              <w:right w:val="single" w:sz="4" w:space="0" w:color="auto"/>
            </w:tcBorders>
            <w:shd w:val="clear" w:color="auto" w:fill="auto"/>
            <w:vAlign w:val="center"/>
            <w:hideMark/>
          </w:tcPr>
          <w:p w14:paraId="0B77848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03243971" w14:textId="59F4D423"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Primary Wright, ONR Human Study, IBD severity, Human rheumatoid arthritis, American Gut (with plant consumption comparison), Zoo mammal fecal samples</w:t>
            </w:r>
            <w:r w:rsidR="00EC528D" w:rsidRPr="00901194">
              <w:rPr>
                <w:rFonts w:eastAsia="Times New Roman" w:cs="Times New Roman"/>
                <w:color w:val="000000"/>
              </w:rPr>
              <w:fldChar w:fldCharType="begin" w:fldLock="1"/>
            </w:r>
            <w:r w:rsidR="00EC528D"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EC528D" w:rsidRPr="00901194">
              <w:rPr>
                <w:rFonts w:eastAsia="Times New Roman" w:cs="Times New Roman"/>
                <w:color w:val="000000"/>
              </w:rPr>
              <w:fldChar w:fldCharType="separate"/>
            </w:r>
            <w:r w:rsidR="00EC528D" w:rsidRPr="00901194">
              <w:rPr>
                <w:rFonts w:eastAsia="Times New Roman" w:cs="Times New Roman"/>
                <w:noProof/>
                <w:color w:val="000000"/>
                <w:vertAlign w:val="superscript"/>
              </w:rPr>
              <w:t>231</w:t>
            </w:r>
            <w:r w:rsidR="00EC528D" w:rsidRPr="00901194">
              <w:rPr>
                <w:rFonts w:eastAsia="Times New Roman" w:cs="Times New Roman"/>
                <w:color w:val="000000"/>
              </w:rPr>
              <w:fldChar w:fldCharType="end"/>
            </w:r>
            <w:r w:rsidRPr="00901194">
              <w:rPr>
                <w:rFonts w:eastAsia="Times New Roman" w:cs="Times New Roman"/>
                <w:color w:val="000000"/>
              </w:rPr>
              <w:t>, IBD severity, Nobel twin study</w:t>
            </w:r>
          </w:p>
        </w:tc>
        <w:tc>
          <w:tcPr>
            <w:tcW w:w="1710" w:type="dxa"/>
            <w:tcBorders>
              <w:top w:val="nil"/>
              <w:left w:val="nil"/>
              <w:bottom w:val="single" w:sz="4" w:space="0" w:color="auto"/>
              <w:right w:val="single" w:sz="4" w:space="0" w:color="auto"/>
            </w:tcBorders>
            <w:shd w:val="clear" w:color="auto" w:fill="auto"/>
            <w:vAlign w:val="center"/>
            <w:hideMark/>
          </w:tcPr>
          <w:p w14:paraId="1FBC43F9" w14:textId="77777777" w:rsidR="00AC1FAA" w:rsidRPr="00901194" w:rsidRDefault="00000000" w:rsidP="00A3769A">
            <w:pPr>
              <w:spacing w:after="0" w:line="240" w:lineRule="auto"/>
              <w:jc w:val="center"/>
              <w:rPr>
                <w:rFonts w:eastAsia="Times New Roman" w:cs="Times New Roman"/>
                <w:color w:val="0563C1"/>
                <w:u w:val="single"/>
              </w:rPr>
            </w:pPr>
            <w:hyperlink r:id="rId235" w:history="1">
              <w:r w:rsidR="00AC1FAA" w:rsidRPr="00901194">
                <w:rPr>
                  <w:rFonts w:eastAsia="Times New Roman" w:cs="Times New Roman"/>
                  <w:color w:val="0563C1"/>
                  <w:u w:val="single"/>
                </w:rPr>
                <w:t>https://gnps.ucsd.edu/ProteoSAFe/status.jsp?task=da0037fa7f4c4f72860d39a4d7184402</w:t>
              </w:r>
            </w:hyperlink>
          </w:p>
        </w:tc>
        <w:tc>
          <w:tcPr>
            <w:tcW w:w="2070" w:type="dxa"/>
            <w:tcBorders>
              <w:top w:val="nil"/>
              <w:left w:val="nil"/>
              <w:bottom w:val="single" w:sz="4" w:space="0" w:color="auto"/>
              <w:right w:val="single" w:sz="4" w:space="0" w:color="auto"/>
            </w:tcBorders>
            <w:shd w:val="clear" w:color="auto" w:fill="auto"/>
            <w:vAlign w:val="center"/>
            <w:hideMark/>
          </w:tcPr>
          <w:p w14:paraId="14886979"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r w:rsidR="00AC1FAA" w:rsidRPr="00901194" w14:paraId="49E9F460" w14:textId="77777777" w:rsidTr="00AC1FAA">
        <w:trPr>
          <w:trHeight w:val="85"/>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38261C9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Stercobilin</w:t>
            </w:r>
          </w:p>
        </w:tc>
        <w:tc>
          <w:tcPr>
            <w:tcW w:w="890" w:type="dxa"/>
            <w:tcBorders>
              <w:top w:val="nil"/>
              <w:left w:val="nil"/>
              <w:bottom w:val="single" w:sz="4" w:space="0" w:color="auto"/>
              <w:right w:val="single" w:sz="4" w:space="0" w:color="auto"/>
            </w:tcBorders>
            <w:shd w:val="clear" w:color="auto" w:fill="auto"/>
            <w:vAlign w:val="center"/>
            <w:hideMark/>
          </w:tcPr>
          <w:p w14:paraId="29247E0A"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595.349</w:t>
            </w:r>
          </w:p>
        </w:tc>
        <w:tc>
          <w:tcPr>
            <w:tcW w:w="910" w:type="dxa"/>
            <w:tcBorders>
              <w:top w:val="nil"/>
              <w:left w:val="nil"/>
              <w:bottom w:val="single" w:sz="4" w:space="0" w:color="auto"/>
              <w:right w:val="single" w:sz="4" w:space="0" w:color="auto"/>
            </w:tcBorders>
            <w:shd w:val="clear" w:color="auto" w:fill="auto"/>
            <w:vAlign w:val="center"/>
            <w:hideMark/>
          </w:tcPr>
          <w:p w14:paraId="780418A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4.05</w:t>
            </w:r>
          </w:p>
        </w:tc>
        <w:tc>
          <w:tcPr>
            <w:tcW w:w="1250" w:type="dxa"/>
            <w:tcBorders>
              <w:top w:val="nil"/>
              <w:left w:val="nil"/>
              <w:bottom w:val="single" w:sz="4" w:space="0" w:color="auto"/>
              <w:right w:val="single" w:sz="4" w:space="0" w:color="auto"/>
            </w:tcBorders>
            <w:shd w:val="clear" w:color="auto" w:fill="auto"/>
            <w:vAlign w:val="center"/>
            <w:hideMark/>
          </w:tcPr>
          <w:p w14:paraId="5032A266"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b/>
                <w:bCs/>
                <w:color w:val="000000"/>
              </w:rPr>
              <w:t>94 dataset matches</w:t>
            </w:r>
            <w:r w:rsidRPr="00901194">
              <w:rPr>
                <w:rFonts w:eastAsia="Times New Roman" w:cs="Times New Roman"/>
                <w:color w:val="000000"/>
              </w:rPr>
              <w:t>; 57 human, 16 mouse, 6 rat, 6 environment, 2 food metagenome, ~4 other animal (rhino), ~2 plant (</w:t>
            </w:r>
            <w:r w:rsidRPr="00901194">
              <w:rPr>
                <w:rFonts w:eastAsia="Times New Roman" w:cs="Times New Roman"/>
                <w:i/>
                <w:iCs/>
                <w:color w:val="000000"/>
              </w:rPr>
              <w:t>Genipapo</w:t>
            </w:r>
            <w:r w:rsidRPr="00901194">
              <w:rPr>
                <w:rFonts w:eastAsia="Times New Roman" w:cs="Times New Roman"/>
                <w:color w:val="000000"/>
              </w:rPr>
              <w:t>, tomato)</w:t>
            </w:r>
          </w:p>
        </w:tc>
        <w:tc>
          <w:tcPr>
            <w:tcW w:w="1710" w:type="dxa"/>
            <w:tcBorders>
              <w:top w:val="nil"/>
              <w:left w:val="nil"/>
              <w:bottom w:val="single" w:sz="4" w:space="0" w:color="auto"/>
              <w:right w:val="single" w:sz="4" w:space="0" w:color="auto"/>
            </w:tcBorders>
            <w:shd w:val="clear" w:color="auto" w:fill="auto"/>
            <w:vAlign w:val="center"/>
            <w:hideMark/>
          </w:tcPr>
          <w:p w14:paraId="418CF3E7"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NA</w:t>
            </w:r>
          </w:p>
        </w:tc>
        <w:tc>
          <w:tcPr>
            <w:tcW w:w="1620" w:type="dxa"/>
            <w:tcBorders>
              <w:top w:val="nil"/>
              <w:left w:val="nil"/>
              <w:bottom w:val="single" w:sz="4" w:space="0" w:color="auto"/>
              <w:right w:val="single" w:sz="4" w:space="0" w:color="auto"/>
            </w:tcBorders>
            <w:shd w:val="clear" w:color="auto" w:fill="auto"/>
            <w:vAlign w:val="center"/>
            <w:hideMark/>
          </w:tcPr>
          <w:p w14:paraId="5775BE62" w14:textId="600217F1"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ONR human fecal, ONR Primary Wright, IBD severity, American gut (also UK), Amazon urbanization housing analysis, Amazon urbanization skin and environmental samples, Zoo mammal fecal samples</w:t>
            </w:r>
            <w:r w:rsidR="00EC528D" w:rsidRPr="00901194">
              <w:rPr>
                <w:rFonts w:eastAsia="Times New Roman" w:cs="Times New Roman"/>
                <w:color w:val="000000"/>
              </w:rPr>
              <w:fldChar w:fldCharType="begin" w:fldLock="1"/>
            </w:r>
            <w:r w:rsidR="00317D7C" w:rsidRPr="00901194">
              <w:rPr>
                <w:rFonts w:eastAsia="Times New Roman" w:cs="Times New Roman"/>
                <w:color w:val="000000"/>
              </w:rPr>
              <w:instrText>ADDIN CSL_CITATION {"citationItems":[{"id":"ITEM-1","itemData":{"DOI":"10.1038/s41396-021-01152-0","ISSN":"17517370","PMID":"34903850","abstract":"In the past decade, studies on the mammalian gut microbiome have revealed that different animal species have distinct gut microbial compositions. The functional ramifications of this variation in microbial composition remain unclear: do these taxonomic differences indicate microbial adaptations to host-specific functionality, or are these diverse microbial communities essentially functionally redundant, as has been indicated by previous metagenomics studies? Here, we examine the metabolic content of mammalian gut microbiomes as a direct window into ecosystem function, using an untargeted metabolomics platform to analyze 101 fecal samples from a range of 25 exotic mammalian species in collaboration with a zoological center. We find that mammalian metabolomes are chemically diverse and strongly linked to microbiome composition, and that metabolome composition is further correlated to the phylogeny of the mammalian host. Specific metabolites enriched in different animal species included modified and degraded host and dietary compounds such as bile acids and triterpenoids, as well as fermentation products such as lactate and short-chain fatty acids. Our results suggest that differences in microbial taxonomic composition are indeed translated to host-specific metabolism, indicating that taxonomically distant microbiomes are more functionally diverse than redundant.","author":[{"dropping-particle":"","family":"Gregor","given":"Rachel","non-dropping-particle":"","parse-names":false,"suffix":""},{"dropping-particle":"","family":"Probst","given":"Maraike","non-dropping-particle":"","parse-names":false,"suffix":""},{"dropping-particle":"","family":"Eyal","given":"Stav","non-dropping-particle":"","parse-names":false,"suffix":""},{"dropping-particle":"","family":"Aksenov","given":"Alexander","non-dropping-particle":"","parse-names":false,"suffix":""},{"dropping-particle":"","family":"Sasson","given":"Goor","non-dropping-particle":"","parse-names":false,"suffix":""},{"dropping-particle":"","family":"Horovitz","given":"Igal","non-dropping-particle":"","parse-names":false,"suffix":""},{"dropping-particle":"","family":"Dorrestein","given":"Pieter C.","non-dropping-particle":"","parse-names":false,"suffix":""},{"dropping-particle":"","family":"Meijler","given":"Michael M.","non-dropping-particle":"","parse-names":false,"suffix":""},{"dropping-particle":"","family":"Mizrahi","given":"Itzhak","non-dropping-particle":"","parse-names":false,"suffix":""}],"container-title":"The ISME Journal","id":"ITEM-1","issue":"5","issued":{"date-parts":[["2022"]]},"page":"1262-1274","publisher":"Springer US","title":"Mammalian gut metabolomes mirror microbiome composition and host phylogeny","type":"article-journal","volume":"16"},"uris":["http://www.mendeley.com/documents/?uuid=88b42fa1-22ab-40f0-961b-540f408ae4d3"]}],"mendeley":{"formattedCitation":"&lt;sup&gt;231&lt;/sup&gt;","plainTextFormattedCitation":"231","previouslyFormattedCitation":"&lt;sup&gt;231&lt;/sup&gt;"},"properties":{"noteIndex":0},"schema":"https://github.com/citation-style-language/schema/raw/master/csl-citation.json"}</w:instrText>
            </w:r>
            <w:r w:rsidR="00EC528D" w:rsidRPr="00901194">
              <w:rPr>
                <w:rFonts w:eastAsia="Times New Roman" w:cs="Times New Roman"/>
                <w:color w:val="000000"/>
              </w:rPr>
              <w:fldChar w:fldCharType="separate"/>
            </w:r>
            <w:r w:rsidR="00EC528D" w:rsidRPr="00901194">
              <w:rPr>
                <w:rFonts w:eastAsia="Times New Roman" w:cs="Times New Roman"/>
                <w:noProof/>
                <w:color w:val="000000"/>
                <w:vertAlign w:val="superscript"/>
              </w:rPr>
              <w:t>231</w:t>
            </w:r>
            <w:r w:rsidR="00EC528D" w:rsidRPr="00901194">
              <w:rPr>
                <w:rFonts w:eastAsia="Times New Roman" w:cs="Times New Roman"/>
                <w:color w:val="000000"/>
              </w:rPr>
              <w:fldChar w:fldCharType="end"/>
            </w:r>
            <w:r w:rsidRPr="00901194">
              <w:rPr>
                <w:rFonts w:eastAsia="Times New Roman" w:cs="Times New Roman"/>
                <w:color w:val="000000"/>
              </w:rPr>
              <w:t xml:space="preserve">, </w:t>
            </w:r>
            <w:r w:rsidRPr="00901194">
              <w:rPr>
                <w:rFonts w:eastAsia="Times New Roman" w:cs="Times New Roman"/>
                <w:color w:val="000000"/>
              </w:rPr>
              <w:lastRenderedPageBreak/>
              <w:t>Nobel twin study, Anti-inflammatory diet of rheumatoid arthritis patients, Analysis of Alzheimer's disease</w:t>
            </w:r>
          </w:p>
        </w:tc>
        <w:tc>
          <w:tcPr>
            <w:tcW w:w="1710" w:type="dxa"/>
            <w:tcBorders>
              <w:top w:val="nil"/>
              <w:left w:val="nil"/>
              <w:bottom w:val="single" w:sz="4" w:space="0" w:color="auto"/>
              <w:right w:val="single" w:sz="4" w:space="0" w:color="auto"/>
            </w:tcBorders>
            <w:shd w:val="clear" w:color="auto" w:fill="auto"/>
            <w:vAlign w:val="center"/>
            <w:hideMark/>
          </w:tcPr>
          <w:p w14:paraId="5B158ACB" w14:textId="77777777" w:rsidR="00AC1FAA" w:rsidRPr="00901194" w:rsidRDefault="00000000" w:rsidP="00A3769A">
            <w:pPr>
              <w:spacing w:after="0" w:line="240" w:lineRule="auto"/>
              <w:jc w:val="center"/>
              <w:rPr>
                <w:rFonts w:eastAsia="Times New Roman" w:cs="Times New Roman"/>
                <w:color w:val="0563C1"/>
                <w:u w:val="single"/>
              </w:rPr>
            </w:pPr>
            <w:hyperlink r:id="rId236" w:history="1">
              <w:r w:rsidR="00AC1FAA" w:rsidRPr="00901194">
                <w:rPr>
                  <w:rFonts w:eastAsia="Times New Roman" w:cs="Times New Roman"/>
                  <w:color w:val="0563C1"/>
                  <w:u w:val="single"/>
                </w:rPr>
                <w:t>https://gnps.ucsd.edu/ProteoSAFe/status.jsp?task=e314b28d4ff343ccbef124eb09ffb016</w:t>
              </w:r>
            </w:hyperlink>
          </w:p>
        </w:tc>
        <w:tc>
          <w:tcPr>
            <w:tcW w:w="2070" w:type="dxa"/>
            <w:tcBorders>
              <w:top w:val="nil"/>
              <w:left w:val="nil"/>
              <w:bottom w:val="single" w:sz="4" w:space="0" w:color="auto"/>
              <w:right w:val="single" w:sz="4" w:space="0" w:color="auto"/>
            </w:tcBorders>
            <w:shd w:val="clear" w:color="auto" w:fill="auto"/>
            <w:vAlign w:val="center"/>
            <w:hideMark/>
          </w:tcPr>
          <w:p w14:paraId="647A7BBD" w14:textId="77777777" w:rsidR="00AC1FAA" w:rsidRPr="00901194" w:rsidRDefault="00AC1FAA" w:rsidP="00A3769A">
            <w:pPr>
              <w:spacing w:after="0" w:line="240" w:lineRule="auto"/>
              <w:jc w:val="center"/>
              <w:rPr>
                <w:rFonts w:eastAsia="Times New Roman" w:cs="Times New Roman"/>
                <w:color w:val="000000"/>
              </w:rPr>
            </w:pPr>
            <w:r w:rsidRPr="00901194">
              <w:rPr>
                <w:rFonts w:eastAsia="Times New Roman" w:cs="Times New Roman"/>
                <w:color w:val="000000"/>
              </w:rPr>
              <w:t>Present</w:t>
            </w:r>
          </w:p>
        </w:tc>
      </w:tr>
    </w:tbl>
    <w:p w14:paraId="57C5100E" w14:textId="77777777" w:rsidR="00AC1FAA" w:rsidRPr="00901194" w:rsidRDefault="00AC1FAA" w:rsidP="00274ADB">
      <w:pPr>
        <w:rPr>
          <w:rFonts w:cs="Times New Roman"/>
          <w:szCs w:val="24"/>
        </w:rPr>
      </w:pPr>
    </w:p>
    <w:p w14:paraId="3D7A382E" w14:textId="77777777" w:rsidR="00AC1FAA" w:rsidRPr="00901194" w:rsidRDefault="00AC1FAA" w:rsidP="00274ADB">
      <w:pPr>
        <w:rPr>
          <w:rFonts w:cs="Times New Roman"/>
          <w:szCs w:val="24"/>
        </w:rPr>
        <w:sectPr w:rsidR="00AC1FAA" w:rsidRPr="00901194" w:rsidSect="00AC1FAA">
          <w:pgSz w:w="15840" w:h="12240" w:orient="landscape"/>
          <w:pgMar w:top="1440" w:right="1440" w:bottom="1440" w:left="1440" w:header="0" w:footer="0" w:gutter="0"/>
          <w:cols w:space="720"/>
          <w:formProt w:val="0"/>
          <w:docGrid w:linePitch="360" w:charSpace="-2049"/>
        </w:sectPr>
      </w:pPr>
    </w:p>
    <w:tbl>
      <w:tblPr>
        <w:tblpPr w:leftFromText="180" w:rightFromText="180" w:vertAnchor="page" w:horzAnchor="margin" w:tblpY="2975"/>
        <w:tblW w:w="5000" w:type="pct"/>
        <w:tblCellMar>
          <w:left w:w="10" w:type="dxa"/>
          <w:right w:w="10" w:type="dxa"/>
        </w:tblCellMar>
        <w:tblLook w:val="04A0" w:firstRow="1" w:lastRow="0" w:firstColumn="1" w:lastColumn="0" w:noHBand="0" w:noVBand="1"/>
      </w:tblPr>
      <w:tblGrid>
        <w:gridCol w:w="4283"/>
        <w:gridCol w:w="3033"/>
        <w:gridCol w:w="2044"/>
      </w:tblGrid>
      <w:tr w:rsidR="00241B4E" w:rsidRPr="00901194" w14:paraId="07114137" w14:textId="77777777" w:rsidTr="00241B4E">
        <w:trPr>
          <w:trHeight w:val="300"/>
        </w:trPr>
        <w:tc>
          <w:tcPr>
            <w:tcW w:w="4283" w:type="dxa"/>
            <w:shd w:val="clear" w:color="auto" w:fill="auto"/>
            <w:vAlign w:val="center"/>
          </w:tcPr>
          <w:p w14:paraId="0F19F791" w14:textId="77777777" w:rsidR="00241B4E" w:rsidRPr="00901194" w:rsidRDefault="00241B4E" w:rsidP="00241B4E">
            <w:pPr>
              <w:pageBreakBefore/>
              <w:spacing w:after="0" w:line="240" w:lineRule="auto"/>
              <w:jc w:val="center"/>
              <w:rPr>
                <w:rFonts w:eastAsia="Times New Roman" w:cs="Times New Roman"/>
                <w:b/>
                <w:bCs/>
                <w:color w:val="000000"/>
                <w:sz w:val="22"/>
              </w:rPr>
            </w:pPr>
            <w:r w:rsidRPr="00901194">
              <w:rPr>
                <w:rFonts w:eastAsia="Times New Roman" w:cs="Times New Roman"/>
                <w:b/>
                <w:bCs/>
                <w:color w:val="000000"/>
                <w:sz w:val="22"/>
              </w:rPr>
              <w:lastRenderedPageBreak/>
              <w:t>MZmine v 2.33</w:t>
            </w:r>
          </w:p>
        </w:tc>
        <w:tc>
          <w:tcPr>
            <w:tcW w:w="3033" w:type="dxa"/>
            <w:shd w:val="clear" w:color="auto" w:fill="auto"/>
            <w:vAlign w:val="bottom"/>
          </w:tcPr>
          <w:p w14:paraId="723B330A" w14:textId="77777777" w:rsidR="00241B4E" w:rsidRPr="00901194" w:rsidRDefault="00241B4E" w:rsidP="00241B4E">
            <w:pPr>
              <w:spacing w:after="0" w:line="240" w:lineRule="auto"/>
              <w:jc w:val="center"/>
              <w:rPr>
                <w:rFonts w:eastAsia="Times New Roman" w:cs="Times New Roman"/>
                <w:b/>
                <w:bCs/>
                <w:color w:val="000000"/>
                <w:sz w:val="22"/>
              </w:rPr>
            </w:pPr>
          </w:p>
        </w:tc>
        <w:tc>
          <w:tcPr>
            <w:tcW w:w="2044" w:type="dxa"/>
            <w:shd w:val="clear" w:color="auto" w:fill="auto"/>
            <w:vAlign w:val="bottom"/>
          </w:tcPr>
          <w:p w14:paraId="6421FDC4" w14:textId="77777777" w:rsidR="00241B4E" w:rsidRPr="00901194" w:rsidRDefault="00241B4E" w:rsidP="00241B4E">
            <w:pPr>
              <w:spacing w:after="0" w:line="240" w:lineRule="auto"/>
              <w:rPr>
                <w:rFonts w:eastAsia="Times New Roman" w:cs="Times New Roman"/>
                <w:color w:val="auto"/>
                <w:sz w:val="20"/>
                <w:szCs w:val="20"/>
              </w:rPr>
            </w:pPr>
          </w:p>
        </w:tc>
      </w:tr>
      <w:tr w:rsidR="00241B4E" w:rsidRPr="00901194" w14:paraId="5E41802E" w14:textId="77777777" w:rsidTr="00241B4E">
        <w:trPr>
          <w:trHeight w:val="300"/>
        </w:trPr>
        <w:tc>
          <w:tcPr>
            <w:tcW w:w="4283"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3BFF9BDE" w14:textId="77777777" w:rsidR="00241B4E" w:rsidRPr="00901194" w:rsidRDefault="00241B4E" w:rsidP="00241B4E">
            <w:pPr>
              <w:spacing w:after="0" w:line="240" w:lineRule="auto"/>
              <w:rPr>
                <w:rFonts w:eastAsia="Times New Roman" w:cs="Times New Roman"/>
                <w:color w:val="000000"/>
                <w:sz w:val="22"/>
              </w:rPr>
            </w:pPr>
            <w:r w:rsidRPr="00901194">
              <w:rPr>
                <w:rFonts w:eastAsia="Times New Roman" w:cs="Times New Roman"/>
                <w:color w:val="000000"/>
                <w:sz w:val="22"/>
              </w:rPr>
              <w:t>Method</w:t>
            </w: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580B7906" w14:textId="77777777" w:rsidR="00241B4E" w:rsidRPr="00901194" w:rsidRDefault="00241B4E" w:rsidP="00241B4E">
            <w:pPr>
              <w:spacing w:after="0" w:line="240" w:lineRule="auto"/>
              <w:rPr>
                <w:rFonts w:eastAsia="Times New Roman" w:cs="Times New Roman"/>
                <w:color w:val="000000"/>
                <w:sz w:val="22"/>
              </w:rPr>
            </w:pPr>
            <w:r w:rsidRPr="00901194">
              <w:rPr>
                <w:rFonts w:eastAsia="Times New Roman" w:cs="Times New Roman"/>
                <w:color w:val="000000"/>
                <w:sz w:val="22"/>
              </w:rPr>
              <w:t>Parameter</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B2ED22A" w14:textId="77777777" w:rsidR="00241B4E" w:rsidRPr="00901194" w:rsidRDefault="00241B4E" w:rsidP="00241B4E">
            <w:pPr>
              <w:spacing w:after="0" w:line="240" w:lineRule="auto"/>
              <w:rPr>
                <w:rFonts w:eastAsia="Times New Roman" w:cs="Times New Roman"/>
                <w:color w:val="000000"/>
                <w:sz w:val="22"/>
              </w:rPr>
            </w:pPr>
            <w:r w:rsidRPr="00901194">
              <w:rPr>
                <w:rFonts w:eastAsia="Times New Roman" w:cs="Times New Roman"/>
                <w:color w:val="000000"/>
                <w:sz w:val="22"/>
              </w:rPr>
              <w:t>Value</w:t>
            </w:r>
          </w:p>
        </w:tc>
      </w:tr>
      <w:tr w:rsidR="00241B4E" w:rsidRPr="00901194" w14:paraId="1652E13E" w14:textId="77777777" w:rsidTr="00241B4E">
        <w:trPr>
          <w:trHeight w:val="300"/>
        </w:trPr>
        <w:tc>
          <w:tcPr>
            <w:tcW w:w="428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DF4645" w14:textId="77777777" w:rsidR="00241B4E" w:rsidRPr="00901194" w:rsidRDefault="00241B4E" w:rsidP="00241B4E">
            <w:pPr>
              <w:spacing w:after="0" w:line="240" w:lineRule="auto"/>
              <w:jc w:val="center"/>
              <w:rPr>
                <w:rFonts w:eastAsia="Times New Roman" w:cs="Times New Roman"/>
                <w:b/>
                <w:bCs/>
                <w:color w:val="000000"/>
                <w:sz w:val="22"/>
              </w:rPr>
            </w:pPr>
            <w:r w:rsidRPr="00901194">
              <w:rPr>
                <w:rFonts w:eastAsia="Times New Roman" w:cs="Times New Roman"/>
                <w:b/>
                <w:bCs/>
                <w:color w:val="000000"/>
                <w:sz w:val="22"/>
              </w:rPr>
              <w:t>Mass Detection</w:t>
            </w: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D978B93"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MS1</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79D25D51"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1.80E+05</w:t>
            </w:r>
          </w:p>
        </w:tc>
      </w:tr>
      <w:tr w:rsidR="00241B4E" w:rsidRPr="00901194" w14:paraId="47A8B541"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0497C1E6"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CF634C6"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MS2</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C536DD1"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1.00E+03</w:t>
            </w:r>
          </w:p>
        </w:tc>
      </w:tr>
      <w:tr w:rsidR="00241B4E" w:rsidRPr="00901194" w14:paraId="06B9A956" w14:textId="77777777" w:rsidTr="00241B4E">
        <w:trPr>
          <w:trHeight w:val="300"/>
        </w:trPr>
        <w:tc>
          <w:tcPr>
            <w:tcW w:w="428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E3E5FA6" w14:textId="77777777" w:rsidR="00241B4E" w:rsidRPr="00901194" w:rsidRDefault="00241B4E" w:rsidP="00241B4E">
            <w:pPr>
              <w:spacing w:after="0" w:line="240" w:lineRule="auto"/>
              <w:jc w:val="center"/>
              <w:rPr>
                <w:rFonts w:eastAsia="Times New Roman" w:cs="Times New Roman"/>
                <w:b/>
                <w:bCs/>
                <w:color w:val="000000"/>
                <w:sz w:val="22"/>
              </w:rPr>
            </w:pPr>
            <w:r w:rsidRPr="00901194">
              <w:rPr>
                <w:rFonts w:eastAsia="Times New Roman" w:cs="Times New Roman"/>
                <w:b/>
                <w:bCs/>
                <w:color w:val="000000"/>
                <w:sz w:val="22"/>
              </w:rPr>
              <w:t>Chromatogram Builder</w:t>
            </w: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29E81F66"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Min time span (min)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9095975"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0.01</w:t>
            </w:r>
          </w:p>
        </w:tc>
      </w:tr>
      <w:tr w:rsidR="00241B4E" w:rsidRPr="00901194" w14:paraId="563A138A"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BA1F4D4"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2F3A1F6A"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Min height</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63D3FA66"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5.40E+05</w:t>
            </w:r>
          </w:p>
        </w:tc>
      </w:tr>
      <w:tr w:rsidR="00241B4E" w:rsidRPr="00901194" w14:paraId="75457692"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0D0C71F9"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17D12F5"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i/>
                <w:iCs/>
                <w:color w:val="000000"/>
                <w:sz w:val="22"/>
              </w:rPr>
              <w:t>m/z</w:t>
            </w:r>
            <w:r w:rsidRPr="00901194">
              <w:rPr>
                <w:rFonts w:eastAsia="Times New Roman" w:cs="Times New Roman"/>
                <w:color w:val="000000"/>
                <w:sz w:val="22"/>
              </w:rPr>
              <w:t xml:space="preserve"> tolerance (ppm)</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264D0F02"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1.00E+01</w:t>
            </w:r>
          </w:p>
        </w:tc>
      </w:tr>
      <w:tr w:rsidR="00241B4E" w:rsidRPr="00901194" w14:paraId="486D8DA5"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04E2BDBF"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099601DC"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Filter</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5AD2149C"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MS1</w:t>
            </w:r>
          </w:p>
        </w:tc>
      </w:tr>
      <w:tr w:rsidR="00241B4E" w:rsidRPr="00901194" w14:paraId="64693D2F" w14:textId="77777777" w:rsidTr="00241B4E">
        <w:trPr>
          <w:trHeight w:val="300"/>
        </w:trPr>
        <w:tc>
          <w:tcPr>
            <w:tcW w:w="428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DDFDF24" w14:textId="77777777" w:rsidR="00241B4E" w:rsidRPr="00901194" w:rsidRDefault="00241B4E" w:rsidP="00241B4E">
            <w:pPr>
              <w:spacing w:after="0" w:line="240" w:lineRule="auto"/>
              <w:jc w:val="center"/>
              <w:rPr>
                <w:rFonts w:eastAsia="Times New Roman" w:cs="Times New Roman"/>
                <w:b/>
                <w:bCs/>
                <w:color w:val="000000"/>
                <w:sz w:val="22"/>
              </w:rPr>
            </w:pPr>
            <w:r w:rsidRPr="00901194">
              <w:rPr>
                <w:rFonts w:eastAsia="Times New Roman" w:cs="Times New Roman"/>
                <w:b/>
                <w:bCs/>
                <w:color w:val="000000"/>
                <w:sz w:val="22"/>
              </w:rPr>
              <w:t>Chromatogram Deconvolution - Local Minimum Search</w:t>
            </w: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008026A6"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Chromatographic Threshold</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F57551E"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5%</w:t>
            </w:r>
          </w:p>
        </w:tc>
      </w:tr>
      <w:tr w:rsidR="00241B4E" w:rsidRPr="00901194" w14:paraId="681A1F12"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345D1ED9"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73753E73"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Search minimum in RT  range</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73E9B6E3"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0.10 min</w:t>
            </w:r>
          </w:p>
        </w:tc>
      </w:tr>
      <w:tr w:rsidR="00241B4E" w:rsidRPr="00901194" w14:paraId="19A157CC"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4D26D213"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65560941"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Min relative height</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0ADE119"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15%</w:t>
            </w:r>
          </w:p>
        </w:tc>
      </w:tr>
      <w:tr w:rsidR="00241B4E" w:rsidRPr="00901194" w14:paraId="6FD27098"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5DB1ED2C"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0DE49671"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Min absolute height</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56C1E48"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3.00E+05</w:t>
            </w:r>
          </w:p>
        </w:tc>
      </w:tr>
      <w:tr w:rsidR="00241B4E" w:rsidRPr="00901194" w14:paraId="6F68A8A0"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77365926"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7B06F03A"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Min ratio of peak top/edge</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543AD0CA"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2</w:t>
            </w:r>
          </w:p>
        </w:tc>
      </w:tr>
      <w:tr w:rsidR="00241B4E" w:rsidRPr="00901194" w14:paraId="242E168B"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D19FAC3"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08B5CF67"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Peak duration range</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1E25D9D"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0.01-1.5min</w:t>
            </w:r>
          </w:p>
        </w:tc>
      </w:tr>
      <w:tr w:rsidR="00241B4E" w:rsidRPr="00901194" w14:paraId="3AC4915F"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723A96A"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E2715F5"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i/>
                <w:iCs/>
                <w:color w:val="000000"/>
                <w:sz w:val="22"/>
              </w:rPr>
              <w:t>m/z</w:t>
            </w:r>
            <w:r w:rsidRPr="00901194">
              <w:rPr>
                <w:rFonts w:eastAsia="Times New Roman" w:cs="Times New Roman"/>
                <w:color w:val="000000"/>
                <w:sz w:val="22"/>
              </w:rPr>
              <w:t xml:space="preserve"> range for MS2 scan pairing</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C8238A9"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0.01</w:t>
            </w:r>
          </w:p>
        </w:tc>
      </w:tr>
      <w:tr w:rsidR="00241B4E" w:rsidRPr="00901194" w14:paraId="43A8829C"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209CB85"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6CD17745"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RT range for MS2 scan pairing</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AD9769F"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0.1min</w:t>
            </w:r>
          </w:p>
        </w:tc>
      </w:tr>
      <w:tr w:rsidR="00241B4E" w:rsidRPr="00901194" w14:paraId="41F44925" w14:textId="77777777" w:rsidTr="00241B4E">
        <w:trPr>
          <w:trHeight w:val="300"/>
        </w:trPr>
        <w:tc>
          <w:tcPr>
            <w:tcW w:w="428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32A77423" w14:textId="77777777" w:rsidR="00241B4E" w:rsidRPr="00901194" w:rsidRDefault="00241B4E" w:rsidP="00241B4E">
            <w:pPr>
              <w:spacing w:after="0" w:line="240" w:lineRule="auto"/>
              <w:jc w:val="center"/>
              <w:rPr>
                <w:rFonts w:eastAsia="Times New Roman" w:cs="Times New Roman"/>
                <w:b/>
                <w:bCs/>
                <w:color w:val="000000"/>
                <w:sz w:val="22"/>
              </w:rPr>
            </w:pPr>
            <w:r w:rsidRPr="00901194">
              <w:rPr>
                <w:rFonts w:eastAsia="Times New Roman" w:cs="Times New Roman"/>
                <w:b/>
                <w:bCs/>
                <w:color w:val="000000"/>
                <w:sz w:val="22"/>
              </w:rPr>
              <w:t>Isotopic Peaks Grouper</w:t>
            </w: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5D1F37E8"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i/>
                <w:iCs/>
                <w:color w:val="000000"/>
                <w:sz w:val="22"/>
              </w:rPr>
              <w:t>m/z</w:t>
            </w:r>
            <w:r w:rsidRPr="00901194">
              <w:rPr>
                <w:rFonts w:eastAsia="Times New Roman" w:cs="Times New Roman"/>
                <w:color w:val="000000"/>
                <w:sz w:val="22"/>
              </w:rPr>
              <w:t xml:space="preserve"> tolerance (ppm)</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1B0AD47"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1.00E-02</w:t>
            </w:r>
          </w:p>
        </w:tc>
      </w:tr>
      <w:tr w:rsidR="00241B4E" w:rsidRPr="00901194" w14:paraId="73D2C889"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53A6EDCD"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5FDB7C0"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Retention time tolerance (min)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17F1844"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0.05</w:t>
            </w:r>
          </w:p>
        </w:tc>
      </w:tr>
      <w:tr w:rsidR="00241B4E" w:rsidRPr="00901194" w14:paraId="095E105B"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786415D2"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2A6026A"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Max charge</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25B7705B"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3</w:t>
            </w:r>
          </w:p>
        </w:tc>
      </w:tr>
      <w:tr w:rsidR="00241B4E" w:rsidRPr="00901194" w14:paraId="6CA6F8E2"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78A6167F"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6BA031F"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Representative isotope</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79166ED6"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 xml:space="preserve">Lowest </w:t>
            </w:r>
            <w:r w:rsidRPr="00901194">
              <w:rPr>
                <w:rFonts w:eastAsia="Times New Roman" w:cs="Times New Roman"/>
                <w:i/>
                <w:iCs/>
                <w:color w:val="000000"/>
                <w:sz w:val="22"/>
              </w:rPr>
              <w:t>m/z</w:t>
            </w:r>
          </w:p>
        </w:tc>
      </w:tr>
      <w:tr w:rsidR="00241B4E" w:rsidRPr="00901194" w14:paraId="70BA1A65"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5CA6DABB"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08220FAE"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Monotonic shape</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DC02E3A"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Yes</w:t>
            </w:r>
          </w:p>
        </w:tc>
      </w:tr>
      <w:tr w:rsidR="00241B4E" w:rsidRPr="00901194" w14:paraId="3330A068" w14:textId="77777777" w:rsidTr="00241B4E">
        <w:trPr>
          <w:trHeight w:val="300"/>
        </w:trPr>
        <w:tc>
          <w:tcPr>
            <w:tcW w:w="428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E937ECB" w14:textId="77777777" w:rsidR="00241B4E" w:rsidRPr="00901194" w:rsidRDefault="00241B4E" w:rsidP="00241B4E">
            <w:pPr>
              <w:spacing w:after="0" w:line="240" w:lineRule="auto"/>
              <w:jc w:val="center"/>
              <w:rPr>
                <w:rFonts w:eastAsia="Times New Roman" w:cs="Times New Roman"/>
                <w:b/>
                <w:bCs/>
                <w:color w:val="000000"/>
                <w:sz w:val="22"/>
              </w:rPr>
            </w:pPr>
            <w:r w:rsidRPr="00901194">
              <w:rPr>
                <w:rFonts w:eastAsia="Times New Roman" w:cs="Times New Roman"/>
                <w:b/>
                <w:bCs/>
                <w:color w:val="000000"/>
                <w:sz w:val="22"/>
              </w:rPr>
              <w:t>Join Aligner</w:t>
            </w: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6B73ED03"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i/>
                <w:iCs/>
                <w:color w:val="000000"/>
                <w:sz w:val="22"/>
              </w:rPr>
              <w:t>m/z</w:t>
            </w:r>
            <w:r w:rsidRPr="00901194">
              <w:rPr>
                <w:rFonts w:eastAsia="Times New Roman" w:cs="Times New Roman"/>
                <w:color w:val="000000"/>
                <w:sz w:val="22"/>
              </w:rPr>
              <w:t xml:space="preserve"> tolerance (ppm)</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59587FEE"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10</w:t>
            </w:r>
          </w:p>
        </w:tc>
      </w:tr>
      <w:tr w:rsidR="00241B4E" w:rsidRPr="00901194" w14:paraId="64B2597B"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6B86928A"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24B0B364"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 xml:space="preserve">Weight for </w:t>
            </w:r>
            <w:r w:rsidRPr="00901194">
              <w:rPr>
                <w:rFonts w:eastAsia="Times New Roman" w:cs="Times New Roman"/>
                <w:i/>
                <w:iCs/>
                <w:color w:val="000000"/>
                <w:sz w:val="22"/>
              </w:rPr>
              <w:t>m/z</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29DED587"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5</w:t>
            </w:r>
          </w:p>
        </w:tc>
      </w:tr>
      <w:tr w:rsidR="00241B4E" w:rsidRPr="00901194" w14:paraId="3095A15C"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91FC1CA"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425A30C2"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Weight for RT</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90D5C2B"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w:t>
            </w:r>
          </w:p>
        </w:tc>
      </w:tr>
      <w:tr w:rsidR="00241B4E" w:rsidRPr="00901194" w14:paraId="1DCD21EC"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775C01B0"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FB9B0C7"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Retention time tolerance (min)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1BF953D"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0.5</w:t>
            </w:r>
          </w:p>
        </w:tc>
      </w:tr>
      <w:tr w:rsidR="00241B4E" w:rsidRPr="00901194" w14:paraId="5EC46D16" w14:textId="77777777" w:rsidTr="00241B4E">
        <w:trPr>
          <w:trHeight w:val="300"/>
        </w:trPr>
        <w:tc>
          <w:tcPr>
            <w:tcW w:w="428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619B2FA0" w14:textId="77777777" w:rsidR="00241B4E" w:rsidRPr="00901194" w:rsidRDefault="00241B4E" w:rsidP="00241B4E">
            <w:pPr>
              <w:spacing w:after="0" w:line="240" w:lineRule="auto"/>
              <w:jc w:val="center"/>
              <w:rPr>
                <w:rFonts w:eastAsia="Times New Roman" w:cs="Times New Roman"/>
                <w:b/>
                <w:bCs/>
                <w:color w:val="000000"/>
                <w:sz w:val="22"/>
              </w:rPr>
            </w:pPr>
            <w:r w:rsidRPr="00901194">
              <w:rPr>
                <w:rFonts w:eastAsia="Times New Roman" w:cs="Times New Roman"/>
                <w:b/>
                <w:bCs/>
                <w:color w:val="000000"/>
                <w:sz w:val="22"/>
              </w:rPr>
              <w:t>Peaks List Row Filter</w:t>
            </w: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97F059D"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Retention time (min)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9070E82"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0.2-12.51</w:t>
            </w:r>
          </w:p>
        </w:tc>
      </w:tr>
      <w:tr w:rsidR="00241B4E" w:rsidRPr="00901194" w14:paraId="3B5A458A"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3099D95B"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19345546"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Min peaks per row</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07B81069"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empty (leave unchecked)</w:t>
            </w:r>
          </w:p>
        </w:tc>
      </w:tr>
      <w:tr w:rsidR="00241B4E" w:rsidRPr="00901194" w14:paraId="1B9DAEA9"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2A9E38"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2B049114"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Keep only peaks with MS2 scan (GNPS)</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693E71B9"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yes</w:t>
            </w:r>
          </w:p>
        </w:tc>
      </w:tr>
      <w:tr w:rsidR="00241B4E" w:rsidRPr="00901194" w14:paraId="4B6CD973" w14:textId="77777777" w:rsidTr="00241B4E">
        <w:trPr>
          <w:trHeight w:val="300"/>
        </w:trPr>
        <w:tc>
          <w:tcPr>
            <w:tcW w:w="428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0B4244D1" w14:textId="77777777" w:rsidR="00241B4E" w:rsidRPr="00901194" w:rsidRDefault="00241B4E" w:rsidP="00241B4E">
            <w:pPr>
              <w:spacing w:after="0" w:line="240" w:lineRule="auto"/>
              <w:jc w:val="center"/>
              <w:rPr>
                <w:rFonts w:eastAsia="Times New Roman" w:cs="Times New Roman"/>
                <w:b/>
                <w:bCs/>
                <w:color w:val="000000"/>
                <w:sz w:val="22"/>
              </w:rPr>
            </w:pPr>
            <w:r w:rsidRPr="00901194">
              <w:rPr>
                <w:rFonts w:eastAsia="Times New Roman" w:cs="Times New Roman"/>
                <w:b/>
                <w:bCs/>
                <w:color w:val="000000"/>
                <w:sz w:val="22"/>
              </w:rPr>
              <w:t>Gap Filling Peak Finder*</w:t>
            </w: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0856BAFB"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Intensity tolerance (%)</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024FD361"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75</w:t>
            </w:r>
          </w:p>
        </w:tc>
      </w:tr>
      <w:tr w:rsidR="00241B4E" w:rsidRPr="00901194" w14:paraId="309692FC"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9DEE6E0"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674BDE8A"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i/>
                <w:iCs/>
                <w:color w:val="000000"/>
                <w:sz w:val="22"/>
              </w:rPr>
              <w:t>m/z</w:t>
            </w:r>
            <w:r w:rsidRPr="00901194">
              <w:rPr>
                <w:rFonts w:eastAsia="Times New Roman" w:cs="Times New Roman"/>
                <w:color w:val="000000"/>
                <w:sz w:val="22"/>
              </w:rPr>
              <w:t xml:space="preserve"> tolerance (ppm)</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64A532B1"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1.00E+01</w:t>
            </w:r>
          </w:p>
        </w:tc>
      </w:tr>
      <w:tr w:rsidR="00241B4E" w:rsidRPr="00901194" w14:paraId="2172D7A2"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B91897E"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954663D"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i/>
                <w:iCs/>
                <w:color w:val="000000"/>
                <w:sz w:val="22"/>
              </w:rPr>
              <w:t>m/z</w:t>
            </w:r>
            <w:r w:rsidRPr="00901194">
              <w:rPr>
                <w:rFonts w:eastAsia="Times New Roman" w:cs="Times New Roman"/>
                <w:color w:val="000000"/>
                <w:sz w:val="22"/>
              </w:rPr>
              <w:t xml:space="preserve"> tolerance (</w:t>
            </w:r>
            <w:r w:rsidRPr="00901194">
              <w:rPr>
                <w:rFonts w:eastAsia="Times New Roman" w:cs="Times New Roman"/>
                <w:i/>
                <w:iCs/>
                <w:color w:val="000000"/>
                <w:sz w:val="22"/>
              </w:rPr>
              <w:t>m/z</w:t>
            </w:r>
            <w:r w:rsidRPr="00901194">
              <w:rPr>
                <w:rFonts w:eastAsia="Times New Roman" w:cs="Times New Roman"/>
                <w:color w:val="000000"/>
                <w:sz w:val="22"/>
              </w:rPr>
              <w:t>)</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75E3063A"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1.00E-06</w:t>
            </w:r>
          </w:p>
        </w:tc>
      </w:tr>
      <w:tr w:rsidR="00241B4E" w:rsidRPr="00901194" w14:paraId="21E8417D"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4DC71F5E"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6B0B37DB"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Retention time tolerance (min)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286ABD2D"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0.3</w:t>
            </w:r>
          </w:p>
        </w:tc>
      </w:tr>
      <w:tr w:rsidR="00241B4E" w:rsidRPr="00901194" w14:paraId="19AF345D" w14:textId="77777777" w:rsidTr="00241B4E">
        <w:trPr>
          <w:trHeight w:val="300"/>
        </w:trPr>
        <w:tc>
          <w:tcPr>
            <w:tcW w:w="428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66251F97" w14:textId="77777777" w:rsidR="00241B4E" w:rsidRPr="00901194" w:rsidRDefault="00241B4E" w:rsidP="00241B4E">
            <w:pPr>
              <w:spacing w:after="0" w:line="240" w:lineRule="auto"/>
              <w:rPr>
                <w:rFonts w:eastAsia="Times New Roman" w:cs="Times New Roman"/>
                <w:b/>
                <w:bCs/>
                <w:color w:val="000000"/>
                <w:sz w:val="22"/>
              </w:rPr>
            </w:pPr>
          </w:p>
        </w:tc>
        <w:tc>
          <w:tcPr>
            <w:tcW w:w="30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3939D320"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RT correction</w:t>
            </w:r>
          </w:p>
        </w:tc>
        <w:tc>
          <w:tcPr>
            <w:tcW w:w="20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14:paraId="7A654258" w14:textId="77777777" w:rsidR="00241B4E" w:rsidRPr="00901194" w:rsidRDefault="00241B4E" w:rsidP="00241B4E">
            <w:pPr>
              <w:spacing w:after="0" w:line="240" w:lineRule="auto"/>
              <w:jc w:val="right"/>
              <w:rPr>
                <w:rFonts w:eastAsia="Times New Roman" w:cs="Times New Roman"/>
                <w:color w:val="000000"/>
                <w:sz w:val="22"/>
              </w:rPr>
            </w:pPr>
            <w:r w:rsidRPr="00901194">
              <w:rPr>
                <w:rFonts w:eastAsia="Times New Roman" w:cs="Times New Roman"/>
                <w:color w:val="000000"/>
                <w:sz w:val="22"/>
              </w:rPr>
              <w:t>yes</w:t>
            </w:r>
          </w:p>
        </w:tc>
      </w:tr>
    </w:tbl>
    <w:p w14:paraId="3EB40BC3" w14:textId="77777777" w:rsidR="00241B4E" w:rsidRPr="00901194" w:rsidRDefault="00241B4E" w:rsidP="00241B4E">
      <w:pPr>
        <w:pStyle w:val="CaptionJH"/>
        <w:spacing w:line="240" w:lineRule="auto"/>
        <w:rPr>
          <w:b/>
          <w:bCs w:val="0"/>
        </w:rPr>
      </w:pPr>
    </w:p>
    <w:p w14:paraId="14213730" w14:textId="77777777" w:rsidR="00241B4E" w:rsidRPr="00901194" w:rsidRDefault="00241B4E" w:rsidP="00241B4E">
      <w:pPr>
        <w:pStyle w:val="CaptionJH"/>
        <w:spacing w:line="240" w:lineRule="auto"/>
        <w:rPr>
          <w:b/>
          <w:bCs w:val="0"/>
        </w:rPr>
      </w:pPr>
    </w:p>
    <w:p w14:paraId="4432ABAF" w14:textId="77777777" w:rsidR="00241B4E" w:rsidRPr="00901194" w:rsidRDefault="00241B4E" w:rsidP="00241B4E">
      <w:pPr>
        <w:pStyle w:val="CaptionJH"/>
        <w:spacing w:line="240" w:lineRule="auto"/>
        <w:rPr>
          <w:b/>
          <w:bCs w:val="0"/>
        </w:rPr>
      </w:pPr>
    </w:p>
    <w:p w14:paraId="199D6446" w14:textId="5F11D982" w:rsidR="00274ADB" w:rsidRPr="00901194" w:rsidRDefault="00274ADB" w:rsidP="00241B4E">
      <w:pPr>
        <w:pStyle w:val="CaptionJH"/>
        <w:spacing w:line="240" w:lineRule="auto"/>
        <w:rPr>
          <w:b/>
          <w:bCs w:val="0"/>
        </w:rPr>
      </w:pPr>
      <w:bookmarkStart w:id="117" w:name="_Toc131186571"/>
      <w:r w:rsidRPr="00901194">
        <w:rPr>
          <w:b/>
          <w:bCs w:val="0"/>
        </w:rPr>
        <w:t>Table S</w:t>
      </w:r>
      <w:r w:rsidR="00E762E6" w:rsidRPr="00901194">
        <w:rPr>
          <w:b/>
          <w:bCs w:val="0"/>
        </w:rPr>
        <w:t>2.</w:t>
      </w:r>
      <w:r w:rsidRPr="00901194">
        <w:rPr>
          <w:b/>
          <w:bCs w:val="0"/>
        </w:rPr>
        <w:t>4. MZmine parameters for feature-based molecular networking.</w:t>
      </w:r>
      <w:bookmarkEnd w:id="117"/>
      <w:r w:rsidRPr="00901194">
        <w:rPr>
          <w:b/>
          <w:bCs w:val="0"/>
        </w:rPr>
        <w:t xml:space="preserve"> </w:t>
      </w:r>
    </w:p>
    <w:p w14:paraId="008035F3" w14:textId="77777777" w:rsidR="00241B4E" w:rsidRPr="00901194" w:rsidRDefault="00274ADB" w:rsidP="00FA7ED2">
      <w:pPr>
        <w:spacing w:line="240" w:lineRule="auto"/>
        <w:rPr>
          <w:rFonts w:cs="Times New Roman"/>
          <w:i/>
          <w:iCs/>
        </w:rPr>
      </w:pPr>
      <w:r w:rsidRPr="00901194">
        <w:rPr>
          <w:rFonts w:cs="Times New Roman"/>
          <w:i/>
          <w:iCs/>
        </w:rPr>
        <w:t>*Only done for gap-filled analyses</w:t>
      </w:r>
    </w:p>
    <w:p w14:paraId="4D6A1BB2" w14:textId="775B73D9" w:rsidR="004A25BA" w:rsidRPr="00901194" w:rsidRDefault="004A25BA" w:rsidP="004A25BA">
      <w:pPr>
        <w:pStyle w:val="ChapterHeading1"/>
      </w:pPr>
      <w:bookmarkStart w:id="118" w:name="_Toc134185999"/>
      <w:r w:rsidRPr="00901194">
        <w:lastRenderedPageBreak/>
        <w:t>Supplementary Material B</w:t>
      </w:r>
      <w:bookmarkEnd w:id="118"/>
    </w:p>
    <w:p w14:paraId="0831A83C" w14:textId="6E7892BF" w:rsidR="004A25BA" w:rsidRPr="00901194" w:rsidRDefault="004A25BA" w:rsidP="004A25BA">
      <w:pPr>
        <w:pStyle w:val="Sub-ChapterHading"/>
      </w:pPr>
      <w:bookmarkStart w:id="119" w:name="_Toc134186000"/>
      <w:r w:rsidRPr="00901194">
        <w:t>Author List and Affiliations</w:t>
      </w:r>
      <w:bookmarkEnd w:id="119"/>
    </w:p>
    <w:p w14:paraId="5CE07FCF" w14:textId="3E1F11F1" w:rsidR="00383C83" w:rsidRPr="00901194" w:rsidRDefault="00383C83" w:rsidP="00161AD0">
      <w:pPr>
        <w:rPr>
          <w:rFonts w:cs="Times New Roman"/>
        </w:rPr>
      </w:pPr>
      <w:r w:rsidRPr="00901194">
        <w:rPr>
          <w:rFonts w:cs="Times New Roman"/>
        </w:rPr>
        <w:t>Yi Sun</w:t>
      </w:r>
      <w:r w:rsidRPr="00901194">
        <w:rPr>
          <w:rFonts w:cs="Times New Roman"/>
          <w:vertAlign w:val="superscript"/>
        </w:rPr>
        <w:t>1,2#</w:t>
      </w:r>
      <w:r w:rsidRPr="00901194">
        <w:rPr>
          <w:rFonts w:cs="Times New Roman"/>
        </w:rPr>
        <w:t>, Jacob J. Haffner</w:t>
      </w:r>
      <w:r w:rsidRPr="00901194">
        <w:rPr>
          <w:rFonts w:cs="Times New Roman"/>
          <w:vertAlign w:val="superscript"/>
        </w:rPr>
        <w:t>3,4#</w:t>
      </w:r>
      <w:r w:rsidRPr="00901194">
        <w:rPr>
          <w:rFonts w:cs="Times New Roman"/>
        </w:rPr>
        <w:t>, Daniela Betancurt</w:t>
      </w:r>
      <w:r w:rsidRPr="00901194">
        <w:rPr>
          <w:rFonts w:cs="Times New Roman"/>
          <w:vertAlign w:val="superscript"/>
        </w:rPr>
        <w:t>5</w:t>
      </w:r>
      <w:r w:rsidRPr="00901194">
        <w:rPr>
          <w:rFonts w:cs="Times New Roman"/>
        </w:rPr>
        <w:t>, Evan R. Hutchison</w:t>
      </w:r>
      <w:r w:rsidRPr="00901194">
        <w:rPr>
          <w:rFonts w:cs="Times New Roman"/>
          <w:vertAlign w:val="superscript"/>
        </w:rPr>
        <w:t>1</w:t>
      </w:r>
      <w:r w:rsidRPr="00901194">
        <w:rPr>
          <w:rFonts w:cs="Times New Roman"/>
        </w:rPr>
        <w:t>, Eugenio I. Vivas</w:t>
      </w:r>
      <w:r w:rsidRPr="00901194">
        <w:rPr>
          <w:rFonts w:cs="Times New Roman"/>
          <w:vertAlign w:val="superscript"/>
        </w:rPr>
        <w:t>1</w:t>
      </w:r>
      <w:r w:rsidRPr="00901194">
        <w:rPr>
          <w:rFonts w:cs="Times New Roman"/>
        </w:rPr>
        <w:t>, Robert L. Kerby</w:t>
      </w:r>
      <w:r w:rsidRPr="00901194">
        <w:rPr>
          <w:rFonts w:cs="Times New Roman"/>
          <w:vertAlign w:val="superscript"/>
        </w:rPr>
        <w:t>1</w:t>
      </w:r>
      <w:r w:rsidRPr="00901194">
        <w:rPr>
          <w:rFonts w:cs="Times New Roman"/>
        </w:rPr>
        <w:t>, Nsoua H. Diaba</w:t>
      </w:r>
      <w:r w:rsidRPr="00901194">
        <w:rPr>
          <w:rFonts w:cs="Times New Roman"/>
          <w:vertAlign w:val="superscript"/>
        </w:rPr>
        <w:t>6</w:t>
      </w:r>
      <w:r w:rsidRPr="00901194">
        <w:rPr>
          <w:rFonts w:cs="Times New Roman"/>
        </w:rPr>
        <w:t>, Camil Gosmanov</w:t>
      </w:r>
      <w:r w:rsidRPr="00901194">
        <w:rPr>
          <w:rFonts w:cs="Times New Roman"/>
          <w:vertAlign w:val="superscript"/>
        </w:rPr>
        <w:t>6</w:t>
      </w:r>
      <w:r w:rsidRPr="00901194">
        <w:rPr>
          <w:rFonts w:cs="Times New Roman"/>
        </w:rPr>
        <w:t>, Alejandro Reyes Muñoz</w:t>
      </w:r>
      <w:r w:rsidRPr="00901194">
        <w:rPr>
          <w:rFonts w:cs="Times New Roman"/>
          <w:vertAlign w:val="superscript"/>
        </w:rPr>
        <w:t>4</w:t>
      </w:r>
      <w:r w:rsidRPr="00901194">
        <w:rPr>
          <w:rFonts w:cs="Times New Roman"/>
        </w:rPr>
        <w:t>, Laura-Isobel McCall</w:t>
      </w:r>
      <w:r w:rsidRPr="00901194">
        <w:rPr>
          <w:rFonts w:cs="Times New Roman"/>
          <w:vertAlign w:val="superscript"/>
        </w:rPr>
        <w:t>4,6,7*</w:t>
      </w:r>
      <w:r w:rsidRPr="00901194">
        <w:rPr>
          <w:rFonts w:cs="Times New Roman"/>
        </w:rPr>
        <w:t>, Federico E. Rey</w:t>
      </w:r>
      <w:r w:rsidRPr="00901194">
        <w:rPr>
          <w:rFonts w:cs="Times New Roman"/>
          <w:vertAlign w:val="superscript"/>
        </w:rPr>
        <w:t>1,*</w:t>
      </w:r>
    </w:p>
    <w:p w14:paraId="2B941A8B" w14:textId="77777777" w:rsidR="00383C83" w:rsidRPr="00901194" w:rsidRDefault="00383C83" w:rsidP="00161AD0">
      <w:pPr>
        <w:spacing w:line="240" w:lineRule="auto"/>
        <w:rPr>
          <w:rFonts w:cs="Times New Roman"/>
        </w:rPr>
      </w:pPr>
      <w:r w:rsidRPr="00901194">
        <w:rPr>
          <w:rFonts w:cs="Times New Roman"/>
          <w:vertAlign w:val="superscript"/>
        </w:rPr>
        <w:t>1</w:t>
      </w:r>
      <w:r w:rsidRPr="00901194">
        <w:rPr>
          <w:rFonts w:cs="Times New Roman"/>
        </w:rPr>
        <w:t>Department of Bacteriology, University of Wisconsin-Madison, Madison, WI, 53706, USA</w:t>
      </w:r>
    </w:p>
    <w:p w14:paraId="6BCB0103" w14:textId="621CBEDD" w:rsidR="00383C83" w:rsidRPr="00901194" w:rsidRDefault="00383C83" w:rsidP="00161AD0">
      <w:pPr>
        <w:spacing w:line="240" w:lineRule="auto"/>
        <w:rPr>
          <w:rFonts w:cs="Times New Roman"/>
        </w:rPr>
      </w:pPr>
      <w:r w:rsidRPr="00901194">
        <w:rPr>
          <w:rFonts w:cs="Times New Roman"/>
          <w:vertAlign w:val="superscript"/>
        </w:rPr>
        <w:t>2</w:t>
      </w:r>
      <w:r w:rsidR="004D1CA2" w:rsidRPr="00901194">
        <w:rPr>
          <w:rFonts w:cs="Times New Roman"/>
        </w:rPr>
        <w:t>Tianjin Key Laboratory of Food Science and Health, School of Medicine, Nankai University, Tianjin, 300071, China.</w:t>
      </w:r>
    </w:p>
    <w:p w14:paraId="65F2CAF8" w14:textId="77777777" w:rsidR="00383C83" w:rsidRPr="00901194" w:rsidRDefault="00383C83" w:rsidP="00161AD0">
      <w:pPr>
        <w:spacing w:line="240" w:lineRule="auto"/>
        <w:rPr>
          <w:rFonts w:cs="Times New Roman"/>
        </w:rPr>
      </w:pPr>
      <w:r w:rsidRPr="00901194">
        <w:rPr>
          <w:rFonts w:cs="Times New Roman"/>
          <w:vertAlign w:val="superscript"/>
        </w:rPr>
        <w:t>3</w:t>
      </w:r>
      <w:r w:rsidRPr="00901194">
        <w:rPr>
          <w:rFonts w:cs="Times New Roman"/>
        </w:rPr>
        <w:t>Department of Anthropology, University of Oklahoma, Norman, OK 73019, USA.</w:t>
      </w:r>
    </w:p>
    <w:p w14:paraId="2E61881A" w14:textId="77777777" w:rsidR="00383C83" w:rsidRPr="00901194" w:rsidRDefault="00383C83" w:rsidP="00161AD0">
      <w:pPr>
        <w:spacing w:line="240" w:lineRule="auto"/>
        <w:rPr>
          <w:rFonts w:cs="Times New Roman"/>
        </w:rPr>
      </w:pPr>
      <w:r w:rsidRPr="00901194">
        <w:rPr>
          <w:rFonts w:cs="Times New Roman"/>
          <w:vertAlign w:val="superscript"/>
        </w:rPr>
        <w:t>4</w:t>
      </w:r>
      <w:r w:rsidRPr="00901194">
        <w:rPr>
          <w:rFonts w:cs="Times New Roman"/>
        </w:rPr>
        <w:t>Laboratories of Molecular Anthropology and Microbiome Research, University of Oklahoma, Norman, OK 73019, USA.</w:t>
      </w:r>
    </w:p>
    <w:p w14:paraId="6EAF1885" w14:textId="77777777" w:rsidR="00383C83" w:rsidRPr="00901194" w:rsidRDefault="00383C83" w:rsidP="00161AD0">
      <w:pPr>
        <w:spacing w:line="240" w:lineRule="auto"/>
        <w:rPr>
          <w:rFonts w:cs="Times New Roman"/>
        </w:rPr>
      </w:pPr>
      <w:r w:rsidRPr="00901194">
        <w:rPr>
          <w:rFonts w:cs="Times New Roman"/>
          <w:vertAlign w:val="superscript"/>
        </w:rPr>
        <w:t>5</w:t>
      </w:r>
      <w:r w:rsidRPr="00901194">
        <w:rPr>
          <w:rFonts w:cs="Times New Roman"/>
        </w:rPr>
        <w:t>Departamento de Ciencias Biológicas, Universidad de los Andes, Bogota, Colombia</w:t>
      </w:r>
    </w:p>
    <w:p w14:paraId="4E4CA6AB" w14:textId="77777777" w:rsidR="00383C83" w:rsidRPr="00901194" w:rsidRDefault="00383C83" w:rsidP="00161AD0">
      <w:pPr>
        <w:spacing w:line="240" w:lineRule="auto"/>
        <w:rPr>
          <w:rFonts w:cs="Times New Roman"/>
        </w:rPr>
      </w:pPr>
      <w:r w:rsidRPr="00901194">
        <w:rPr>
          <w:rFonts w:cs="Times New Roman"/>
          <w:vertAlign w:val="superscript"/>
        </w:rPr>
        <w:t>6</w:t>
      </w:r>
      <w:r w:rsidRPr="00901194">
        <w:rPr>
          <w:rFonts w:cs="Times New Roman"/>
        </w:rPr>
        <w:t>Department of Chemistry and Biochemistry, University of Oklahoma, Norman, OK 73019, USA.</w:t>
      </w:r>
    </w:p>
    <w:p w14:paraId="6DA2CDCD" w14:textId="77777777" w:rsidR="00383C83" w:rsidRPr="00901194" w:rsidRDefault="00383C83" w:rsidP="00161AD0">
      <w:pPr>
        <w:spacing w:line="240" w:lineRule="auto"/>
        <w:rPr>
          <w:rFonts w:cs="Times New Roman"/>
        </w:rPr>
      </w:pPr>
      <w:r w:rsidRPr="00901194">
        <w:rPr>
          <w:rFonts w:cs="Times New Roman"/>
          <w:vertAlign w:val="superscript"/>
        </w:rPr>
        <w:t>7</w:t>
      </w:r>
      <w:r w:rsidRPr="00901194">
        <w:rPr>
          <w:rFonts w:cs="Times New Roman"/>
        </w:rPr>
        <w:t>Department of Microbiology and Plant Biology, University of Oklahoma, Norman, OK 73019, USA.</w:t>
      </w:r>
    </w:p>
    <w:p w14:paraId="26513233" w14:textId="77777777" w:rsidR="00383C83" w:rsidRPr="00901194" w:rsidRDefault="00383C83" w:rsidP="00161AD0">
      <w:pPr>
        <w:spacing w:line="240" w:lineRule="auto"/>
        <w:rPr>
          <w:rFonts w:cs="Times New Roman"/>
        </w:rPr>
      </w:pPr>
      <w:r w:rsidRPr="00901194">
        <w:rPr>
          <w:rFonts w:cs="Times New Roman"/>
        </w:rPr>
        <w:t># Authors contributed equally</w:t>
      </w:r>
    </w:p>
    <w:p w14:paraId="49BFF75B" w14:textId="776140ED" w:rsidR="00161AD0" w:rsidRPr="00901194" w:rsidRDefault="00383C83" w:rsidP="00161AD0">
      <w:pPr>
        <w:spacing w:line="240" w:lineRule="auto"/>
        <w:rPr>
          <w:rFonts w:cs="Times New Roman"/>
        </w:rPr>
      </w:pPr>
      <w:r w:rsidRPr="00901194">
        <w:rPr>
          <w:rFonts w:cs="Times New Roman"/>
        </w:rPr>
        <w:t>*  Corresponding author(s)</w:t>
      </w:r>
    </w:p>
    <w:p w14:paraId="6904C0ED" w14:textId="766A359C" w:rsidR="001A0742" w:rsidRPr="00901194" w:rsidRDefault="001A0742" w:rsidP="00161AD0">
      <w:pPr>
        <w:spacing w:line="240" w:lineRule="auto"/>
        <w:rPr>
          <w:rFonts w:cs="Times New Roman"/>
        </w:rPr>
      </w:pPr>
    </w:p>
    <w:p w14:paraId="6397A8FE" w14:textId="14CD2928" w:rsidR="001A0742" w:rsidRPr="00901194" w:rsidRDefault="001A0742" w:rsidP="001A0742">
      <w:pPr>
        <w:pStyle w:val="Sub-ChapterHading"/>
      </w:pPr>
      <w:bookmarkStart w:id="120" w:name="_Toc134186001"/>
      <w:r w:rsidRPr="00901194">
        <w:t>Author Contributions</w:t>
      </w:r>
      <w:bookmarkEnd w:id="120"/>
    </w:p>
    <w:p w14:paraId="2DD20140" w14:textId="69420953" w:rsidR="001A0742" w:rsidRPr="00901194" w:rsidRDefault="00B21BFA" w:rsidP="00A00839">
      <w:pPr>
        <w:ind w:firstLine="720"/>
        <w:rPr>
          <w:rFonts w:cs="Times New Roman"/>
        </w:rPr>
      </w:pPr>
      <w:r w:rsidRPr="00901194">
        <w:rPr>
          <w:rFonts w:cs="Times New Roman"/>
        </w:rPr>
        <w:t>F.R. and L.-I.M. conceived and designed study. F.R. and Y.S. collected mouse samples</w:t>
      </w:r>
      <w:r w:rsidR="00005B75" w:rsidRPr="00901194">
        <w:rPr>
          <w:rFonts w:cs="Times New Roman"/>
        </w:rPr>
        <w:t xml:space="preserve">, </w:t>
      </w:r>
      <w:r w:rsidRPr="00901194">
        <w:rPr>
          <w:rFonts w:cs="Times New Roman"/>
        </w:rPr>
        <w:t>with input from D.B., E.R.H., E.I.V., and R.L.K.</w:t>
      </w:r>
      <w:r w:rsidR="00005B75" w:rsidRPr="00901194">
        <w:rPr>
          <w:rFonts w:cs="Times New Roman"/>
        </w:rPr>
        <w:t xml:space="preserve"> </w:t>
      </w:r>
      <w:r w:rsidRPr="00901194">
        <w:rPr>
          <w:rFonts w:cs="Times New Roman"/>
        </w:rPr>
        <w:t xml:space="preserve">J.J.H. conducted metabolite extraction and LC-MS/MS analysis with direction from L.-I.M. J.J.H. and L.-I.M. analyzed untargeted LC-MS/MS data with assistance from N.H.D. and C.G. </w:t>
      </w:r>
    </w:p>
    <w:p w14:paraId="77D70D66" w14:textId="64343D35" w:rsidR="00C1048B" w:rsidRPr="00901194" w:rsidRDefault="00C1048B" w:rsidP="00C1048B">
      <w:pPr>
        <w:pStyle w:val="Sub-ChapterHading"/>
      </w:pPr>
      <w:bookmarkStart w:id="121" w:name="_Toc134186002"/>
      <w:r w:rsidRPr="00901194">
        <w:lastRenderedPageBreak/>
        <w:t>Acknowledgements</w:t>
      </w:r>
      <w:bookmarkEnd w:id="121"/>
    </w:p>
    <w:p w14:paraId="35A1C27D" w14:textId="77777777" w:rsidR="00A00839" w:rsidRPr="00901194" w:rsidRDefault="00A00839" w:rsidP="00A00839">
      <w:pPr>
        <w:ind w:firstLine="720"/>
        <w:jc w:val="both"/>
        <w:rPr>
          <w:rFonts w:cs="Times New Roman"/>
        </w:rPr>
      </w:pPr>
      <w:r w:rsidRPr="00901194">
        <w:rPr>
          <w:rFonts w:cs="Times New Roman"/>
        </w:rPr>
        <w:t>The authors thank the University of Wisconsin Biotechnology Center DNA Sequencing Facility for providing sequencing and support services.</w:t>
      </w:r>
    </w:p>
    <w:p w14:paraId="544E8BE9" w14:textId="77777777" w:rsidR="00376A21" w:rsidRPr="00901194" w:rsidRDefault="00376A21">
      <w:pPr>
        <w:spacing w:line="259" w:lineRule="auto"/>
        <w:rPr>
          <w:rFonts w:cs="Times New Roman"/>
        </w:rPr>
      </w:pPr>
      <w:r w:rsidRPr="00901194">
        <w:rPr>
          <w:rFonts w:cs="Times New Roman"/>
        </w:rPr>
        <w:br w:type="page"/>
      </w:r>
    </w:p>
    <w:p w14:paraId="37AF92D2" w14:textId="05171EDC" w:rsidR="00A00839" w:rsidRPr="00901194" w:rsidRDefault="00A803A2" w:rsidP="001B5743">
      <w:pPr>
        <w:pStyle w:val="Sub-ChapterHading"/>
      </w:pPr>
      <w:bookmarkStart w:id="122" w:name="_Toc134186003"/>
      <w:r w:rsidRPr="00901194">
        <w:rPr>
          <w:noProof/>
        </w:rPr>
        <w:lastRenderedPageBreak/>
        <w:drawing>
          <wp:anchor distT="0" distB="0" distL="114300" distR="114300" simplePos="0" relativeHeight="251728896" behindDoc="0" locked="0" layoutInCell="1" allowOverlap="1" wp14:anchorId="7BB0A05B" wp14:editId="33B33AC8">
            <wp:simplePos x="0" y="0"/>
            <wp:positionH relativeFrom="column">
              <wp:posOffset>1727200</wp:posOffset>
            </wp:positionH>
            <wp:positionV relativeFrom="paragraph">
              <wp:posOffset>426085</wp:posOffset>
            </wp:positionV>
            <wp:extent cx="2286000" cy="7353300"/>
            <wp:effectExtent l="0" t="0" r="0" b="0"/>
            <wp:wrapTopAndBottom/>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pic:cNvPicPr/>
                  </pic:nvPicPr>
                  <pic:blipFill>
                    <a:blip r:embed="rId237">
                      <a:extLst>
                        <a:ext uri="{28A0092B-C50C-407E-A947-70E740481C1C}">
                          <a14:useLocalDpi xmlns:a14="http://schemas.microsoft.com/office/drawing/2010/main" val="0"/>
                        </a:ext>
                        <a:ext uri="{96DAC541-7B7A-43D3-8B79-37D633B846F1}">
                          <asvg:svgBlip xmlns:asvg="http://schemas.microsoft.com/office/drawing/2016/SVG/main" r:embed="rId238"/>
                        </a:ext>
                      </a:extLst>
                    </a:blip>
                    <a:stretch>
                      <a:fillRect/>
                    </a:stretch>
                  </pic:blipFill>
                  <pic:spPr>
                    <a:xfrm>
                      <a:off x="0" y="0"/>
                      <a:ext cx="2286000" cy="7353300"/>
                    </a:xfrm>
                    <a:prstGeom prst="rect">
                      <a:avLst/>
                    </a:prstGeom>
                  </pic:spPr>
                </pic:pic>
              </a:graphicData>
            </a:graphic>
          </wp:anchor>
        </w:drawing>
      </w:r>
      <w:r w:rsidR="00376A21" w:rsidRPr="00901194">
        <w:t>Supplementary Figures 3.1-</w:t>
      </w:r>
      <w:r w:rsidR="00C137B9" w:rsidRPr="00901194">
        <w:t>3.</w:t>
      </w:r>
      <w:r w:rsidR="00967FF3" w:rsidRPr="00901194">
        <w:t>4</w:t>
      </w:r>
      <w:bookmarkEnd w:id="122"/>
    </w:p>
    <w:p w14:paraId="022414A3" w14:textId="31A2E789" w:rsidR="00A803A2" w:rsidRPr="00901194" w:rsidRDefault="00A803A2" w:rsidP="00D712B3">
      <w:pPr>
        <w:pStyle w:val="CaptionJH"/>
        <w:spacing w:line="240" w:lineRule="auto"/>
        <w:rPr>
          <w:b/>
          <w:bCs w:val="0"/>
        </w:rPr>
      </w:pPr>
      <w:bookmarkStart w:id="123" w:name="_Toc131186572"/>
      <w:r w:rsidRPr="00901194">
        <w:rPr>
          <w:b/>
          <w:bCs w:val="0"/>
        </w:rPr>
        <w:lastRenderedPageBreak/>
        <w:t>Figure S3.1:</w:t>
      </w:r>
      <w:r w:rsidR="00D712B3" w:rsidRPr="00901194">
        <w:rPr>
          <w:b/>
          <w:bCs w:val="0"/>
        </w:rPr>
        <w:t xml:space="preserve"> Differential impact of diet on alpha diversity of microbiota-modulated metabolites in cecum.</w:t>
      </w:r>
      <w:bookmarkEnd w:id="123"/>
    </w:p>
    <w:p w14:paraId="4A2374C8" w14:textId="0D8DF272" w:rsidR="00A00839" w:rsidRPr="00901194" w:rsidRDefault="00D712B3" w:rsidP="00FA7ED2">
      <w:pPr>
        <w:rPr>
          <w:rFonts w:cs="Times New Roman"/>
          <w:i/>
          <w:iCs/>
        </w:rPr>
      </w:pPr>
      <w:r w:rsidRPr="00901194">
        <w:rPr>
          <w:rFonts w:cs="Times New Roman"/>
          <w:i/>
          <w:iCs/>
        </w:rPr>
        <w:t>Effects of diet on microbiome communities by (A) SubA, (B) SubB, and (C) SubC.</w:t>
      </w:r>
    </w:p>
    <w:p w14:paraId="199AC82C" w14:textId="61FE01C5" w:rsidR="00B41086" w:rsidRPr="00901194" w:rsidRDefault="00B41086" w:rsidP="00A00839">
      <w:pPr>
        <w:rPr>
          <w:rFonts w:cs="Times New Roman"/>
        </w:rPr>
      </w:pPr>
    </w:p>
    <w:p w14:paraId="6896CED6" w14:textId="26A668C0" w:rsidR="00B41086" w:rsidRPr="00901194" w:rsidRDefault="00B41086">
      <w:pPr>
        <w:spacing w:line="259" w:lineRule="auto"/>
        <w:rPr>
          <w:rFonts w:cs="Times New Roman"/>
        </w:rPr>
      </w:pPr>
      <w:r w:rsidRPr="00901194">
        <w:rPr>
          <w:rFonts w:cs="Times New Roman"/>
        </w:rPr>
        <w:br w:type="page"/>
      </w:r>
    </w:p>
    <w:p w14:paraId="4ACF0621" w14:textId="77777777" w:rsidR="001E4610" w:rsidRPr="00901194" w:rsidRDefault="001E4610" w:rsidP="001E4610">
      <w:pPr>
        <w:pStyle w:val="CaptionJH"/>
        <w:spacing w:line="240" w:lineRule="auto"/>
      </w:pPr>
      <w:bookmarkStart w:id="124" w:name="_Toc131186573"/>
      <w:r w:rsidRPr="00901194">
        <w:rPr>
          <w:b/>
          <w:bCs w:val="0"/>
          <w:noProof/>
        </w:rPr>
        <w:lastRenderedPageBreak/>
        <w:drawing>
          <wp:anchor distT="0" distB="0" distL="114300" distR="114300" simplePos="0" relativeHeight="251734016" behindDoc="0" locked="0" layoutInCell="1" allowOverlap="1" wp14:anchorId="1083BAD5" wp14:editId="104981B0">
            <wp:simplePos x="0" y="0"/>
            <wp:positionH relativeFrom="column">
              <wp:posOffset>620110</wp:posOffset>
            </wp:positionH>
            <wp:positionV relativeFrom="paragraph">
              <wp:posOffset>350</wp:posOffset>
            </wp:positionV>
            <wp:extent cx="4667250" cy="6400800"/>
            <wp:effectExtent l="0" t="0" r="0" b="0"/>
            <wp:wrapTopAndBottom/>
            <wp:docPr id="39"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pic:cNvPicPr/>
                  </pic:nvPicPr>
                  <pic:blipFill>
                    <a:blip r:embed="rId239">
                      <a:extLst>
                        <a:ext uri="{28A0092B-C50C-407E-A947-70E740481C1C}">
                          <a14:useLocalDpi xmlns:a14="http://schemas.microsoft.com/office/drawing/2010/main" val="0"/>
                        </a:ext>
                        <a:ext uri="{96DAC541-7B7A-43D3-8B79-37D633B846F1}">
                          <asvg:svgBlip xmlns:asvg="http://schemas.microsoft.com/office/drawing/2016/SVG/main" r:embed="rId240"/>
                        </a:ext>
                      </a:extLst>
                    </a:blip>
                    <a:stretch>
                      <a:fillRect/>
                    </a:stretch>
                  </pic:blipFill>
                  <pic:spPr>
                    <a:xfrm>
                      <a:off x="0" y="0"/>
                      <a:ext cx="4667250" cy="6400800"/>
                    </a:xfrm>
                    <a:prstGeom prst="rect">
                      <a:avLst/>
                    </a:prstGeom>
                  </pic:spPr>
                </pic:pic>
              </a:graphicData>
            </a:graphic>
          </wp:anchor>
        </w:drawing>
      </w:r>
      <w:r w:rsidRPr="00901194">
        <w:rPr>
          <w:b/>
          <w:bCs w:val="0"/>
        </w:rPr>
        <w:t>Figure S3.2:</w:t>
      </w:r>
      <w:r w:rsidRPr="00901194">
        <w:t xml:space="preserve"> </w:t>
      </w:r>
      <w:r w:rsidRPr="00901194">
        <w:rPr>
          <w:b/>
        </w:rPr>
        <w:t>Gut community and diet modulate serum metabolites</w:t>
      </w:r>
      <w:r w:rsidRPr="00901194">
        <w:t>.</w:t>
      </w:r>
      <w:bookmarkEnd w:id="124"/>
      <w:r w:rsidRPr="00901194">
        <w:t xml:space="preserve"> </w:t>
      </w:r>
    </w:p>
    <w:p w14:paraId="590D44E5" w14:textId="5C162F97" w:rsidR="00B41086" w:rsidRPr="00901194" w:rsidRDefault="001E4610" w:rsidP="00FA7ED2">
      <w:pPr>
        <w:spacing w:line="240" w:lineRule="auto"/>
        <w:rPr>
          <w:rFonts w:cs="Times New Roman"/>
          <w:i/>
          <w:iCs/>
        </w:rPr>
      </w:pPr>
      <w:r w:rsidRPr="00901194">
        <w:rPr>
          <w:rFonts w:cs="Times New Roman"/>
          <w:i/>
          <w:iCs/>
        </w:rPr>
        <w:t xml:space="preserve">(A) PCoA of Bray-Curtis </w:t>
      </w:r>
      <w:r w:rsidR="001A0F34" w:rsidRPr="00901194">
        <w:rPr>
          <w:rFonts w:cs="Times New Roman"/>
          <w:i/>
          <w:iCs/>
        </w:rPr>
        <w:t xml:space="preserve">dissimilarities </w:t>
      </w:r>
      <w:r w:rsidRPr="00901194">
        <w:rPr>
          <w:rFonts w:cs="Times New Roman"/>
          <w:i/>
          <w:iCs/>
        </w:rPr>
        <w:t xml:space="preserve">from serum microbial metabolites for all three donors. (B-D) PCoA of Bray-Curtis </w:t>
      </w:r>
      <w:r w:rsidR="001A0F34" w:rsidRPr="00901194">
        <w:rPr>
          <w:rFonts w:cs="Times New Roman"/>
          <w:i/>
          <w:iCs/>
        </w:rPr>
        <w:t xml:space="preserve">dissimilarities </w:t>
      </w:r>
      <w:r w:rsidRPr="00901194">
        <w:rPr>
          <w:rFonts w:cs="Times New Roman"/>
          <w:i/>
          <w:iCs/>
        </w:rPr>
        <w:t>from serum microbial metabolites for each donor donors.  SubA (B), SubB (C) and SubC (D). (E-G) Numbers of elevated/depleted metabolites presented in different diets in each donor.  (H-J) Numbers of elevated/depleted metabolites presented in different donors in each diet.</w:t>
      </w:r>
    </w:p>
    <w:p w14:paraId="4E8903A2" w14:textId="795D3B95" w:rsidR="00B41086" w:rsidRPr="00901194" w:rsidRDefault="00B41086" w:rsidP="00A00839">
      <w:pPr>
        <w:rPr>
          <w:rFonts w:cs="Times New Roman"/>
        </w:rPr>
      </w:pPr>
    </w:p>
    <w:p w14:paraId="1A48E1E6" w14:textId="15377546" w:rsidR="00BC1C91" w:rsidRPr="00901194" w:rsidRDefault="00BC1C91" w:rsidP="00BC1C91">
      <w:pPr>
        <w:pStyle w:val="CaptionJH"/>
        <w:spacing w:line="240" w:lineRule="auto"/>
        <w:rPr>
          <w:b/>
          <w:bCs w:val="0"/>
        </w:rPr>
      </w:pPr>
      <w:bookmarkStart w:id="125" w:name="_Toc131186574"/>
      <w:r w:rsidRPr="00901194">
        <w:rPr>
          <w:b/>
          <w:bCs w:val="0"/>
          <w:noProof/>
        </w:rPr>
        <w:lastRenderedPageBreak/>
        <w:drawing>
          <wp:anchor distT="0" distB="0" distL="114300" distR="114300" simplePos="0" relativeHeight="251735040" behindDoc="0" locked="0" layoutInCell="1" allowOverlap="1" wp14:anchorId="1671C3AE" wp14:editId="3CA8FD3B">
            <wp:simplePos x="0" y="0"/>
            <wp:positionH relativeFrom="column">
              <wp:posOffset>1303282</wp:posOffset>
            </wp:positionH>
            <wp:positionV relativeFrom="paragraph">
              <wp:posOffset>328</wp:posOffset>
            </wp:positionV>
            <wp:extent cx="2490952" cy="7055590"/>
            <wp:effectExtent l="0" t="0" r="5080" b="0"/>
            <wp:wrapTopAndBottom/>
            <wp:docPr id="40" name="Graphic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pic:cNvPicPr/>
                  </pic:nvPicPr>
                  <pic:blipFill>
                    <a:blip r:embed="rId241">
                      <a:extLst>
                        <a:ext uri="{28A0092B-C50C-407E-A947-70E740481C1C}">
                          <a14:useLocalDpi xmlns:a14="http://schemas.microsoft.com/office/drawing/2010/main" val="0"/>
                        </a:ext>
                        <a:ext uri="{96DAC541-7B7A-43D3-8B79-37D633B846F1}">
                          <asvg:svgBlip xmlns:asvg="http://schemas.microsoft.com/office/drawing/2016/SVG/main" r:embed="rId242"/>
                        </a:ext>
                      </a:extLst>
                    </a:blip>
                    <a:stretch>
                      <a:fillRect/>
                    </a:stretch>
                  </pic:blipFill>
                  <pic:spPr>
                    <a:xfrm>
                      <a:off x="0" y="0"/>
                      <a:ext cx="2490952" cy="7055590"/>
                    </a:xfrm>
                    <a:prstGeom prst="rect">
                      <a:avLst/>
                    </a:prstGeom>
                  </pic:spPr>
                </pic:pic>
              </a:graphicData>
            </a:graphic>
          </wp:anchor>
        </w:drawing>
      </w:r>
      <w:r w:rsidRPr="00901194">
        <w:rPr>
          <w:b/>
          <w:bCs w:val="0"/>
        </w:rPr>
        <w:t>Figure S3.3: Differential impact of diet on alpha diversity of microbiota-modulated metabolites in the serum.</w:t>
      </w:r>
      <w:bookmarkEnd w:id="125"/>
    </w:p>
    <w:p w14:paraId="08C3CC40" w14:textId="790EEF12" w:rsidR="00B41086" w:rsidRPr="00901194" w:rsidRDefault="00B41086" w:rsidP="00A00839">
      <w:pPr>
        <w:rPr>
          <w:rFonts w:cs="Times New Roman"/>
        </w:rPr>
      </w:pPr>
    </w:p>
    <w:p w14:paraId="343AB769" w14:textId="7D1DF904" w:rsidR="00B41086" w:rsidRPr="00901194" w:rsidRDefault="006F3F6E" w:rsidP="00A00839">
      <w:pPr>
        <w:rPr>
          <w:rFonts w:cs="Times New Roman"/>
        </w:rPr>
      </w:pPr>
      <w:r w:rsidRPr="00901194">
        <w:rPr>
          <w:rFonts w:cs="Times New Roman"/>
          <w:noProof/>
        </w:rPr>
        <w:lastRenderedPageBreak/>
        <w:drawing>
          <wp:anchor distT="0" distB="0" distL="114300" distR="114300" simplePos="0" relativeHeight="251736064" behindDoc="0" locked="0" layoutInCell="1" allowOverlap="1" wp14:anchorId="79123CE1" wp14:editId="26183CBB">
            <wp:simplePos x="0" y="0"/>
            <wp:positionH relativeFrom="column">
              <wp:posOffset>1236412</wp:posOffset>
            </wp:positionH>
            <wp:positionV relativeFrom="paragraph">
              <wp:posOffset>401</wp:posOffset>
            </wp:positionV>
            <wp:extent cx="3168650" cy="8229600"/>
            <wp:effectExtent l="0" t="0" r="0" b="0"/>
            <wp:wrapTopAndBottom/>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243">
                      <a:extLst>
                        <a:ext uri="{28A0092B-C50C-407E-A947-70E740481C1C}">
                          <a14:useLocalDpi xmlns:a14="http://schemas.microsoft.com/office/drawing/2010/main" val="0"/>
                        </a:ext>
                        <a:ext uri="{96DAC541-7B7A-43D3-8B79-37D633B846F1}">
                          <asvg:svgBlip xmlns:asvg="http://schemas.microsoft.com/office/drawing/2016/SVG/main" r:embed="rId244"/>
                        </a:ext>
                      </a:extLst>
                    </a:blip>
                    <a:stretch>
                      <a:fillRect/>
                    </a:stretch>
                  </pic:blipFill>
                  <pic:spPr>
                    <a:xfrm>
                      <a:off x="0" y="0"/>
                      <a:ext cx="3168650" cy="8229600"/>
                    </a:xfrm>
                    <a:prstGeom prst="rect">
                      <a:avLst/>
                    </a:prstGeom>
                  </pic:spPr>
                </pic:pic>
              </a:graphicData>
            </a:graphic>
          </wp:anchor>
        </w:drawing>
      </w:r>
    </w:p>
    <w:p w14:paraId="63B44C24" w14:textId="77777777" w:rsidR="006F3F6E" w:rsidRPr="00901194" w:rsidRDefault="006F3F6E" w:rsidP="006F3F6E">
      <w:pPr>
        <w:pStyle w:val="CaptionJH"/>
        <w:spacing w:line="240" w:lineRule="auto"/>
      </w:pPr>
      <w:bookmarkStart w:id="126" w:name="_Toc131186575"/>
      <w:r w:rsidRPr="00901194">
        <w:rPr>
          <w:b/>
        </w:rPr>
        <w:lastRenderedPageBreak/>
        <w:t>Figure S3.4: Unique and overlapping metabolite features at differential levels between donors and diets in serum (UpSet plot).</w:t>
      </w:r>
      <w:bookmarkEnd w:id="126"/>
      <w:r w:rsidRPr="00901194">
        <w:t xml:space="preserve"> </w:t>
      </w:r>
    </w:p>
    <w:p w14:paraId="578878E0" w14:textId="6FCB421D" w:rsidR="006F3F6E" w:rsidRPr="00901194" w:rsidRDefault="006F3F6E" w:rsidP="00FA7ED2">
      <w:pPr>
        <w:spacing w:line="240" w:lineRule="auto"/>
        <w:rPr>
          <w:rFonts w:cs="Times New Roman"/>
          <w:i/>
          <w:iCs/>
        </w:rPr>
      </w:pPr>
      <w:r w:rsidRPr="00901194">
        <w:rPr>
          <w:rFonts w:cs="Times New Roman"/>
          <w:i/>
          <w:iCs/>
        </w:rPr>
        <w:t>Kruskal-Wallis, FDR-corrected, p&lt;0.05 and fold change ≥ 2. Figure subset to only include overlaps containing two or more features. Connected black circles represent experimental diet-donor pairs that had significantly modulated metabolite features in common (intersections between groups). Colored columns represent the number of microbiome-modulated metabolite features in each intersection, colored by Classyfire superclass. Row bars represent the number of metabolite features in a given set, for example 21 features that differed between SubC under a vegetable diet (SubC-V) and SubC under a whole grain diet (SubC-WG). Features whose differential abundance was characteristic of a given donor+diet combination is marked by gold boxes. Features whose differential abundance was characteristic of the whole grain diet are marked by a red box. V, vegetable; L, legume; WG, whole grain diets. Last row (subB-L &amp; subB-V) is empty because only overlaps of &gt;2 metabolite features are shown here.</w:t>
      </w:r>
    </w:p>
    <w:p w14:paraId="144103BE" w14:textId="77777777" w:rsidR="00B41086" w:rsidRPr="00901194" w:rsidRDefault="00B41086" w:rsidP="00A00839">
      <w:pPr>
        <w:rPr>
          <w:rFonts w:cs="Times New Roman"/>
        </w:rPr>
      </w:pPr>
    </w:p>
    <w:p w14:paraId="4C472495" w14:textId="0ACE3561" w:rsidR="00AD3198" w:rsidRPr="00901194" w:rsidRDefault="004B5CF6" w:rsidP="00426796">
      <w:pPr>
        <w:spacing w:line="259" w:lineRule="auto"/>
        <w:rPr>
          <w:rFonts w:cs="Times New Roman"/>
        </w:rPr>
      </w:pPr>
      <w:r w:rsidRPr="00901194">
        <w:rPr>
          <w:rFonts w:cs="Times New Roman"/>
        </w:rPr>
        <w:br w:type="page"/>
      </w:r>
      <w:bookmarkStart w:id="127" w:name="_Toc131186576"/>
    </w:p>
    <w:p w14:paraId="46B33EA8" w14:textId="17B598DF" w:rsidR="005C1FA5" w:rsidRPr="00901194" w:rsidRDefault="005C1FA5" w:rsidP="005C1FA5">
      <w:pPr>
        <w:pStyle w:val="ChapterHeading1"/>
      </w:pPr>
      <w:bookmarkStart w:id="128" w:name="_Toc134186004"/>
      <w:bookmarkEnd w:id="127"/>
      <w:r w:rsidRPr="00901194">
        <w:lastRenderedPageBreak/>
        <w:t>Supplementary Material C</w:t>
      </w:r>
      <w:bookmarkEnd w:id="128"/>
    </w:p>
    <w:p w14:paraId="41DDFEFB" w14:textId="6D82F185" w:rsidR="005C1FA5" w:rsidRPr="00901194" w:rsidRDefault="005C1FA5" w:rsidP="005C1FA5">
      <w:pPr>
        <w:pStyle w:val="Sub-ChapterHading"/>
      </w:pPr>
      <w:bookmarkStart w:id="129" w:name="_Toc134186005"/>
      <w:r w:rsidRPr="00901194">
        <w:t>Author List and Affiliations</w:t>
      </w:r>
      <w:bookmarkEnd w:id="129"/>
    </w:p>
    <w:p w14:paraId="7545B120" w14:textId="77777777" w:rsidR="00C137B9" w:rsidRPr="00901194" w:rsidRDefault="00C137B9" w:rsidP="00C137B9">
      <w:pPr>
        <w:rPr>
          <w:rFonts w:cs="Times New Roman"/>
        </w:rPr>
      </w:pPr>
      <w:r w:rsidRPr="00901194">
        <w:rPr>
          <w:rFonts w:cs="Times New Roman"/>
        </w:rPr>
        <w:t>Jacob J. Haffner</w:t>
      </w:r>
      <w:r w:rsidRPr="00901194">
        <w:rPr>
          <w:rFonts w:cs="Times New Roman"/>
          <w:vertAlign w:val="superscript"/>
        </w:rPr>
        <w:t>1,2</w:t>
      </w:r>
      <w:r w:rsidRPr="00901194">
        <w:rPr>
          <w:rFonts w:cs="Times New Roman"/>
        </w:rPr>
        <w:t>, Keith M. Prufer</w:t>
      </w:r>
      <w:r w:rsidRPr="00901194">
        <w:rPr>
          <w:rFonts w:cs="Times New Roman"/>
          <w:vertAlign w:val="superscript"/>
        </w:rPr>
        <w:t>3</w:t>
      </w:r>
      <w:r w:rsidRPr="00901194">
        <w:rPr>
          <w:rFonts w:cs="Times New Roman"/>
        </w:rPr>
        <w:t>, Hannah V. Mattson</w:t>
      </w:r>
      <w:r w:rsidRPr="00901194">
        <w:rPr>
          <w:rFonts w:cs="Times New Roman"/>
          <w:vertAlign w:val="superscript"/>
        </w:rPr>
        <w:t>3</w:t>
      </w:r>
      <w:r w:rsidRPr="00901194">
        <w:rPr>
          <w:rFonts w:cs="Times New Roman"/>
        </w:rPr>
        <w:t>, Kari L. Schleher</w:t>
      </w:r>
      <w:r w:rsidRPr="00901194">
        <w:rPr>
          <w:rFonts w:cs="Times New Roman"/>
          <w:vertAlign w:val="superscript"/>
        </w:rPr>
        <w:t>3,4,5</w:t>
      </w:r>
      <w:r w:rsidRPr="00901194">
        <w:rPr>
          <w:rFonts w:cs="Times New Roman"/>
        </w:rPr>
        <w:t>, Roxanne Swentzell</w:t>
      </w:r>
      <w:r w:rsidRPr="00901194">
        <w:rPr>
          <w:rFonts w:cs="Times New Roman"/>
          <w:vertAlign w:val="superscript"/>
        </w:rPr>
        <w:t>6</w:t>
      </w:r>
      <w:r w:rsidRPr="00901194">
        <w:rPr>
          <w:rFonts w:cs="Times New Roman"/>
        </w:rPr>
        <w:t>, Horvey Palacios</w:t>
      </w:r>
      <w:r w:rsidRPr="00901194">
        <w:rPr>
          <w:rFonts w:cs="Times New Roman"/>
          <w:vertAlign w:val="superscript"/>
        </w:rPr>
        <w:t>1,2</w:t>
      </w:r>
      <w:r w:rsidRPr="00901194">
        <w:rPr>
          <w:rFonts w:cs="Times New Roman"/>
        </w:rPr>
        <w:t>, Nadia Neff</w:t>
      </w:r>
      <w:r w:rsidRPr="00901194">
        <w:rPr>
          <w:rFonts w:cs="Times New Roman"/>
          <w:vertAlign w:val="superscript"/>
        </w:rPr>
        <w:t>3</w:t>
      </w:r>
      <w:r w:rsidRPr="00901194">
        <w:rPr>
          <w:rFonts w:cs="Times New Roman"/>
        </w:rPr>
        <w:t>, Jose Mes</w:t>
      </w:r>
      <w:r w:rsidRPr="00901194">
        <w:rPr>
          <w:rFonts w:cs="Times New Roman"/>
          <w:vertAlign w:val="superscript"/>
        </w:rPr>
        <w:t>7</w:t>
      </w:r>
      <w:r w:rsidRPr="00901194">
        <w:rPr>
          <w:rFonts w:cs="Times New Roman"/>
        </w:rPr>
        <w:t>, Christina Warinner</w:t>
      </w:r>
      <w:r w:rsidRPr="00901194">
        <w:rPr>
          <w:rFonts w:cs="Times New Roman"/>
          <w:vertAlign w:val="superscript"/>
        </w:rPr>
        <w:t>8</w:t>
      </w:r>
      <w:r w:rsidRPr="00901194">
        <w:rPr>
          <w:rFonts w:cs="Times New Roman"/>
        </w:rPr>
        <w:t>, Laura-Isobel McCall</w:t>
      </w:r>
      <w:r w:rsidRPr="00901194">
        <w:rPr>
          <w:rFonts w:cs="Times New Roman"/>
          <w:vertAlign w:val="superscript"/>
        </w:rPr>
        <w:t>2,9,10</w:t>
      </w:r>
      <w:r w:rsidRPr="00901194">
        <w:rPr>
          <w:rFonts w:cs="Times New Roman"/>
        </w:rPr>
        <w:t>, Cecil M. Lewis, Jr.</w:t>
      </w:r>
      <w:r w:rsidRPr="00901194">
        <w:rPr>
          <w:rFonts w:cs="Times New Roman"/>
          <w:vertAlign w:val="superscript"/>
        </w:rPr>
        <w:t>1,2</w:t>
      </w:r>
      <w:r w:rsidRPr="00901194">
        <w:rPr>
          <w:rFonts w:cs="Times New Roman"/>
        </w:rPr>
        <w:t xml:space="preserve"> </w:t>
      </w:r>
    </w:p>
    <w:p w14:paraId="2C6E068A" w14:textId="77777777" w:rsidR="00C137B9" w:rsidRPr="00901194" w:rsidRDefault="00C137B9" w:rsidP="00C137B9">
      <w:pPr>
        <w:rPr>
          <w:rFonts w:cs="Times New Roman"/>
        </w:rPr>
      </w:pPr>
      <w:r w:rsidRPr="00901194">
        <w:rPr>
          <w:rFonts w:cs="Times New Roman"/>
          <w:vertAlign w:val="superscript"/>
        </w:rPr>
        <w:t>1</w:t>
      </w:r>
      <w:r w:rsidRPr="00901194">
        <w:rPr>
          <w:rFonts w:cs="Times New Roman"/>
        </w:rPr>
        <w:t xml:space="preserve">Department of Anthropology, University of Oklahoma, Norman, OK, USA. </w:t>
      </w:r>
    </w:p>
    <w:p w14:paraId="071864AF" w14:textId="77777777" w:rsidR="00C137B9" w:rsidRPr="00901194" w:rsidRDefault="00C137B9" w:rsidP="00C137B9">
      <w:pPr>
        <w:rPr>
          <w:rFonts w:cs="Times New Roman"/>
        </w:rPr>
      </w:pPr>
      <w:r w:rsidRPr="00901194">
        <w:rPr>
          <w:rFonts w:cs="Times New Roman"/>
          <w:vertAlign w:val="superscript"/>
        </w:rPr>
        <w:t>2</w:t>
      </w:r>
      <w:r w:rsidRPr="00901194">
        <w:rPr>
          <w:rFonts w:cs="Times New Roman"/>
        </w:rPr>
        <w:t xml:space="preserve">Laboratories of Molecular Anthropology and Microbiome Research, University of Oklahoma, Norman, OK, USA. </w:t>
      </w:r>
    </w:p>
    <w:p w14:paraId="70F38F07" w14:textId="77777777" w:rsidR="00C137B9" w:rsidRPr="00901194" w:rsidRDefault="00C137B9" w:rsidP="00C137B9">
      <w:pPr>
        <w:rPr>
          <w:rFonts w:cs="Times New Roman"/>
        </w:rPr>
      </w:pPr>
      <w:r w:rsidRPr="00901194">
        <w:rPr>
          <w:rFonts w:cs="Times New Roman"/>
          <w:vertAlign w:val="superscript"/>
        </w:rPr>
        <w:t>3</w:t>
      </w:r>
      <w:r w:rsidRPr="00901194">
        <w:rPr>
          <w:rFonts w:cs="Times New Roman"/>
        </w:rPr>
        <w:t>Department of Anthropology, University of New Mexico, Albuquerque, NM, USA.</w:t>
      </w:r>
    </w:p>
    <w:p w14:paraId="74DAFB94" w14:textId="77777777" w:rsidR="00C137B9" w:rsidRPr="00901194" w:rsidRDefault="00C137B9" w:rsidP="00C137B9">
      <w:pPr>
        <w:rPr>
          <w:rFonts w:cs="Times New Roman"/>
        </w:rPr>
      </w:pPr>
      <w:r w:rsidRPr="00901194">
        <w:rPr>
          <w:rFonts w:cs="Times New Roman"/>
          <w:vertAlign w:val="superscript"/>
        </w:rPr>
        <w:t>4</w:t>
      </w:r>
      <w:r w:rsidRPr="00901194">
        <w:rPr>
          <w:rFonts w:cs="Times New Roman"/>
        </w:rPr>
        <w:t>Maxwell Museum of Anthropology, University of New Mexico, Albuquerque, NM, USA.</w:t>
      </w:r>
    </w:p>
    <w:p w14:paraId="329534B6" w14:textId="77777777" w:rsidR="00C137B9" w:rsidRPr="00901194" w:rsidRDefault="00C137B9" w:rsidP="00C137B9">
      <w:pPr>
        <w:rPr>
          <w:rFonts w:cs="Times New Roman"/>
        </w:rPr>
      </w:pPr>
      <w:r w:rsidRPr="00901194">
        <w:rPr>
          <w:rFonts w:cs="Times New Roman"/>
          <w:vertAlign w:val="superscript"/>
        </w:rPr>
        <w:t>5</w:t>
      </w:r>
      <w:r w:rsidRPr="00901194">
        <w:rPr>
          <w:rFonts w:cs="Times New Roman"/>
        </w:rPr>
        <w:t xml:space="preserve">Crow Canyon Archaeological Center, Cortez, CO, USA. </w:t>
      </w:r>
    </w:p>
    <w:p w14:paraId="15423E33" w14:textId="77777777" w:rsidR="00C137B9" w:rsidRPr="00901194" w:rsidRDefault="00C137B9" w:rsidP="00C137B9">
      <w:pPr>
        <w:rPr>
          <w:rFonts w:cs="Times New Roman"/>
        </w:rPr>
      </w:pPr>
      <w:r w:rsidRPr="00901194">
        <w:rPr>
          <w:rFonts w:cs="Times New Roman"/>
          <w:vertAlign w:val="superscript"/>
        </w:rPr>
        <w:t>6</w:t>
      </w:r>
      <w:r w:rsidRPr="00901194">
        <w:rPr>
          <w:rFonts w:cs="Times New Roman"/>
        </w:rPr>
        <w:t xml:space="preserve">Flowering Tree Permaculture Institute, Española, NM, USA. </w:t>
      </w:r>
    </w:p>
    <w:p w14:paraId="533DC788" w14:textId="77777777" w:rsidR="00C137B9" w:rsidRPr="00901194" w:rsidRDefault="00C137B9" w:rsidP="00C137B9">
      <w:pPr>
        <w:rPr>
          <w:rFonts w:cs="Times New Roman"/>
        </w:rPr>
      </w:pPr>
      <w:r w:rsidRPr="00901194">
        <w:rPr>
          <w:rFonts w:cs="Times New Roman"/>
          <w:vertAlign w:val="superscript"/>
        </w:rPr>
        <w:t>7</w:t>
      </w:r>
      <w:r w:rsidRPr="00901194">
        <w:rPr>
          <w:rFonts w:cs="Times New Roman"/>
        </w:rPr>
        <w:t xml:space="preserve">Uchben'kaj Kin Ajaw Association, Santa Cruz, Belize. </w:t>
      </w:r>
    </w:p>
    <w:p w14:paraId="570BDCE6" w14:textId="77777777" w:rsidR="00C137B9" w:rsidRPr="00901194" w:rsidRDefault="00C137B9" w:rsidP="00C137B9">
      <w:pPr>
        <w:rPr>
          <w:rFonts w:cs="Times New Roman"/>
        </w:rPr>
      </w:pPr>
      <w:r w:rsidRPr="00901194">
        <w:rPr>
          <w:rFonts w:cs="Times New Roman"/>
          <w:vertAlign w:val="superscript"/>
        </w:rPr>
        <w:t>8</w:t>
      </w:r>
      <w:r w:rsidRPr="00901194">
        <w:rPr>
          <w:rFonts w:cs="Times New Roman"/>
        </w:rPr>
        <w:t xml:space="preserve">Department of Anthropology, Harvard University, Cambridge, MA, USA.  </w:t>
      </w:r>
    </w:p>
    <w:p w14:paraId="34812138" w14:textId="77777777" w:rsidR="00C137B9" w:rsidRPr="00901194" w:rsidRDefault="00C137B9" w:rsidP="00C137B9">
      <w:pPr>
        <w:rPr>
          <w:rFonts w:cs="Times New Roman"/>
        </w:rPr>
      </w:pPr>
      <w:r w:rsidRPr="00901194">
        <w:rPr>
          <w:rFonts w:cs="Times New Roman"/>
          <w:vertAlign w:val="superscript"/>
        </w:rPr>
        <w:t>9</w:t>
      </w:r>
      <w:r w:rsidRPr="00901194">
        <w:rPr>
          <w:rFonts w:cs="Times New Roman"/>
        </w:rPr>
        <w:t>Department of Chemistry and Biochemistry, University of Oklahoma, Norman, OK, USA.</w:t>
      </w:r>
    </w:p>
    <w:p w14:paraId="46BC6BE0" w14:textId="77777777" w:rsidR="00C137B9" w:rsidRPr="00901194" w:rsidRDefault="00C137B9" w:rsidP="00C137B9">
      <w:pPr>
        <w:rPr>
          <w:rFonts w:cs="Times New Roman"/>
        </w:rPr>
      </w:pPr>
      <w:r w:rsidRPr="00901194">
        <w:rPr>
          <w:rFonts w:cs="Times New Roman"/>
          <w:vertAlign w:val="superscript"/>
        </w:rPr>
        <w:t>10</w:t>
      </w:r>
      <w:r w:rsidRPr="00901194">
        <w:rPr>
          <w:rFonts w:cs="Times New Roman"/>
        </w:rPr>
        <w:t xml:space="preserve">Department of Microbiology and Plant Biology, University of Oklahoma, Norman, OK, USA. </w:t>
      </w:r>
    </w:p>
    <w:p w14:paraId="0FDD22BF" w14:textId="7F7379EF" w:rsidR="00C137B9" w:rsidRPr="00901194" w:rsidRDefault="00C137B9" w:rsidP="00C137B9">
      <w:pPr>
        <w:pStyle w:val="Sub-ChapterHading"/>
      </w:pPr>
      <w:bookmarkStart w:id="130" w:name="_Toc134186006"/>
      <w:r w:rsidRPr="00901194">
        <w:lastRenderedPageBreak/>
        <w:t>Author Contributions</w:t>
      </w:r>
      <w:bookmarkEnd w:id="130"/>
    </w:p>
    <w:p w14:paraId="0F48FE93" w14:textId="1DA7EB5D" w:rsidR="00C137B9" w:rsidRPr="00901194" w:rsidRDefault="00C137B9" w:rsidP="00C137B9">
      <w:pPr>
        <w:rPr>
          <w:rFonts w:cs="Times New Roman"/>
        </w:rPr>
      </w:pPr>
      <w:r w:rsidRPr="00901194">
        <w:rPr>
          <w:rFonts w:cs="Times New Roman"/>
        </w:rPr>
        <w:tab/>
        <w:t>C.M.L, T.W., and K.M.P. conceived and designed the study. C.W. led Mexico sample collection</w:t>
      </w:r>
      <w:r w:rsidR="00E74F43" w:rsidRPr="00901194">
        <w:rPr>
          <w:rFonts w:cs="Times New Roman"/>
        </w:rPr>
        <w:t xml:space="preserve"> and handled sample treatment, including subsampling, and storage</w:t>
      </w:r>
      <w:r w:rsidRPr="00901194">
        <w:rPr>
          <w:rFonts w:cs="Times New Roman"/>
        </w:rPr>
        <w:t xml:space="preserve">. J.J.H, H.V.M., and K.L.S. collected New Mexico samples under direction and guidance from R.S. </w:t>
      </w:r>
      <w:r w:rsidR="00E74F43" w:rsidRPr="00901194">
        <w:rPr>
          <w:rFonts w:cs="Times New Roman"/>
        </w:rPr>
        <w:t xml:space="preserve">J.J.H. led New Mexico sample treatment, including aliquoting and storage. </w:t>
      </w:r>
      <w:r w:rsidRPr="00901194">
        <w:rPr>
          <w:rFonts w:cs="Times New Roman"/>
        </w:rPr>
        <w:t xml:space="preserve">K.M.P. and N.N. collected Southern Belize samples </w:t>
      </w:r>
      <w:r w:rsidR="00EB6279" w:rsidRPr="00901194">
        <w:rPr>
          <w:rFonts w:cs="Times New Roman"/>
        </w:rPr>
        <w:t>with direction and support</w:t>
      </w:r>
      <w:r w:rsidRPr="00901194">
        <w:rPr>
          <w:rFonts w:cs="Times New Roman"/>
        </w:rPr>
        <w:t xml:space="preserve"> from J.M. </w:t>
      </w:r>
      <w:r w:rsidR="00E74F43" w:rsidRPr="00901194">
        <w:rPr>
          <w:rFonts w:cs="Times New Roman"/>
        </w:rPr>
        <w:t xml:space="preserve">N.N. and H.P. led Southern Belize sample prep, including subsampling and storage. C.M.L. provided funding support to work with samples and L.-I.M. provided </w:t>
      </w:r>
      <w:r w:rsidR="001A4F8C" w:rsidRPr="00901194">
        <w:rPr>
          <w:rFonts w:cs="Times New Roman"/>
        </w:rPr>
        <w:t>laboratory and LC-MS/MS resources</w:t>
      </w:r>
      <w:r w:rsidR="00E74F43" w:rsidRPr="00901194">
        <w:rPr>
          <w:rFonts w:cs="Times New Roman"/>
        </w:rPr>
        <w:t xml:space="preserve">. </w:t>
      </w:r>
      <w:r w:rsidR="00946958" w:rsidRPr="00901194">
        <w:rPr>
          <w:rFonts w:cs="Times New Roman"/>
        </w:rPr>
        <w:t xml:space="preserve">J.J.H. </w:t>
      </w:r>
      <w:r w:rsidR="00E74F43" w:rsidRPr="00901194">
        <w:rPr>
          <w:rFonts w:cs="Times New Roman"/>
        </w:rPr>
        <w:t xml:space="preserve">performed laboratory experimentation involving metabolite extraction and </w:t>
      </w:r>
      <w:r w:rsidR="00946958" w:rsidRPr="00901194">
        <w:rPr>
          <w:rFonts w:cs="Times New Roman"/>
        </w:rPr>
        <w:t>conducted LC-MS/MS under direction from L.-I.M.</w:t>
      </w:r>
      <w:r w:rsidR="00E74F43" w:rsidRPr="00901194">
        <w:rPr>
          <w:rFonts w:cs="Times New Roman"/>
        </w:rPr>
        <w:t xml:space="preserve"> J.J.H.</w:t>
      </w:r>
      <w:r w:rsidR="00946958" w:rsidRPr="00901194">
        <w:rPr>
          <w:rFonts w:cs="Times New Roman"/>
        </w:rPr>
        <w:t xml:space="preserve"> handled data analysis under guidance from L.-I.M. and C.M.L.</w:t>
      </w:r>
      <w:r w:rsidR="00E74F43" w:rsidRPr="00901194">
        <w:rPr>
          <w:rFonts w:cs="Times New Roman"/>
        </w:rPr>
        <w:t xml:space="preserve"> Manuscript was written by J.J.H. with assistance from C.M.L.</w:t>
      </w:r>
    </w:p>
    <w:p w14:paraId="3E51A54E" w14:textId="16CEB78C" w:rsidR="00C137B9" w:rsidRPr="00901194" w:rsidRDefault="00C137B9" w:rsidP="00C137B9">
      <w:pPr>
        <w:pStyle w:val="Sub-ChapterHading"/>
      </w:pPr>
      <w:bookmarkStart w:id="131" w:name="_Toc134186007"/>
      <w:r w:rsidRPr="00901194">
        <w:t>Acknowledgements</w:t>
      </w:r>
      <w:bookmarkEnd w:id="131"/>
    </w:p>
    <w:p w14:paraId="5FA16A60" w14:textId="28E5372E" w:rsidR="00DA0ACD" w:rsidRPr="00901194" w:rsidRDefault="00DA0ACD" w:rsidP="00DA0ACD">
      <w:pPr>
        <w:ind w:firstLine="720"/>
        <w:rPr>
          <w:rFonts w:cs="Times New Roman"/>
        </w:rPr>
      </w:pPr>
      <w:r w:rsidRPr="00901194">
        <w:rPr>
          <w:rFonts w:cs="Times New Roman"/>
        </w:rPr>
        <w:t>We thank the Flowering Tree Permaculture Institute, Albuquerque Plants of the Southwest plant nursery, Oaxaca City Mercado Benito Juárez, Oaxaca Tlacolula market, Villahermosa market, Bladen Nature Reserve, and Santa Cruz Village Toledo district for their support and contributing samples for this project. We also thank the McCall Lab at OU for providing resources for laboratory and mass spectrometry analyses.</w:t>
      </w:r>
    </w:p>
    <w:p w14:paraId="6E4A17DC" w14:textId="77777777" w:rsidR="00FE727D" w:rsidRPr="00901194" w:rsidRDefault="003748DA" w:rsidP="00DA0ACD">
      <w:pPr>
        <w:rPr>
          <w:rFonts w:cs="Times New Roman"/>
        </w:rPr>
        <w:sectPr w:rsidR="00FE727D" w:rsidRPr="00901194" w:rsidSect="00274ADB">
          <w:footerReference w:type="default" r:id="rId245"/>
          <w:pgSz w:w="12240" w:h="15840"/>
          <w:pgMar w:top="1440" w:right="1440" w:bottom="1440" w:left="1440" w:header="720" w:footer="720" w:gutter="0"/>
          <w:cols w:space="720"/>
          <w:docGrid w:linePitch="360"/>
        </w:sectPr>
      </w:pPr>
      <w:r w:rsidRPr="00901194">
        <w:rPr>
          <w:rFonts w:cs="Times New Roman"/>
        </w:rPr>
        <w:br w:type="page"/>
      </w:r>
    </w:p>
    <w:p w14:paraId="7C7819EA" w14:textId="14788EFF" w:rsidR="003748DA" w:rsidRPr="00901194" w:rsidRDefault="003748DA" w:rsidP="00DA0ACD">
      <w:pPr>
        <w:rPr>
          <w:rFonts w:cs="Times New Roman"/>
        </w:rPr>
      </w:pPr>
    </w:p>
    <w:p w14:paraId="67D73546" w14:textId="7C73A2D2" w:rsidR="00C137B9" w:rsidRPr="00901194" w:rsidRDefault="00C137B9" w:rsidP="00C137B9">
      <w:pPr>
        <w:pStyle w:val="Sub-ChapterHading"/>
      </w:pPr>
      <w:bookmarkStart w:id="132" w:name="_Toc134186008"/>
      <w:r w:rsidRPr="00901194">
        <w:t>Supplementary Table 4.1</w:t>
      </w:r>
      <w:bookmarkEnd w:id="132"/>
    </w:p>
    <w:p w14:paraId="4C4AB6E2" w14:textId="6A0BF587" w:rsidR="00966934" w:rsidRPr="00901194" w:rsidRDefault="00966934" w:rsidP="00966934">
      <w:pPr>
        <w:pStyle w:val="CaptionJH"/>
        <w:spacing w:line="240" w:lineRule="auto"/>
        <w:rPr>
          <w:b/>
          <w:bCs w:val="0"/>
        </w:rPr>
      </w:pPr>
      <w:bookmarkStart w:id="133" w:name="_Toc131186577"/>
      <w:r w:rsidRPr="00901194">
        <w:rPr>
          <w:b/>
          <w:bCs w:val="0"/>
        </w:rPr>
        <w:t>Table S4.1: Sampled plant/diet list.</w:t>
      </w:r>
      <w:bookmarkEnd w:id="133"/>
    </w:p>
    <w:p w14:paraId="605802B2" w14:textId="0F4B39CB" w:rsidR="00966934" w:rsidRPr="00901194" w:rsidRDefault="00966934" w:rsidP="00FA7ED2">
      <w:pPr>
        <w:spacing w:line="240" w:lineRule="auto"/>
        <w:rPr>
          <w:rFonts w:cs="Times New Roman"/>
          <w:i/>
          <w:iCs/>
        </w:rPr>
      </w:pPr>
      <w:r w:rsidRPr="00901194">
        <w:rPr>
          <w:rFonts w:cs="Times New Roman"/>
          <w:i/>
          <w:iCs/>
        </w:rPr>
        <w:t>“SO” represents Summer Oaxaca, “WO” represents Winter Oaxaca, “_F” represents a fruit sample, “_S” represents a seed sample, “SV” represents Summer Villahermosa, “NM.FT” represents New Mexico Flowering Tree, “NM.PSW” represents New Mexico Plants of the Southwest, and “SB” represents Southern Belize.</w:t>
      </w:r>
      <w:r w:rsidR="00FA7ED2" w:rsidRPr="00901194">
        <w:rPr>
          <w:rFonts w:cs="Times New Roman"/>
          <w:i/>
          <w:iCs/>
        </w:rPr>
        <w:t xml:space="preserve"> “NA” values represent values not available</w:t>
      </w:r>
      <w:r w:rsidR="00F75C51" w:rsidRPr="00901194">
        <w:rPr>
          <w:rFonts w:cs="Times New Roman"/>
          <w:i/>
          <w:iCs/>
        </w:rPr>
        <w:t>.</w:t>
      </w:r>
    </w:p>
    <w:tbl>
      <w:tblPr>
        <w:tblStyle w:val="TableGrid"/>
        <w:tblW w:w="12298" w:type="dxa"/>
        <w:tblLayout w:type="fixed"/>
        <w:tblLook w:val="04A0" w:firstRow="1" w:lastRow="0" w:firstColumn="1" w:lastColumn="0" w:noHBand="0" w:noVBand="1"/>
      </w:tblPr>
      <w:tblGrid>
        <w:gridCol w:w="1697"/>
        <w:gridCol w:w="1530"/>
        <w:gridCol w:w="2438"/>
        <w:gridCol w:w="1108"/>
        <w:gridCol w:w="2622"/>
        <w:gridCol w:w="1440"/>
        <w:gridCol w:w="1463"/>
      </w:tblGrid>
      <w:tr w:rsidR="00796762" w:rsidRPr="00901194" w14:paraId="6CB8775E" w14:textId="77777777" w:rsidTr="00391854">
        <w:trPr>
          <w:trHeight w:val="585"/>
        </w:trPr>
        <w:tc>
          <w:tcPr>
            <w:tcW w:w="1697" w:type="dxa"/>
            <w:hideMark/>
          </w:tcPr>
          <w:p w14:paraId="09FA04F1" w14:textId="77777777" w:rsidR="000A152B" w:rsidRPr="00901194" w:rsidRDefault="000A152B">
            <w:pPr>
              <w:spacing w:line="240" w:lineRule="auto"/>
              <w:rPr>
                <w:rFonts w:cs="Times New Roman"/>
                <w:b/>
                <w:bCs/>
              </w:rPr>
            </w:pPr>
            <w:r w:rsidRPr="00901194">
              <w:rPr>
                <w:rFonts w:cs="Times New Roman"/>
                <w:b/>
                <w:bCs/>
              </w:rPr>
              <w:t>SampleID</w:t>
            </w:r>
          </w:p>
        </w:tc>
        <w:tc>
          <w:tcPr>
            <w:tcW w:w="1530" w:type="dxa"/>
            <w:hideMark/>
          </w:tcPr>
          <w:p w14:paraId="579C45DA" w14:textId="77777777" w:rsidR="000A152B" w:rsidRPr="00901194" w:rsidRDefault="000A152B" w:rsidP="000A152B">
            <w:pPr>
              <w:spacing w:line="240" w:lineRule="auto"/>
              <w:rPr>
                <w:rFonts w:cs="Times New Roman"/>
                <w:b/>
                <w:bCs/>
              </w:rPr>
            </w:pPr>
            <w:r w:rsidRPr="00901194">
              <w:rPr>
                <w:rFonts w:cs="Times New Roman"/>
                <w:b/>
                <w:bCs/>
              </w:rPr>
              <w:t>Common name</w:t>
            </w:r>
          </w:p>
        </w:tc>
        <w:tc>
          <w:tcPr>
            <w:tcW w:w="2438" w:type="dxa"/>
            <w:hideMark/>
          </w:tcPr>
          <w:p w14:paraId="21308DCB" w14:textId="77777777" w:rsidR="000A152B" w:rsidRPr="00901194" w:rsidRDefault="000A152B" w:rsidP="000A152B">
            <w:pPr>
              <w:spacing w:line="240" w:lineRule="auto"/>
              <w:rPr>
                <w:rFonts w:cs="Times New Roman"/>
                <w:b/>
                <w:bCs/>
              </w:rPr>
            </w:pPr>
            <w:r w:rsidRPr="00901194">
              <w:rPr>
                <w:rFonts w:cs="Times New Roman"/>
                <w:b/>
                <w:bCs/>
              </w:rPr>
              <w:t>Taxonomy</w:t>
            </w:r>
          </w:p>
        </w:tc>
        <w:tc>
          <w:tcPr>
            <w:tcW w:w="1108" w:type="dxa"/>
            <w:hideMark/>
          </w:tcPr>
          <w:p w14:paraId="5EBC772A" w14:textId="77777777" w:rsidR="000A152B" w:rsidRPr="00901194" w:rsidRDefault="000A152B" w:rsidP="000A152B">
            <w:pPr>
              <w:spacing w:line="240" w:lineRule="auto"/>
              <w:rPr>
                <w:rFonts w:cs="Times New Roman"/>
                <w:b/>
                <w:bCs/>
              </w:rPr>
            </w:pPr>
            <w:r w:rsidRPr="00901194">
              <w:rPr>
                <w:rFonts w:cs="Times New Roman"/>
                <w:b/>
                <w:bCs/>
              </w:rPr>
              <w:t>Region</w:t>
            </w:r>
          </w:p>
        </w:tc>
        <w:tc>
          <w:tcPr>
            <w:tcW w:w="2622" w:type="dxa"/>
            <w:hideMark/>
          </w:tcPr>
          <w:p w14:paraId="7F347EF7" w14:textId="77777777" w:rsidR="000A152B" w:rsidRPr="00901194" w:rsidRDefault="000A152B" w:rsidP="000A152B">
            <w:pPr>
              <w:spacing w:line="240" w:lineRule="auto"/>
              <w:rPr>
                <w:rFonts w:cs="Times New Roman"/>
                <w:b/>
                <w:bCs/>
              </w:rPr>
            </w:pPr>
            <w:r w:rsidRPr="00901194">
              <w:rPr>
                <w:rFonts w:cs="Times New Roman"/>
                <w:b/>
                <w:bCs/>
              </w:rPr>
              <w:t>Site</w:t>
            </w:r>
          </w:p>
        </w:tc>
        <w:tc>
          <w:tcPr>
            <w:tcW w:w="1440" w:type="dxa"/>
            <w:hideMark/>
          </w:tcPr>
          <w:p w14:paraId="1BF7BB79" w14:textId="77777777" w:rsidR="000A152B" w:rsidRPr="00901194" w:rsidRDefault="000A152B" w:rsidP="000A152B">
            <w:pPr>
              <w:spacing w:line="240" w:lineRule="auto"/>
              <w:rPr>
                <w:rFonts w:cs="Times New Roman"/>
                <w:b/>
                <w:bCs/>
              </w:rPr>
            </w:pPr>
            <w:r w:rsidRPr="00901194">
              <w:rPr>
                <w:rFonts w:cs="Times New Roman"/>
                <w:b/>
                <w:bCs/>
              </w:rPr>
              <w:t>Botanical Part</w:t>
            </w:r>
          </w:p>
        </w:tc>
        <w:tc>
          <w:tcPr>
            <w:tcW w:w="1463" w:type="dxa"/>
            <w:hideMark/>
          </w:tcPr>
          <w:p w14:paraId="09DFE09C" w14:textId="4EBE2C7D" w:rsidR="000A152B" w:rsidRPr="00901194" w:rsidRDefault="000A152B" w:rsidP="000A152B">
            <w:pPr>
              <w:spacing w:line="240" w:lineRule="auto"/>
              <w:rPr>
                <w:rFonts w:cs="Times New Roman"/>
                <w:b/>
                <w:bCs/>
              </w:rPr>
            </w:pPr>
            <w:r w:rsidRPr="00901194">
              <w:rPr>
                <w:rFonts w:cs="Times New Roman"/>
                <w:b/>
                <w:bCs/>
              </w:rPr>
              <w:t>Year</w:t>
            </w:r>
          </w:p>
        </w:tc>
      </w:tr>
      <w:tr w:rsidR="00796762" w:rsidRPr="00901194" w14:paraId="46577CC4" w14:textId="77777777" w:rsidTr="00391854">
        <w:trPr>
          <w:trHeight w:val="300"/>
        </w:trPr>
        <w:tc>
          <w:tcPr>
            <w:tcW w:w="1697" w:type="dxa"/>
            <w:hideMark/>
          </w:tcPr>
          <w:p w14:paraId="7BC841EA" w14:textId="77777777" w:rsidR="000A152B" w:rsidRPr="00901194" w:rsidRDefault="000A152B" w:rsidP="000A152B">
            <w:pPr>
              <w:spacing w:line="240" w:lineRule="auto"/>
              <w:rPr>
                <w:rFonts w:cs="Times New Roman"/>
              </w:rPr>
            </w:pPr>
            <w:r w:rsidRPr="00901194">
              <w:rPr>
                <w:rFonts w:cs="Times New Roman"/>
              </w:rPr>
              <w:t>SO01</w:t>
            </w:r>
          </w:p>
        </w:tc>
        <w:tc>
          <w:tcPr>
            <w:tcW w:w="1530" w:type="dxa"/>
            <w:hideMark/>
          </w:tcPr>
          <w:p w14:paraId="4C959615" w14:textId="77777777" w:rsidR="000A152B" w:rsidRPr="00901194" w:rsidRDefault="000A152B" w:rsidP="000A152B">
            <w:pPr>
              <w:spacing w:line="240" w:lineRule="auto"/>
              <w:rPr>
                <w:rFonts w:cs="Times New Roman"/>
              </w:rPr>
            </w:pPr>
            <w:r w:rsidRPr="00901194">
              <w:rPr>
                <w:rFonts w:cs="Times New Roman"/>
              </w:rPr>
              <w:t>Chile pulla</w:t>
            </w:r>
          </w:p>
        </w:tc>
        <w:tc>
          <w:tcPr>
            <w:tcW w:w="2438" w:type="dxa"/>
            <w:hideMark/>
          </w:tcPr>
          <w:p w14:paraId="21AB8902"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CB3E25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BFF5B42"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7E5CAE2B"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4492947E"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18961D8" w14:textId="77777777" w:rsidTr="00391854">
        <w:trPr>
          <w:trHeight w:val="300"/>
        </w:trPr>
        <w:tc>
          <w:tcPr>
            <w:tcW w:w="1697" w:type="dxa"/>
            <w:hideMark/>
          </w:tcPr>
          <w:p w14:paraId="255A40A0" w14:textId="77777777" w:rsidR="000A152B" w:rsidRPr="00901194" w:rsidRDefault="000A152B" w:rsidP="000A152B">
            <w:pPr>
              <w:spacing w:line="240" w:lineRule="auto"/>
              <w:rPr>
                <w:rFonts w:cs="Times New Roman"/>
              </w:rPr>
            </w:pPr>
            <w:r w:rsidRPr="00901194">
              <w:rPr>
                <w:rFonts w:cs="Times New Roman"/>
              </w:rPr>
              <w:t>SO02</w:t>
            </w:r>
          </w:p>
        </w:tc>
        <w:tc>
          <w:tcPr>
            <w:tcW w:w="1530" w:type="dxa"/>
            <w:hideMark/>
          </w:tcPr>
          <w:p w14:paraId="126DF04D" w14:textId="77777777" w:rsidR="000A152B" w:rsidRPr="00901194" w:rsidRDefault="000A152B" w:rsidP="000A152B">
            <w:pPr>
              <w:spacing w:line="240" w:lineRule="auto"/>
              <w:rPr>
                <w:rFonts w:cs="Times New Roman"/>
              </w:rPr>
            </w:pPr>
            <w:r w:rsidRPr="00901194">
              <w:rPr>
                <w:rFonts w:cs="Times New Roman"/>
              </w:rPr>
              <w:t>Chile de onza</w:t>
            </w:r>
          </w:p>
        </w:tc>
        <w:tc>
          <w:tcPr>
            <w:tcW w:w="2438" w:type="dxa"/>
            <w:hideMark/>
          </w:tcPr>
          <w:p w14:paraId="1EA879F7"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05BB0D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89C76E9"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458A88B5"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EAB6D34"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99961A9" w14:textId="77777777" w:rsidTr="00391854">
        <w:trPr>
          <w:trHeight w:val="300"/>
        </w:trPr>
        <w:tc>
          <w:tcPr>
            <w:tcW w:w="1697" w:type="dxa"/>
            <w:hideMark/>
          </w:tcPr>
          <w:p w14:paraId="4E7B8258" w14:textId="77777777" w:rsidR="000A152B" w:rsidRPr="00901194" w:rsidRDefault="000A152B" w:rsidP="000A152B">
            <w:pPr>
              <w:spacing w:line="240" w:lineRule="auto"/>
              <w:rPr>
                <w:rFonts w:cs="Times New Roman"/>
              </w:rPr>
            </w:pPr>
            <w:r w:rsidRPr="00901194">
              <w:rPr>
                <w:rFonts w:cs="Times New Roman"/>
              </w:rPr>
              <w:t>SO03</w:t>
            </w:r>
          </w:p>
        </w:tc>
        <w:tc>
          <w:tcPr>
            <w:tcW w:w="1530" w:type="dxa"/>
            <w:hideMark/>
          </w:tcPr>
          <w:p w14:paraId="734452DE" w14:textId="77777777" w:rsidR="000A152B" w:rsidRPr="00901194" w:rsidRDefault="000A152B" w:rsidP="000A152B">
            <w:pPr>
              <w:spacing w:line="240" w:lineRule="auto"/>
              <w:rPr>
                <w:rFonts w:cs="Times New Roman"/>
              </w:rPr>
            </w:pPr>
            <w:r w:rsidRPr="00901194">
              <w:rPr>
                <w:rFonts w:cs="Times New Roman"/>
              </w:rPr>
              <w:t>Chile morita</w:t>
            </w:r>
          </w:p>
        </w:tc>
        <w:tc>
          <w:tcPr>
            <w:tcW w:w="2438" w:type="dxa"/>
            <w:hideMark/>
          </w:tcPr>
          <w:p w14:paraId="1F2BF3E1"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7437C17F"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A071F46"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1E4776E8"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6A957C8"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82F6D9C" w14:textId="77777777" w:rsidTr="00391854">
        <w:trPr>
          <w:trHeight w:val="300"/>
        </w:trPr>
        <w:tc>
          <w:tcPr>
            <w:tcW w:w="1697" w:type="dxa"/>
            <w:hideMark/>
          </w:tcPr>
          <w:p w14:paraId="2C44473E" w14:textId="77777777" w:rsidR="000A152B" w:rsidRPr="00901194" w:rsidRDefault="000A152B" w:rsidP="000A152B">
            <w:pPr>
              <w:spacing w:line="240" w:lineRule="auto"/>
              <w:rPr>
                <w:rFonts w:cs="Times New Roman"/>
              </w:rPr>
            </w:pPr>
            <w:r w:rsidRPr="00901194">
              <w:rPr>
                <w:rFonts w:cs="Times New Roman"/>
              </w:rPr>
              <w:t>SO04</w:t>
            </w:r>
          </w:p>
        </w:tc>
        <w:tc>
          <w:tcPr>
            <w:tcW w:w="1530" w:type="dxa"/>
            <w:hideMark/>
          </w:tcPr>
          <w:p w14:paraId="526DEDDD" w14:textId="77777777" w:rsidR="000A152B" w:rsidRPr="00901194" w:rsidRDefault="000A152B" w:rsidP="000A152B">
            <w:pPr>
              <w:spacing w:line="240" w:lineRule="auto"/>
              <w:rPr>
                <w:rFonts w:cs="Times New Roman"/>
              </w:rPr>
            </w:pPr>
            <w:r w:rsidRPr="00901194">
              <w:rPr>
                <w:rFonts w:cs="Times New Roman"/>
              </w:rPr>
              <w:t>Chile costeno amarillo</w:t>
            </w:r>
          </w:p>
        </w:tc>
        <w:tc>
          <w:tcPr>
            <w:tcW w:w="2438" w:type="dxa"/>
            <w:hideMark/>
          </w:tcPr>
          <w:p w14:paraId="5E4B170B"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01BFE01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9044C5D"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74F2513E"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F23B6FB"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2F17DD0" w14:textId="77777777" w:rsidTr="00391854">
        <w:trPr>
          <w:trHeight w:val="300"/>
        </w:trPr>
        <w:tc>
          <w:tcPr>
            <w:tcW w:w="1697" w:type="dxa"/>
            <w:hideMark/>
          </w:tcPr>
          <w:p w14:paraId="7E8CDCE0" w14:textId="77777777" w:rsidR="000A152B" w:rsidRPr="00901194" w:rsidRDefault="000A152B" w:rsidP="000A152B">
            <w:pPr>
              <w:spacing w:line="240" w:lineRule="auto"/>
              <w:rPr>
                <w:rFonts w:cs="Times New Roman"/>
              </w:rPr>
            </w:pPr>
            <w:r w:rsidRPr="00901194">
              <w:rPr>
                <w:rFonts w:cs="Times New Roman"/>
              </w:rPr>
              <w:t>SO05</w:t>
            </w:r>
          </w:p>
        </w:tc>
        <w:tc>
          <w:tcPr>
            <w:tcW w:w="1530" w:type="dxa"/>
            <w:hideMark/>
          </w:tcPr>
          <w:p w14:paraId="7D026A18" w14:textId="77777777" w:rsidR="000A152B" w:rsidRPr="00901194" w:rsidRDefault="000A152B" w:rsidP="000A152B">
            <w:pPr>
              <w:spacing w:line="240" w:lineRule="auto"/>
              <w:rPr>
                <w:rFonts w:cs="Times New Roman"/>
              </w:rPr>
            </w:pPr>
            <w:r w:rsidRPr="00901194">
              <w:rPr>
                <w:rFonts w:cs="Times New Roman"/>
              </w:rPr>
              <w:t>Chile costeno</w:t>
            </w:r>
          </w:p>
        </w:tc>
        <w:tc>
          <w:tcPr>
            <w:tcW w:w="2438" w:type="dxa"/>
            <w:hideMark/>
          </w:tcPr>
          <w:p w14:paraId="60AD0A23"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696ABE7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F192489"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429B5EAE"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5D8C1AEA"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C4937F1" w14:textId="77777777" w:rsidTr="00391854">
        <w:trPr>
          <w:trHeight w:val="300"/>
        </w:trPr>
        <w:tc>
          <w:tcPr>
            <w:tcW w:w="1697" w:type="dxa"/>
            <w:hideMark/>
          </w:tcPr>
          <w:p w14:paraId="65748999" w14:textId="77777777" w:rsidR="000A152B" w:rsidRPr="00901194" w:rsidRDefault="000A152B" w:rsidP="000A152B">
            <w:pPr>
              <w:spacing w:line="240" w:lineRule="auto"/>
              <w:rPr>
                <w:rFonts w:cs="Times New Roman"/>
              </w:rPr>
            </w:pPr>
            <w:r w:rsidRPr="00901194">
              <w:rPr>
                <w:rFonts w:cs="Times New Roman"/>
              </w:rPr>
              <w:t>SO06</w:t>
            </w:r>
          </w:p>
        </w:tc>
        <w:tc>
          <w:tcPr>
            <w:tcW w:w="1530" w:type="dxa"/>
            <w:hideMark/>
          </w:tcPr>
          <w:p w14:paraId="42CFA825" w14:textId="77777777" w:rsidR="000A152B" w:rsidRPr="00901194" w:rsidRDefault="000A152B" w:rsidP="000A152B">
            <w:pPr>
              <w:spacing w:line="240" w:lineRule="auto"/>
              <w:rPr>
                <w:rFonts w:cs="Times New Roman"/>
              </w:rPr>
            </w:pPr>
            <w:r w:rsidRPr="00901194">
              <w:rPr>
                <w:rFonts w:cs="Times New Roman"/>
              </w:rPr>
              <w:t>Chile chiltepec</w:t>
            </w:r>
          </w:p>
        </w:tc>
        <w:tc>
          <w:tcPr>
            <w:tcW w:w="2438" w:type="dxa"/>
            <w:hideMark/>
          </w:tcPr>
          <w:p w14:paraId="33726D0F"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7CE953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B3F44BB"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253CAD66"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3D4F860"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C5C3972" w14:textId="77777777" w:rsidTr="00391854">
        <w:trPr>
          <w:trHeight w:val="300"/>
        </w:trPr>
        <w:tc>
          <w:tcPr>
            <w:tcW w:w="1697" w:type="dxa"/>
            <w:hideMark/>
          </w:tcPr>
          <w:p w14:paraId="5FF3F3D0" w14:textId="77777777" w:rsidR="000A152B" w:rsidRPr="00901194" w:rsidRDefault="000A152B" w:rsidP="000A152B">
            <w:pPr>
              <w:spacing w:line="240" w:lineRule="auto"/>
              <w:rPr>
                <w:rFonts w:cs="Times New Roman"/>
              </w:rPr>
            </w:pPr>
            <w:r w:rsidRPr="00901194">
              <w:rPr>
                <w:rFonts w:cs="Times New Roman"/>
              </w:rPr>
              <w:t>SO07</w:t>
            </w:r>
          </w:p>
        </w:tc>
        <w:tc>
          <w:tcPr>
            <w:tcW w:w="1530" w:type="dxa"/>
            <w:hideMark/>
          </w:tcPr>
          <w:p w14:paraId="2CDD558B" w14:textId="77777777" w:rsidR="000A152B" w:rsidRPr="00901194" w:rsidRDefault="000A152B" w:rsidP="000A152B">
            <w:pPr>
              <w:spacing w:line="240" w:lineRule="auto"/>
              <w:rPr>
                <w:rFonts w:cs="Times New Roman"/>
              </w:rPr>
            </w:pPr>
            <w:r w:rsidRPr="00901194">
              <w:rPr>
                <w:rFonts w:cs="Times New Roman"/>
              </w:rPr>
              <w:t>Chile de arbol</w:t>
            </w:r>
          </w:p>
        </w:tc>
        <w:tc>
          <w:tcPr>
            <w:tcW w:w="2438" w:type="dxa"/>
            <w:hideMark/>
          </w:tcPr>
          <w:p w14:paraId="42278D50"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02650B6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9736A59"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5BC3C2CE"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0154DF4"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6A8DB8D" w14:textId="77777777" w:rsidTr="00391854">
        <w:trPr>
          <w:trHeight w:val="300"/>
        </w:trPr>
        <w:tc>
          <w:tcPr>
            <w:tcW w:w="1697" w:type="dxa"/>
            <w:hideMark/>
          </w:tcPr>
          <w:p w14:paraId="09149FEA" w14:textId="77777777" w:rsidR="000A152B" w:rsidRPr="00901194" w:rsidRDefault="000A152B" w:rsidP="000A152B">
            <w:pPr>
              <w:spacing w:line="240" w:lineRule="auto"/>
              <w:rPr>
                <w:rFonts w:cs="Times New Roman"/>
              </w:rPr>
            </w:pPr>
            <w:r w:rsidRPr="00901194">
              <w:rPr>
                <w:rFonts w:cs="Times New Roman"/>
              </w:rPr>
              <w:t>SO08</w:t>
            </w:r>
          </w:p>
        </w:tc>
        <w:tc>
          <w:tcPr>
            <w:tcW w:w="1530" w:type="dxa"/>
            <w:hideMark/>
          </w:tcPr>
          <w:p w14:paraId="7747786B" w14:textId="77777777" w:rsidR="000A152B" w:rsidRPr="00901194" w:rsidRDefault="000A152B" w:rsidP="000A152B">
            <w:pPr>
              <w:spacing w:line="240" w:lineRule="auto"/>
              <w:rPr>
                <w:rFonts w:cs="Times New Roman"/>
              </w:rPr>
            </w:pPr>
            <w:r w:rsidRPr="00901194">
              <w:rPr>
                <w:rFonts w:cs="Times New Roman"/>
              </w:rPr>
              <w:t>Chipotle meco</w:t>
            </w:r>
          </w:p>
        </w:tc>
        <w:tc>
          <w:tcPr>
            <w:tcW w:w="2438" w:type="dxa"/>
            <w:hideMark/>
          </w:tcPr>
          <w:p w14:paraId="0BE3ABB7"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383F554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0B7A822"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50BA1FA7"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F5D3AE3"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9A50F7B" w14:textId="77777777" w:rsidTr="00391854">
        <w:trPr>
          <w:trHeight w:val="300"/>
        </w:trPr>
        <w:tc>
          <w:tcPr>
            <w:tcW w:w="1697" w:type="dxa"/>
            <w:hideMark/>
          </w:tcPr>
          <w:p w14:paraId="16FB75D5" w14:textId="77777777" w:rsidR="000A152B" w:rsidRPr="00901194" w:rsidRDefault="000A152B" w:rsidP="000A152B">
            <w:pPr>
              <w:spacing w:line="240" w:lineRule="auto"/>
              <w:rPr>
                <w:rFonts w:cs="Times New Roman"/>
              </w:rPr>
            </w:pPr>
            <w:r w:rsidRPr="00901194">
              <w:rPr>
                <w:rFonts w:cs="Times New Roman"/>
              </w:rPr>
              <w:t>SO09</w:t>
            </w:r>
          </w:p>
        </w:tc>
        <w:tc>
          <w:tcPr>
            <w:tcW w:w="1530" w:type="dxa"/>
            <w:hideMark/>
          </w:tcPr>
          <w:p w14:paraId="47E43C67" w14:textId="77777777" w:rsidR="000A152B" w:rsidRPr="00901194" w:rsidRDefault="000A152B" w:rsidP="000A152B">
            <w:pPr>
              <w:spacing w:line="240" w:lineRule="auto"/>
              <w:rPr>
                <w:rFonts w:cs="Times New Roman"/>
              </w:rPr>
            </w:pPr>
            <w:r w:rsidRPr="00901194">
              <w:rPr>
                <w:rFonts w:cs="Times New Roman"/>
              </w:rPr>
              <w:t>Chile cascabe</w:t>
            </w:r>
          </w:p>
        </w:tc>
        <w:tc>
          <w:tcPr>
            <w:tcW w:w="2438" w:type="dxa"/>
            <w:hideMark/>
          </w:tcPr>
          <w:p w14:paraId="19EE14F6"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5DA6D72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4995021"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68A3F513"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4FDDA1A"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E075D48" w14:textId="77777777" w:rsidTr="00391854">
        <w:trPr>
          <w:trHeight w:val="300"/>
        </w:trPr>
        <w:tc>
          <w:tcPr>
            <w:tcW w:w="1697" w:type="dxa"/>
            <w:hideMark/>
          </w:tcPr>
          <w:p w14:paraId="5C4FBB39" w14:textId="77777777" w:rsidR="000A152B" w:rsidRPr="00901194" w:rsidRDefault="000A152B" w:rsidP="000A152B">
            <w:pPr>
              <w:spacing w:line="240" w:lineRule="auto"/>
              <w:rPr>
                <w:rFonts w:cs="Times New Roman"/>
              </w:rPr>
            </w:pPr>
            <w:r w:rsidRPr="00901194">
              <w:rPr>
                <w:rFonts w:cs="Times New Roman"/>
              </w:rPr>
              <w:t>SO10</w:t>
            </w:r>
          </w:p>
        </w:tc>
        <w:tc>
          <w:tcPr>
            <w:tcW w:w="1530" w:type="dxa"/>
            <w:hideMark/>
          </w:tcPr>
          <w:p w14:paraId="79CE55DE" w14:textId="77777777" w:rsidR="000A152B" w:rsidRPr="00901194" w:rsidRDefault="000A152B" w:rsidP="000A152B">
            <w:pPr>
              <w:spacing w:line="240" w:lineRule="auto"/>
              <w:rPr>
                <w:rFonts w:cs="Times New Roman"/>
              </w:rPr>
            </w:pPr>
            <w:r w:rsidRPr="00901194">
              <w:rPr>
                <w:rFonts w:cs="Times New Roman"/>
              </w:rPr>
              <w:t>Chile mulato</w:t>
            </w:r>
          </w:p>
        </w:tc>
        <w:tc>
          <w:tcPr>
            <w:tcW w:w="2438" w:type="dxa"/>
            <w:hideMark/>
          </w:tcPr>
          <w:p w14:paraId="7BC10F85"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387D547B"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B1ED391"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28A73632"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1D6F1CF"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821BA6F" w14:textId="77777777" w:rsidTr="00391854">
        <w:trPr>
          <w:trHeight w:val="300"/>
        </w:trPr>
        <w:tc>
          <w:tcPr>
            <w:tcW w:w="1697" w:type="dxa"/>
            <w:hideMark/>
          </w:tcPr>
          <w:p w14:paraId="1B9246C9" w14:textId="77777777" w:rsidR="000A152B" w:rsidRPr="00901194" w:rsidRDefault="000A152B" w:rsidP="000A152B">
            <w:pPr>
              <w:spacing w:line="240" w:lineRule="auto"/>
              <w:rPr>
                <w:rFonts w:cs="Times New Roman"/>
              </w:rPr>
            </w:pPr>
            <w:r w:rsidRPr="00901194">
              <w:rPr>
                <w:rFonts w:cs="Times New Roman"/>
              </w:rPr>
              <w:t>SO11</w:t>
            </w:r>
          </w:p>
        </w:tc>
        <w:tc>
          <w:tcPr>
            <w:tcW w:w="1530" w:type="dxa"/>
            <w:hideMark/>
          </w:tcPr>
          <w:p w14:paraId="55B24644" w14:textId="77777777" w:rsidR="000A152B" w:rsidRPr="00901194" w:rsidRDefault="000A152B" w:rsidP="000A152B">
            <w:pPr>
              <w:spacing w:line="240" w:lineRule="auto"/>
              <w:rPr>
                <w:rFonts w:cs="Times New Roman"/>
              </w:rPr>
            </w:pPr>
            <w:r w:rsidRPr="00901194">
              <w:rPr>
                <w:rFonts w:cs="Times New Roman"/>
              </w:rPr>
              <w:t>Chipote rojo</w:t>
            </w:r>
          </w:p>
        </w:tc>
        <w:tc>
          <w:tcPr>
            <w:tcW w:w="2438" w:type="dxa"/>
            <w:hideMark/>
          </w:tcPr>
          <w:p w14:paraId="333E6FDA"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7D55CD2B"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FACD5B1"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048ED6DF"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6D5EE3E"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9202F4E" w14:textId="77777777" w:rsidTr="00391854">
        <w:trPr>
          <w:trHeight w:val="300"/>
        </w:trPr>
        <w:tc>
          <w:tcPr>
            <w:tcW w:w="1697" w:type="dxa"/>
            <w:hideMark/>
          </w:tcPr>
          <w:p w14:paraId="10F9FC2F" w14:textId="77777777" w:rsidR="000A152B" w:rsidRPr="00901194" w:rsidRDefault="000A152B" w:rsidP="000A152B">
            <w:pPr>
              <w:spacing w:line="240" w:lineRule="auto"/>
              <w:rPr>
                <w:rFonts w:cs="Times New Roman"/>
              </w:rPr>
            </w:pPr>
            <w:r w:rsidRPr="00901194">
              <w:rPr>
                <w:rFonts w:cs="Times New Roman"/>
              </w:rPr>
              <w:t>SO12</w:t>
            </w:r>
          </w:p>
        </w:tc>
        <w:tc>
          <w:tcPr>
            <w:tcW w:w="1530" w:type="dxa"/>
            <w:hideMark/>
          </w:tcPr>
          <w:p w14:paraId="614C51F7" w14:textId="77777777" w:rsidR="000A152B" w:rsidRPr="00901194" w:rsidRDefault="000A152B" w:rsidP="000A152B">
            <w:pPr>
              <w:spacing w:line="240" w:lineRule="auto"/>
              <w:rPr>
                <w:rFonts w:cs="Times New Roman"/>
              </w:rPr>
            </w:pPr>
            <w:r w:rsidRPr="00901194">
              <w:rPr>
                <w:rFonts w:cs="Times New Roman"/>
              </w:rPr>
              <w:t>Chile guajillo</w:t>
            </w:r>
          </w:p>
        </w:tc>
        <w:tc>
          <w:tcPr>
            <w:tcW w:w="2438" w:type="dxa"/>
            <w:hideMark/>
          </w:tcPr>
          <w:p w14:paraId="47F16817"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133321C2"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BA2DC6E"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21EF3058"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01E6546"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236DC7D" w14:textId="77777777" w:rsidTr="00391854">
        <w:trPr>
          <w:trHeight w:val="300"/>
        </w:trPr>
        <w:tc>
          <w:tcPr>
            <w:tcW w:w="1697" w:type="dxa"/>
            <w:hideMark/>
          </w:tcPr>
          <w:p w14:paraId="42C3AD5C" w14:textId="77777777" w:rsidR="000A152B" w:rsidRPr="00901194" w:rsidRDefault="000A152B" w:rsidP="000A152B">
            <w:pPr>
              <w:spacing w:line="240" w:lineRule="auto"/>
              <w:rPr>
                <w:rFonts w:cs="Times New Roman"/>
              </w:rPr>
            </w:pPr>
            <w:r w:rsidRPr="00901194">
              <w:rPr>
                <w:rFonts w:cs="Times New Roman"/>
              </w:rPr>
              <w:lastRenderedPageBreak/>
              <w:t>SO13</w:t>
            </w:r>
          </w:p>
        </w:tc>
        <w:tc>
          <w:tcPr>
            <w:tcW w:w="1530" w:type="dxa"/>
            <w:hideMark/>
          </w:tcPr>
          <w:p w14:paraId="67DE7D15" w14:textId="77777777" w:rsidR="000A152B" w:rsidRPr="00901194" w:rsidRDefault="000A152B" w:rsidP="000A152B">
            <w:pPr>
              <w:spacing w:line="240" w:lineRule="auto"/>
              <w:rPr>
                <w:rFonts w:cs="Times New Roman"/>
              </w:rPr>
            </w:pPr>
            <w:r w:rsidRPr="00901194">
              <w:rPr>
                <w:rFonts w:cs="Times New Roman"/>
              </w:rPr>
              <w:t>Chile ancho rojo</w:t>
            </w:r>
          </w:p>
        </w:tc>
        <w:tc>
          <w:tcPr>
            <w:tcW w:w="2438" w:type="dxa"/>
            <w:hideMark/>
          </w:tcPr>
          <w:p w14:paraId="5D718696"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6745214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21A7323"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2BBFF775"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E851300"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A482757" w14:textId="77777777" w:rsidTr="00391854">
        <w:trPr>
          <w:trHeight w:val="300"/>
        </w:trPr>
        <w:tc>
          <w:tcPr>
            <w:tcW w:w="1697" w:type="dxa"/>
            <w:hideMark/>
          </w:tcPr>
          <w:p w14:paraId="1DB57A0F" w14:textId="77777777" w:rsidR="000A152B" w:rsidRPr="00901194" w:rsidRDefault="000A152B" w:rsidP="000A152B">
            <w:pPr>
              <w:spacing w:line="240" w:lineRule="auto"/>
              <w:rPr>
                <w:rFonts w:cs="Times New Roman"/>
              </w:rPr>
            </w:pPr>
            <w:r w:rsidRPr="00901194">
              <w:rPr>
                <w:rFonts w:cs="Times New Roman"/>
              </w:rPr>
              <w:t>SO14</w:t>
            </w:r>
          </w:p>
        </w:tc>
        <w:tc>
          <w:tcPr>
            <w:tcW w:w="1530" w:type="dxa"/>
            <w:hideMark/>
          </w:tcPr>
          <w:p w14:paraId="56185256" w14:textId="77777777" w:rsidR="000A152B" w:rsidRPr="00901194" w:rsidRDefault="000A152B" w:rsidP="000A152B">
            <w:pPr>
              <w:spacing w:line="240" w:lineRule="auto"/>
              <w:rPr>
                <w:rFonts w:cs="Times New Roman"/>
              </w:rPr>
            </w:pPr>
            <w:r w:rsidRPr="00901194">
              <w:rPr>
                <w:rFonts w:cs="Times New Roman"/>
              </w:rPr>
              <w:t>Pasilla mexicana</w:t>
            </w:r>
          </w:p>
        </w:tc>
        <w:tc>
          <w:tcPr>
            <w:tcW w:w="2438" w:type="dxa"/>
            <w:hideMark/>
          </w:tcPr>
          <w:p w14:paraId="7E1B929E"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02D4AE6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432D086"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1C76863E"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A08AFAD"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B8C73F8" w14:textId="77777777" w:rsidTr="00391854">
        <w:trPr>
          <w:trHeight w:val="300"/>
        </w:trPr>
        <w:tc>
          <w:tcPr>
            <w:tcW w:w="1697" w:type="dxa"/>
            <w:hideMark/>
          </w:tcPr>
          <w:p w14:paraId="0D19DD85" w14:textId="77777777" w:rsidR="000A152B" w:rsidRPr="00901194" w:rsidRDefault="000A152B" w:rsidP="000A152B">
            <w:pPr>
              <w:spacing w:line="240" w:lineRule="auto"/>
              <w:rPr>
                <w:rFonts w:cs="Times New Roman"/>
              </w:rPr>
            </w:pPr>
            <w:r w:rsidRPr="00901194">
              <w:rPr>
                <w:rFonts w:cs="Times New Roman"/>
              </w:rPr>
              <w:t>SO15</w:t>
            </w:r>
          </w:p>
        </w:tc>
        <w:tc>
          <w:tcPr>
            <w:tcW w:w="1530" w:type="dxa"/>
            <w:hideMark/>
          </w:tcPr>
          <w:p w14:paraId="3453F189" w14:textId="77777777" w:rsidR="000A152B" w:rsidRPr="00901194" w:rsidRDefault="000A152B" w:rsidP="000A152B">
            <w:pPr>
              <w:spacing w:line="240" w:lineRule="auto"/>
              <w:rPr>
                <w:rFonts w:cs="Times New Roman"/>
              </w:rPr>
            </w:pPr>
            <w:r w:rsidRPr="00901194">
              <w:rPr>
                <w:rFonts w:cs="Times New Roman"/>
              </w:rPr>
              <w:t>Chile tuxtla</w:t>
            </w:r>
          </w:p>
        </w:tc>
        <w:tc>
          <w:tcPr>
            <w:tcW w:w="2438" w:type="dxa"/>
            <w:hideMark/>
          </w:tcPr>
          <w:p w14:paraId="1365F3C8"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945FF6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D649BD1"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37BA62A4"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466EC86"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FDCEC4C" w14:textId="77777777" w:rsidTr="00391854">
        <w:trPr>
          <w:trHeight w:val="300"/>
        </w:trPr>
        <w:tc>
          <w:tcPr>
            <w:tcW w:w="1697" w:type="dxa"/>
            <w:hideMark/>
          </w:tcPr>
          <w:p w14:paraId="5649E023" w14:textId="77777777" w:rsidR="000A152B" w:rsidRPr="00901194" w:rsidRDefault="000A152B" w:rsidP="000A152B">
            <w:pPr>
              <w:spacing w:line="240" w:lineRule="auto"/>
              <w:rPr>
                <w:rFonts w:cs="Times New Roman"/>
              </w:rPr>
            </w:pPr>
            <w:r w:rsidRPr="00901194">
              <w:rPr>
                <w:rFonts w:cs="Times New Roman"/>
              </w:rPr>
              <w:t>SO16</w:t>
            </w:r>
          </w:p>
        </w:tc>
        <w:tc>
          <w:tcPr>
            <w:tcW w:w="1530" w:type="dxa"/>
            <w:hideMark/>
          </w:tcPr>
          <w:p w14:paraId="6B28800B" w14:textId="77777777" w:rsidR="000A152B" w:rsidRPr="00901194" w:rsidRDefault="000A152B" w:rsidP="000A152B">
            <w:pPr>
              <w:spacing w:line="240" w:lineRule="auto"/>
              <w:rPr>
                <w:rFonts w:cs="Times New Roman"/>
              </w:rPr>
            </w:pPr>
            <w:r w:rsidRPr="00901194">
              <w:rPr>
                <w:rFonts w:cs="Times New Roman"/>
              </w:rPr>
              <w:t>Chile chintepe</w:t>
            </w:r>
          </w:p>
        </w:tc>
        <w:tc>
          <w:tcPr>
            <w:tcW w:w="2438" w:type="dxa"/>
            <w:hideMark/>
          </w:tcPr>
          <w:p w14:paraId="0BC52454"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250F679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B059A64"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0100D15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76A9B85"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BB38033" w14:textId="77777777" w:rsidTr="00391854">
        <w:trPr>
          <w:trHeight w:val="300"/>
        </w:trPr>
        <w:tc>
          <w:tcPr>
            <w:tcW w:w="1697" w:type="dxa"/>
            <w:hideMark/>
          </w:tcPr>
          <w:p w14:paraId="096200AF" w14:textId="77777777" w:rsidR="000A152B" w:rsidRPr="00901194" w:rsidRDefault="000A152B" w:rsidP="000A152B">
            <w:pPr>
              <w:spacing w:line="240" w:lineRule="auto"/>
              <w:rPr>
                <w:rFonts w:cs="Times New Roman"/>
              </w:rPr>
            </w:pPr>
            <w:r w:rsidRPr="00901194">
              <w:rPr>
                <w:rFonts w:cs="Times New Roman"/>
              </w:rPr>
              <w:t>SO17</w:t>
            </w:r>
          </w:p>
        </w:tc>
        <w:tc>
          <w:tcPr>
            <w:tcW w:w="1530" w:type="dxa"/>
            <w:hideMark/>
          </w:tcPr>
          <w:p w14:paraId="0FC0E603" w14:textId="77777777" w:rsidR="000A152B" w:rsidRPr="00901194" w:rsidRDefault="000A152B" w:rsidP="000A152B">
            <w:pPr>
              <w:spacing w:line="240" w:lineRule="auto"/>
              <w:rPr>
                <w:rFonts w:cs="Times New Roman"/>
              </w:rPr>
            </w:pPr>
            <w:r w:rsidRPr="00901194">
              <w:rPr>
                <w:rFonts w:cs="Times New Roman"/>
              </w:rPr>
              <w:t>Chile mulato</w:t>
            </w:r>
          </w:p>
        </w:tc>
        <w:tc>
          <w:tcPr>
            <w:tcW w:w="2438" w:type="dxa"/>
            <w:hideMark/>
          </w:tcPr>
          <w:p w14:paraId="7644A98C"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329635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5D591DF"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0D49DC8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59CCEB9"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2702C05" w14:textId="77777777" w:rsidTr="00391854">
        <w:trPr>
          <w:trHeight w:val="300"/>
        </w:trPr>
        <w:tc>
          <w:tcPr>
            <w:tcW w:w="1697" w:type="dxa"/>
            <w:hideMark/>
          </w:tcPr>
          <w:p w14:paraId="4049FB12" w14:textId="77777777" w:rsidR="000A152B" w:rsidRPr="00901194" w:rsidRDefault="000A152B" w:rsidP="000A152B">
            <w:pPr>
              <w:spacing w:line="240" w:lineRule="auto"/>
              <w:rPr>
                <w:rFonts w:cs="Times New Roman"/>
              </w:rPr>
            </w:pPr>
            <w:r w:rsidRPr="00901194">
              <w:rPr>
                <w:rFonts w:cs="Times New Roman"/>
              </w:rPr>
              <w:t>SO18</w:t>
            </w:r>
          </w:p>
        </w:tc>
        <w:tc>
          <w:tcPr>
            <w:tcW w:w="1530" w:type="dxa"/>
            <w:hideMark/>
          </w:tcPr>
          <w:p w14:paraId="7131B382" w14:textId="77777777" w:rsidR="000A152B" w:rsidRPr="00901194" w:rsidRDefault="000A152B" w:rsidP="000A152B">
            <w:pPr>
              <w:spacing w:line="240" w:lineRule="auto"/>
              <w:rPr>
                <w:rFonts w:cs="Times New Roman"/>
              </w:rPr>
            </w:pPr>
            <w:r w:rsidRPr="00901194">
              <w:rPr>
                <w:rFonts w:cs="Times New Roman"/>
              </w:rPr>
              <w:t>Chile ancho negro</w:t>
            </w:r>
          </w:p>
        </w:tc>
        <w:tc>
          <w:tcPr>
            <w:tcW w:w="2438" w:type="dxa"/>
            <w:hideMark/>
          </w:tcPr>
          <w:p w14:paraId="1AC0777E"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64B4DA9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932A714"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77406408"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C4A88D4"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277C4CD" w14:textId="77777777" w:rsidTr="00391854">
        <w:trPr>
          <w:trHeight w:val="300"/>
        </w:trPr>
        <w:tc>
          <w:tcPr>
            <w:tcW w:w="1697" w:type="dxa"/>
            <w:hideMark/>
          </w:tcPr>
          <w:p w14:paraId="34559129" w14:textId="77777777" w:rsidR="000A152B" w:rsidRPr="00901194" w:rsidRDefault="000A152B" w:rsidP="000A152B">
            <w:pPr>
              <w:spacing w:line="240" w:lineRule="auto"/>
              <w:rPr>
                <w:rFonts w:cs="Times New Roman"/>
              </w:rPr>
            </w:pPr>
            <w:r w:rsidRPr="00901194">
              <w:rPr>
                <w:rFonts w:cs="Times New Roman"/>
              </w:rPr>
              <w:t>SO19</w:t>
            </w:r>
          </w:p>
        </w:tc>
        <w:tc>
          <w:tcPr>
            <w:tcW w:w="1530" w:type="dxa"/>
            <w:hideMark/>
          </w:tcPr>
          <w:p w14:paraId="51AEA776" w14:textId="77777777" w:rsidR="000A152B" w:rsidRPr="00901194" w:rsidRDefault="000A152B" w:rsidP="000A152B">
            <w:pPr>
              <w:spacing w:line="240" w:lineRule="auto"/>
              <w:rPr>
                <w:rFonts w:cs="Times New Roman"/>
              </w:rPr>
            </w:pPr>
            <w:r w:rsidRPr="00901194">
              <w:rPr>
                <w:rFonts w:cs="Times New Roman"/>
              </w:rPr>
              <w:t>Pasilla oaxaqueno</w:t>
            </w:r>
          </w:p>
        </w:tc>
        <w:tc>
          <w:tcPr>
            <w:tcW w:w="2438" w:type="dxa"/>
            <w:hideMark/>
          </w:tcPr>
          <w:p w14:paraId="345B4457"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2C599BB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4B79AB8"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12B73327"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9321C63"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21DFCC9" w14:textId="77777777" w:rsidTr="00391854">
        <w:trPr>
          <w:trHeight w:val="300"/>
        </w:trPr>
        <w:tc>
          <w:tcPr>
            <w:tcW w:w="1697" w:type="dxa"/>
            <w:hideMark/>
          </w:tcPr>
          <w:p w14:paraId="37C5C736" w14:textId="77777777" w:rsidR="000A152B" w:rsidRPr="00901194" w:rsidRDefault="000A152B" w:rsidP="000A152B">
            <w:pPr>
              <w:spacing w:line="240" w:lineRule="auto"/>
              <w:rPr>
                <w:rFonts w:cs="Times New Roman"/>
              </w:rPr>
            </w:pPr>
            <w:r w:rsidRPr="00901194">
              <w:rPr>
                <w:rFonts w:cs="Times New Roman"/>
              </w:rPr>
              <w:t>SO20</w:t>
            </w:r>
          </w:p>
        </w:tc>
        <w:tc>
          <w:tcPr>
            <w:tcW w:w="1530" w:type="dxa"/>
            <w:hideMark/>
          </w:tcPr>
          <w:p w14:paraId="39783B2F" w14:textId="77777777" w:rsidR="000A152B" w:rsidRPr="00901194" w:rsidRDefault="000A152B" w:rsidP="000A152B">
            <w:pPr>
              <w:spacing w:line="240" w:lineRule="auto"/>
              <w:rPr>
                <w:rFonts w:cs="Times New Roman"/>
              </w:rPr>
            </w:pPr>
            <w:r w:rsidRPr="00901194">
              <w:rPr>
                <w:rFonts w:cs="Times New Roman"/>
              </w:rPr>
              <w:t>Chile de onza</w:t>
            </w:r>
          </w:p>
        </w:tc>
        <w:tc>
          <w:tcPr>
            <w:tcW w:w="2438" w:type="dxa"/>
            <w:hideMark/>
          </w:tcPr>
          <w:p w14:paraId="54834860"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B7C5D9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D1F7E6F"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3C426FF2"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5BCD680F"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674E7B3" w14:textId="77777777" w:rsidTr="00391854">
        <w:trPr>
          <w:trHeight w:val="300"/>
        </w:trPr>
        <w:tc>
          <w:tcPr>
            <w:tcW w:w="1697" w:type="dxa"/>
            <w:hideMark/>
          </w:tcPr>
          <w:p w14:paraId="03779619" w14:textId="77777777" w:rsidR="000A152B" w:rsidRPr="00901194" w:rsidRDefault="000A152B" w:rsidP="000A152B">
            <w:pPr>
              <w:spacing w:line="240" w:lineRule="auto"/>
              <w:rPr>
                <w:rFonts w:cs="Times New Roman"/>
              </w:rPr>
            </w:pPr>
            <w:r w:rsidRPr="00901194">
              <w:rPr>
                <w:rFonts w:cs="Times New Roman"/>
              </w:rPr>
              <w:t>SO21</w:t>
            </w:r>
          </w:p>
        </w:tc>
        <w:tc>
          <w:tcPr>
            <w:tcW w:w="1530" w:type="dxa"/>
            <w:hideMark/>
          </w:tcPr>
          <w:p w14:paraId="1DC5DFED" w14:textId="77777777" w:rsidR="000A152B" w:rsidRPr="00901194" w:rsidRDefault="000A152B" w:rsidP="000A152B">
            <w:pPr>
              <w:spacing w:line="240" w:lineRule="auto"/>
              <w:rPr>
                <w:rFonts w:cs="Times New Roman"/>
              </w:rPr>
            </w:pPr>
            <w:r w:rsidRPr="00901194">
              <w:rPr>
                <w:rFonts w:cs="Times New Roman"/>
              </w:rPr>
              <w:t>Chile de agua</w:t>
            </w:r>
          </w:p>
        </w:tc>
        <w:tc>
          <w:tcPr>
            <w:tcW w:w="2438" w:type="dxa"/>
            <w:hideMark/>
          </w:tcPr>
          <w:p w14:paraId="4B2C4C55"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7D792C6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CAA1961"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149C78AE"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51CE67E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EF2FBE2" w14:textId="77777777" w:rsidTr="00391854">
        <w:trPr>
          <w:trHeight w:val="300"/>
        </w:trPr>
        <w:tc>
          <w:tcPr>
            <w:tcW w:w="1697" w:type="dxa"/>
            <w:hideMark/>
          </w:tcPr>
          <w:p w14:paraId="7DE9B59C" w14:textId="77777777" w:rsidR="000A152B" w:rsidRPr="00901194" w:rsidRDefault="000A152B" w:rsidP="000A152B">
            <w:pPr>
              <w:spacing w:line="240" w:lineRule="auto"/>
              <w:rPr>
                <w:rFonts w:cs="Times New Roman"/>
              </w:rPr>
            </w:pPr>
            <w:r w:rsidRPr="00901194">
              <w:rPr>
                <w:rFonts w:cs="Times New Roman"/>
              </w:rPr>
              <w:t>SO22</w:t>
            </w:r>
          </w:p>
        </w:tc>
        <w:tc>
          <w:tcPr>
            <w:tcW w:w="1530" w:type="dxa"/>
            <w:hideMark/>
          </w:tcPr>
          <w:p w14:paraId="09E91DFB" w14:textId="77777777" w:rsidR="000A152B" w:rsidRPr="00901194" w:rsidRDefault="000A152B" w:rsidP="000A152B">
            <w:pPr>
              <w:spacing w:line="240" w:lineRule="auto"/>
              <w:rPr>
                <w:rFonts w:cs="Times New Roman"/>
              </w:rPr>
            </w:pPr>
            <w:r w:rsidRPr="00901194">
              <w:rPr>
                <w:rFonts w:cs="Times New Roman"/>
              </w:rPr>
              <w:t>Chiuacle</w:t>
            </w:r>
          </w:p>
        </w:tc>
        <w:tc>
          <w:tcPr>
            <w:tcW w:w="2438" w:type="dxa"/>
            <w:hideMark/>
          </w:tcPr>
          <w:p w14:paraId="4F2FE6D9"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7BB7E34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8980452"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5AEAA7A9"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72EF17B"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35D631D" w14:textId="77777777" w:rsidTr="00391854">
        <w:trPr>
          <w:trHeight w:val="300"/>
        </w:trPr>
        <w:tc>
          <w:tcPr>
            <w:tcW w:w="1697" w:type="dxa"/>
            <w:hideMark/>
          </w:tcPr>
          <w:p w14:paraId="2AB60537" w14:textId="77777777" w:rsidR="000A152B" w:rsidRPr="00901194" w:rsidRDefault="000A152B" w:rsidP="000A152B">
            <w:pPr>
              <w:spacing w:line="240" w:lineRule="auto"/>
              <w:rPr>
                <w:rFonts w:cs="Times New Roman"/>
              </w:rPr>
            </w:pPr>
            <w:r w:rsidRPr="00901194">
              <w:rPr>
                <w:rFonts w:cs="Times New Roman"/>
              </w:rPr>
              <w:t>SO23</w:t>
            </w:r>
          </w:p>
        </w:tc>
        <w:tc>
          <w:tcPr>
            <w:tcW w:w="1530" w:type="dxa"/>
            <w:hideMark/>
          </w:tcPr>
          <w:p w14:paraId="23F2C8FA" w14:textId="77777777" w:rsidR="000A152B" w:rsidRPr="00901194" w:rsidRDefault="000A152B" w:rsidP="000A152B">
            <w:pPr>
              <w:spacing w:line="240" w:lineRule="auto"/>
              <w:rPr>
                <w:rFonts w:cs="Times New Roman"/>
              </w:rPr>
            </w:pPr>
            <w:r w:rsidRPr="00901194">
              <w:rPr>
                <w:rFonts w:cs="Times New Roman"/>
              </w:rPr>
              <w:t>Chile pico de gallo</w:t>
            </w:r>
          </w:p>
        </w:tc>
        <w:tc>
          <w:tcPr>
            <w:tcW w:w="2438" w:type="dxa"/>
            <w:hideMark/>
          </w:tcPr>
          <w:p w14:paraId="3414E8ED"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2138983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334B187"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678B5451"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72EA42E"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E3DBFAA" w14:textId="77777777" w:rsidTr="00391854">
        <w:trPr>
          <w:trHeight w:val="300"/>
        </w:trPr>
        <w:tc>
          <w:tcPr>
            <w:tcW w:w="1697" w:type="dxa"/>
            <w:hideMark/>
          </w:tcPr>
          <w:p w14:paraId="30B00051" w14:textId="77777777" w:rsidR="000A152B" w:rsidRPr="00901194" w:rsidRDefault="000A152B" w:rsidP="000A152B">
            <w:pPr>
              <w:spacing w:line="240" w:lineRule="auto"/>
              <w:rPr>
                <w:rFonts w:cs="Times New Roman"/>
              </w:rPr>
            </w:pPr>
            <w:r w:rsidRPr="00901194">
              <w:rPr>
                <w:rFonts w:cs="Times New Roman"/>
              </w:rPr>
              <w:t>SO24</w:t>
            </w:r>
          </w:p>
        </w:tc>
        <w:tc>
          <w:tcPr>
            <w:tcW w:w="1530" w:type="dxa"/>
            <w:hideMark/>
          </w:tcPr>
          <w:p w14:paraId="6B08E06A" w14:textId="77777777" w:rsidR="000A152B" w:rsidRPr="00901194" w:rsidRDefault="000A152B" w:rsidP="000A152B">
            <w:pPr>
              <w:spacing w:line="240" w:lineRule="auto"/>
              <w:rPr>
                <w:rFonts w:cs="Times New Roman"/>
              </w:rPr>
            </w:pPr>
            <w:r w:rsidRPr="00901194">
              <w:rPr>
                <w:rFonts w:cs="Times New Roman"/>
              </w:rPr>
              <w:t>Chile chilhuacle rojo</w:t>
            </w:r>
          </w:p>
        </w:tc>
        <w:tc>
          <w:tcPr>
            <w:tcW w:w="2438" w:type="dxa"/>
            <w:hideMark/>
          </w:tcPr>
          <w:p w14:paraId="4E963D2A"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74B55B6E"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C818FBB"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4173F40B"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8660E4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D51B29E" w14:textId="77777777" w:rsidTr="00391854">
        <w:trPr>
          <w:trHeight w:val="300"/>
        </w:trPr>
        <w:tc>
          <w:tcPr>
            <w:tcW w:w="1697" w:type="dxa"/>
            <w:hideMark/>
          </w:tcPr>
          <w:p w14:paraId="41EE8D63" w14:textId="77777777" w:rsidR="000A152B" w:rsidRPr="00901194" w:rsidRDefault="000A152B" w:rsidP="000A152B">
            <w:pPr>
              <w:spacing w:line="240" w:lineRule="auto"/>
              <w:rPr>
                <w:rFonts w:cs="Times New Roman"/>
              </w:rPr>
            </w:pPr>
            <w:r w:rsidRPr="00901194">
              <w:rPr>
                <w:rFonts w:cs="Times New Roman"/>
              </w:rPr>
              <w:t>SO25</w:t>
            </w:r>
          </w:p>
        </w:tc>
        <w:tc>
          <w:tcPr>
            <w:tcW w:w="1530" w:type="dxa"/>
            <w:hideMark/>
          </w:tcPr>
          <w:p w14:paraId="77B2E461" w14:textId="77777777" w:rsidR="000A152B" w:rsidRPr="00901194" w:rsidRDefault="000A152B" w:rsidP="000A152B">
            <w:pPr>
              <w:spacing w:line="240" w:lineRule="auto"/>
              <w:rPr>
                <w:rFonts w:cs="Times New Roman"/>
              </w:rPr>
            </w:pPr>
            <w:r w:rsidRPr="00901194">
              <w:rPr>
                <w:rFonts w:cs="Times New Roman"/>
              </w:rPr>
              <w:t>Chile de onza amarillo</w:t>
            </w:r>
          </w:p>
        </w:tc>
        <w:tc>
          <w:tcPr>
            <w:tcW w:w="2438" w:type="dxa"/>
            <w:hideMark/>
          </w:tcPr>
          <w:p w14:paraId="24F06024"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34A50525"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9C31B88"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0D04080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EB3A870"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58D4A92" w14:textId="77777777" w:rsidTr="00391854">
        <w:trPr>
          <w:trHeight w:val="300"/>
        </w:trPr>
        <w:tc>
          <w:tcPr>
            <w:tcW w:w="1697" w:type="dxa"/>
            <w:hideMark/>
          </w:tcPr>
          <w:p w14:paraId="423E40D3" w14:textId="77777777" w:rsidR="000A152B" w:rsidRPr="00901194" w:rsidRDefault="000A152B" w:rsidP="000A152B">
            <w:pPr>
              <w:spacing w:line="240" w:lineRule="auto"/>
              <w:rPr>
                <w:rFonts w:cs="Times New Roman"/>
              </w:rPr>
            </w:pPr>
            <w:r w:rsidRPr="00901194">
              <w:rPr>
                <w:rFonts w:cs="Times New Roman"/>
              </w:rPr>
              <w:t>SO26</w:t>
            </w:r>
          </w:p>
        </w:tc>
        <w:tc>
          <w:tcPr>
            <w:tcW w:w="1530" w:type="dxa"/>
            <w:hideMark/>
          </w:tcPr>
          <w:p w14:paraId="6949A801" w14:textId="77777777" w:rsidR="000A152B" w:rsidRPr="00901194" w:rsidRDefault="000A152B" w:rsidP="000A152B">
            <w:pPr>
              <w:spacing w:line="240" w:lineRule="auto"/>
              <w:rPr>
                <w:rFonts w:cs="Times New Roman"/>
              </w:rPr>
            </w:pPr>
            <w:r w:rsidRPr="00901194">
              <w:rPr>
                <w:rFonts w:cs="Times New Roman"/>
              </w:rPr>
              <w:t>Chile costeno amarillo</w:t>
            </w:r>
          </w:p>
        </w:tc>
        <w:tc>
          <w:tcPr>
            <w:tcW w:w="2438" w:type="dxa"/>
            <w:hideMark/>
          </w:tcPr>
          <w:p w14:paraId="49BF27E6"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56A6DD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F055974"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2B458A63"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5DACA3D"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D2B6A3F" w14:textId="77777777" w:rsidTr="00391854">
        <w:trPr>
          <w:trHeight w:val="300"/>
        </w:trPr>
        <w:tc>
          <w:tcPr>
            <w:tcW w:w="1697" w:type="dxa"/>
            <w:hideMark/>
          </w:tcPr>
          <w:p w14:paraId="287296A9" w14:textId="77777777" w:rsidR="000A152B" w:rsidRPr="00901194" w:rsidRDefault="000A152B" w:rsidP="000A152B">
            <w:pPr>
              <w:spacing w:line="240" w:lineRule="auto"/>
              <w:rPr>
                <w:rFonts w:cs="Times New Roman"/>
              </w:rPr>
            </w:pPr>
            <w:r w:rsidRPr="00901194">
              <w:rPr>
                <w:rFonts w:cs="Times New Roman"/>
              </w:rPr>
              <w:t>SO28</w:t>
            </w:r>
          </w:p>
        </w:tc>
        <w:tc>
          <w:tcPr>
            <w:tcW w:w="1530" w:type="dxa"/>
            <w:hideMark/>
          </w:tcPr>
          <w:p w14:paraId="4F0AA025" w14:textId="77777777" w:rsidR="000A152B" w:rsidRPr="00901194" w:rsidRDefault="000A152B" w:rsidP="000A152B">
            <w:pPr>
              <w:spacing w:line="240" w:lineRule="auto"/>
              <w:rPr>
                <w:rFonts w:cs="Times New Roman"/>
              </w:rPr>
            </w:pPr>
            <w:r w:rsidRPr="00901194">
              <w:rPr>
                <w:rFonts w:cs="Times New Roman"/>
              </w:rPr>
              <w:t>Ciruela</w:t>
            </w:r>
          </w:p>
        </w:tc>
        <w:tc>
          <w:tcPr>
            <w:tcW w:w="2438" w:type="dxa"/>
            <w:hideMark/>
          </w:tcPr>
          <w:p w14:paraId="65AE819B" w14:textId="77777777" w:rsidR="000A152B" w:rsidRPr="00901194" w:rsidRDefault="000A152B" w:rsidP="000A152B">
            <w:pPr>
              <w:spacing w:line="240" w:lineRule="auto"/>
              <w:rPr>
                <w:rFonts w:cs="Times New Roman"/>
                <w:i/>
                <w:iCs/>
              </w:rPr>
            </w:pPr>
            <w:r w:rsidRPr="00901194">
              <w:rPr>
                <w:rFonts w:cs="Times New Roman"/>
                <w:i/>
                <w:iCs/>
              </w:rPr>
              <w:t>Spondias sp.</w:t>
            </w:r>
          </w:p>
        </w:tc>
        <w:tc>
          <w:tcPr>
            <w:tcW w:w="1108" w:type="dxa"/>
            <w:hideMark/>
          </w:tcPr>
          <w:p w14:paraId="72AF132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17F15C3"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4372BC12"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3A5DD66"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76A5ACC" w14:textId="77777777" w:rsidTr="00391854">
        <w:trPr>
          <w:trHeight w:val="300"/>
        </w:trPr>
        <w:tc>
          <w:tcPr>
            <w:tcW w:w="1697" w:type="dxa"/>
            <w:hideMark/>
          </w:tcPr>
          <w:p w14:paraId="7597C4B5" w14:textId="77777777" w:rsidR="000A152B" w:rsidRPr="00901194" w:rsidRDefault="000A152B" w:rsidP="000A152B">
            <w:pPr>
              <w:spacing w:line="240" w:lineRule="auto"/>
              <w:rPr>
                <w:rFonts w:cs="Times New Roman"/>
              </w:rPr>
            </w:pPr>
            <w:r w:rsidRPr="00901194">
              <w:rPr>
                <w:rFonts w:cs="Times New Roman"/>
              </w:rPr>
              <w:t>SO29</w:t>
            </w:r>
          </w:p>
        </w:tc>
        <w:tc>
          <w:tcPr>
            <w:tcW w:w="1530" w:type="dxa"/>
            <w:hideMark/>
          </w:tcPr>
          <w:p w14:paraId="5A623B14" w14:textId="77777777" w:rsidR="000A152B" w:rsidRPr="00901194" w:rsidRDefault="000A152B" w:rsidP="000A152B">
            <w:pPr>
              <w:spacing w:line="240" w:lineRule="auto"/>
              <w:rPr>
                <w:rFonts w:cs="Times New Roman"/>
              </w:rPr>
            </w:pPr>
            <w:r w:rsidRPr="00901194">
              <w:rPr>
                <w:rFonts w:cs="Times New Roman"/>
              </w:rPr>
              <w:t xml:space="preserve">Maracuya </w:t>
            </w:r>
          </w:p>
        </w:tc>
        <w:tc>
          <w:tcPr>
            <w:tcW w:w="2438" w:type="dxa"/>
            <w:hideMark/>
          </w:tcPr>
          <w:p w14:paraId="05815AB1" w14:textId="77777777" w:rsidR="000A152B" w:rsidRPr="00901194" w:rsidRDefault="000A152B" w:rsidP="000A152B">
            <w:pPr>
              <w:spacing w:line="240" w:lineRule="auto"/>
              <w:rPr>
                <w:rFonts w:cs="Times New Roman"/>
                <w:i/>
                <w:iCs/>
              </w:rPr>
            </w:pPr>
            <w:r w:rsidRPr="00901194">
              <w:rPr>
                <w:rFonts w:cs="Times New Roman"/>
                <w:i/>
                <w:iCs/>
              </w:rPr>
              <w:t>Passiflora edulis</w:t>
            </w:r>
          </w:p>
        </w:tc>
        <w:tc>
          <w:tcPr>
            <w:tcW w:w="1108" w:type="dxa"/>
            <w:hideMark/>
          </w:tcPr>
          <w:p w14:paraId="4E80E56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1EDADF5"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56376E6A"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793AD41"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A51F1CD" w14:textId="77777777" w:rsidTr="00391854">
        <w:trPr>
          <w:trHeight w:val="300"/>
        </w:trPr>
        <w:tc>
          <w:tcPr>
            <w:tcW w:w="1697" w:type="dxa"/>
            <w:hideMark/>
          </w:tcPr>
          <w:p w14:paraId="762A292F" w14:textId="77777777" w:rsidR="000A152B" w:rsidRPr="00901194" w:rsidRDefault="000A152B" w:rsidP="000A152B">
            <w:pPr>
              <w:spacing w:line="240" w:lineRule="auto"/>
              <w:rPr>
                <w:rFonts w:cs="Times New Roman"/>
              </w:rPr>
            </w:pPr>
            <w:r w:rsidRPr="00901194">
              <w:rPr>
                <w:rFonts w:cs="Times New Roman"/>
              </w:rPr>
              <w:t>SO30</w:t>
            </w:r>
          </w:p>
        </w:tc>
        <w:tc>
          <w:tcPr>
            <w:tcW w:w="1530" w:type="dxa"/>
            <w:hideMark/>
          </w:tcPr>
          <w:p w14:paraId="4A7AF18D" w14:textId="77777777" w:rsidR="000A152B" w:rsidRPr="00901194" w:rsidRDefault="000A152B" w:rsidP="000A152B">
            <w:pPr>
              <w:spacing w:line="240" w:lineRule="auto"/>
              <w:rPr>
                <w:rFonts w:cs="Times New Roman"/>
              </w:rPr>
            </w:pPr>
            <w:r w:rsidRPr="00901194">
              <w:rPr>
                <w:rFonts w:cs="Times New Roman"/>
              </w:rPr>
              <w:t>Guava</w:t>
            </w:r>
          </w:p>
        </w:tc>
        <w:tc>
          <w:tcPr>
            <w:tcW w:w="2438" w:type="dxa"/>
            <w:hideMark/>
          </w:tcPr>
          <w:p w14:paraId="69918344" w14:textId="77777777" w:rsidR="000A152B" w:rsidRPr="00901194" w:rsidRDefault="000A152B" w:rsidP="000A152B">
            <w:pPr>
              <w:spacing w:line="240" w:lineRule="auto"/>
              <w:rPr>
                <w:rFonts w:cs="Times New Roman"/>
                <w:i/>
                <w:iCs/>
              </w:rPr>
            </w:pPr>
            <w:r w:rsidRPr="00901194">
              <w:rPr>
                <w:rFonts w:cs="Times New Roman"/>
                <w:i/>
                <w:iCs/>
              </w:rPr>
              <w:t>Psidium guajava</w:t>
            </w:r>
          </w:p>
        </w:tc>
        <w:tc>
          <w:tcPr>
            <w:tcW w:w="1108" w:type="dxa"/>
            <w:hideMark/>
          </w:tcPr>
          <w:p w14:paraId="0E65A7C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CE1B86E"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2A6D56F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FACFC25"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3BA8B4B" w14:textId="77777777" w:rsidTr="00391854">
        <w:trPr>
          <w:trHeight w:val="300"/>
        </w:trPr>
        <w:tc>
          <w:tcPr>
            <w:tcW w:w="1697" w:type="dxa"/>
            <w:hideMark/>
          </w:tcPr>
          <w:p w14:paraId="64B647EC" w14:textId="77777777" w:rsidR="000A152B" w:rsidRPr="00901194" w:rsidRDefault="000A152B" w:rsidP="000A152B">
            <w:pPr>
              <w:spacing w:line="240" w:lineRule="auto"/>
              <w:rPr>
                <w:rFonts w:cs="Times New Roman"/>
              </w:rPr>
            </w:pPr>
            <w:r w:rsidRPr="00901194">
              <w:rPr>
                <w:rFonts w:cs="Times New Roman"/>
              </w:rPr>
              <w:lastRenderedPageBreak/>
              <w:t>SO31</w:t>
            </w:r>
          </w:p>
        </w:tc>
        <w:tc>
          <w:tcPr>
            <w:tcW w:w="1530" w:type="dxa"/>
            <w:hideMark/>
          </w:tcPr>
          <w:p w14:paraId="3FF20BA4" w14:textId="77777777" w:rsidR="000A152B" w:rsidRPr="00901194" w:rsidRDefault="000A152B" w:rsidP="000A152B">
            <w:pPr>
              <w:spacing w:line="240" w:lineRule="auto"/>
              <w:rPr>
                <w:rFonts w:cs="Times New Roman"/>
              </w:rPr>
            </w:pPr>
            <w:r w:rsidRPr="00901194">
              <w:rPr>
                <w:rFonts w:cs="Times New Roman"/>
              </w:rPr>
              <w:t>Aguacate criollo</w:t>
            </w:r>
          </w:p>
        </w:tc>
        <w:tc>
          <w:tcPr>
            <w:tcW w:w="2438" w:type="dxa"/>
            <w:hideMark/>
          </w:tcPr>
          <w:p w14:paraId="43B5636D" w14:textId="77777777" w:rsidR="000A152B" w:rsidRPr="00901194" w:rsidRDefault="000A152B" w:rsidP="000A152B">
            <w:pPr>
              <w:spacing w:line="240" w:lineRule="auto"/>
              <w:rPr>
                <w:rFonts w:cs="Times New Roman"/>
                <w:i/>
                <w:iCs/>
              </w:rPr>
            </w:pPr>
            <w:r w:rsidRPr="00901194">
              <w:rPr>
                <w:rFonts w:cs="Times New Roman"/>
                <w:i/>
                <w:iCs/>
              </w:rPr>
              <w:t>Persea americana</w:t>
            </w:r>
          </w:p>
        </w:tc>
        <w:tc>
          <w:tcPr>
            <w:tcW w:w="1108" w:type="dxa"/>
            <w:hideMark/>
          </w:tcPr>
          <w:p w14:paraId="20B42610"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A250902"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39D7595C"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58BEAC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EB9F9B5" w14:textId="77777777" w:rsidTr="00391854">
        <w:trPr>
          <w:trHeight w:val="300"/>
        </w:trPr>
        <w:tc>
          <w:tcPr>
            <w:tcW w:w="1697" w:type="dxa"/>
            <w:hideMark/>
          </w:tcPr>
          <w:p w14:paraId="167E7C2A" w14:textId="77777777" w:rsidR="000A152B" w:rsidRPr="00901194" w:rsidRDefault="000A152B" w:rsidP="000A152B">
            <w:pPr>
              <w:spacing w:line="240" w:lineRule="auto"/>
              <w:rPr>
                <w:rFonts w:cs="Times New Roman"/>
              </w:rPr>
            </w:pPr>
            <w:r w:rsidRPr="00901194">
              <w:rPr>
                <w:rFonts w:cs="Times New Roman"/>
              </w:rPr>
              <w:t>SO32</w:t>
            </w:r>
          </w:p>
        </w:tc>
        <w:tc>
          <w:tcPr>
            <w:tcW w:w="1530" w:type="dxa"/>
            <w:hideMark/>
          </w:tcPr>
          <w:p w14:paraId="0D6E086A" w14:textId="77777777" w:rsidR="000A152B" w:rsidRPr="00901194" w:rsidRDefault="000A152B" w:rsidP="000A152B">
            <w:pPr>
              <w:spacing w:line="240" w:lineRule="auto"/>
              <w:rPr>
                <w:rFonts w:cs="Times New Roman"/>
              </w:rPr>
            </w:pPr>
            <w:r w:rsidRPr="00901194">
              <w:rPr>
                <w:rFonts w:cs="Times New Roman"/>
              </w:rPr>
              <w:t>Chayote grande</w:t>
            </w:r>
          </w:p>
        </w:tc>
        <w:tc>
          <w:tcPr>
            <w:tcW w:w="2438" w:type="dxa"/>
            <w:hideMark/>
          </w:tcPr>
          <w:p w14:paraId="514583FA" w14:textId="77777777" w:rsidR="000A152B" w:rsidRPr="00901194" w:rsidRDefault="000A152B" w:rsidP="000A152B">
            <w:pPr>
              <w:spacing w:line="240" w:lineRule="auto"/>
              <w:rPr>
                <w:rFonts w:cs="Times New Roman"/>
                <w:i/>
                <w:iCs/>
              </w:rPr>
            </w:pPr>
            <w:r w:rsidRPr="00901194">
              <w:rPr>
                <w:rFonts w:cs="Times New Roman"/>
                <w:i/>
                <w:iCs/>
              </w:rPr>
              <w:t>Sechium edulis</w:t>
            </w:r>
          </w:p>
        </w:tc>
        <w:tc>
          <w:tcPr>
            <w:tcW w:w="1108" w:type="dxa"/>
            <w:hideMark/>
          </w:tcPr>
          <w:p w14:paraId="72E4F3DF"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46C9AFC"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6582A1D1"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5F86BAD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06A9AF5" w14:textId="77777777" w:rsidTr="00391854">
        <w:trPr>
          <w:trHeight w:val="300"/>
        </w:trPr>
        <w:tc>
          <w:tcPr>
            <w:tcW w:w="1697" w:type="dxa"/>
            <w:hideMark/>
          </w:tcPr>
          <w:p w14:paraId="4FAD726A" w14:textId="77777777" w:rsidR="000A152B" w:rsidRPr="00901194" w:rsidRDefault="000A152B" w:rsidP="000A152B">
            <w:pPr>
              <w:spacing w:line="240" w:lineRule="auto"/>
              <w:rPr>
                <w:rFonts w:cs="Times New Roman"/>
              </w:rPr>
            </w:pPr>
            <w:r w:rsidRPr="00901194">
              <w:rPr>
                <w:rFonts w:cs="Times New Roman"/>
              </w:rPr>
              <w:t>SO33</w:t>
            </w:r>
          </w:p>
        </w:tc>
        <w:tc>
          <w:tcPr>
            <w:tcW w:w="1530" w:type="dxa"/>
            <w:hideMark/>
          </w:tcPr>
          <w:p w14:paraId="4C0B284B" w14:textId="77777777" w:rsidR="000A152B" w:rsidRPr="00901194" w:rsidRDefault="000A152B" w:rsidP="000A152B">
            <w:pPr>
              <w:spacing w:line="240" w:lineRule="auto"/>
              <w:rPr>
                <w:rFonts w:cs="Times New Roman"/>
              </w:rPr>
            </w:pPr>
            <w:r w:rsidRPr="00901194">
              <w:rPr>
                <w:rFonts w:cs="Times New Roman"/>
              </w:rPr>
              <w:t>Chayote</w:t>
            </w:r>
          </w:p>
        </w:tc>
        <w:tc>
          <w:tcPr>
            <w:tcW w:w="2438" w:type="dxa"/>
            <w:hideMark/>
          </w:tcPr>
          <w:p w14:paraId="6315B2A4" w14:textId="77777777" w:rsidR="000A152B" w:rsidRPr="00901194" w:rsidRDefault="000A152B" w:rsidP="000A152B">
            <w:pPr>
              <w:spacing w:line="240" w:lineRule="auto"/>
              <w:rPr>
                <w:rFonts w:cs="Times New Roman"/>
                <w:i/>
                <w:iCs/>
              </w:rPr>
            </w:pPr>
            <w:r w:rsidRPr="00901194">
              <w:rPr>
                <w:rFonts w:cs="Times New Roman"/>
                <w:i/>
                <w:iCs/>
              </w:rPr>
              <w:t>Sechium edulis</w:t>
            </w:r>
          </w:p>
        </w:tc>
        <w:tc>
          <w:tcPr>
            <w:tcW w:w="1108" w:type="dxa"/>
            <w:hideMark/>
          </w:tcPr>
          <w:p w14:paraId="52731EE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575A89D"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2DD24BF4"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7B89CF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2C1F116" w14:textId="77777777" w:rsidTr="00391854">
        <w:trPr>
          <w:trHeight w:val="300"/>
        </w:trPr>
        <w:tc>
          <w:tcPr>
            <w:tcW w:w="1697" w:type="dxa"/>
            <w:hideMark/>
          </w:tcPr>
          <w:p w14:paraId="14C759C9" w14:textId="77777777" w:rsidR="000A152B" w:rsidRPr="00901194" w:rsidRDefault="000A152B" w:rsidP="000A152B">
            <w:pPr>
              <w:spacing w:line="240" w:lineRule="auto"/>
              <w:rPr>
                <w:rFonts w:cs="Times New Roman"/>
              </w:rPr>
            </w:pPr>
            <w:r w:rsidRPr="00901194">
              <w:rPr>
                <w:rFonts w:cs="Times New Roman"/>
              </w:rPr>
              <w:t>SO34</w:t>
            </w:r>
          </w:p>
        </w:tc>
        <w:tc>
          <w:tcPr>
            <w:tcW w:w="1530" w:type="dxa"/>
            <w:hideMark/>
          </w:tcPr>
          <w:p w14:paraId="3ECC3103" w14:textId="77777777" w:rsidR="000A152B" w:rsidRPr="00901194" w:rsidRDefault="000A152B" w:rsidP="000A152B">
            <w:pPr>
              <w:spacing w:line="240" w:lineRule="auto"/>
              <w:rPr>
                <w:rFonts w:cs="Times New Roman"/>
              </w:rPr>
            </w:pPr>
            <w:r w:rsidRPr="00901194">
              <w:rPr>
                <w:rFonts w:cs="Times New Roman"/>
              </w:rPr>
              <w:t>Aguacate criollo</w:t>
            </w:r>
          </w:p>
        </w:tc>
        <w:tc>
          <w:tcPr>
            <w:tcW w:w="2438" w:type="dxa"/>
            <w:hideMark/>
          </w:tcPr>
          <w:p w14:paraId="3A811FE3" w14:textId="77777777" w:rsidR="000A152B" w:rsidRPr="00901194" w:rsidRDefault="000A152B" w:rsidP="000A152B">
            <w:pPr>
              <w:spacing w:line="240" w:lineRule="auto"/>
              <w:rPr>
                <w:rFonts w:cs="Times New Roman"/>
                <w:i/>
                <w:iCs/>
              </w:rPr>
            </w:pPr>
            <w:r w:rsidRPr="00901194">
              <w:rPr>
                <w:rFonts w:cs="Times New Roman"/>
                <w:i/>
                <w:iCs/>
              </w:rPr>
              <w:t>Persea americana</w:t>
            </w:r>
          </w:p>
        </w:tc>
        <w:tc>
          <w:tcPr>
            <w:tcW w:w="1108" w:type="dxa"/>
            <w:hideMark/>
          </w:tcPr>
          <w:p w14:paraId="06B116E5"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2C7F0FC"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5B74CA5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A8245F1"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F150002" w14:textId="77777777" w:rsidTr="00391854">
        <w:trPr>
          <w:trHeight w:val="300"/>
        </w:trPr>
        <w:tc>
          <w:tcPr>
            <w:tcW w:w="1697" w:type="dxa"/>
            <w:hideMark/>
          </w:tcPr>
          <w:p w14:paraId="454ABE38" w14:textId="77777777" w:rsidR="000A152B" w:rsidRPr="00901194" w:rsidRDefault="000A152B" w:rsidP="000A152B">
            <w:pPr>
              <w:spacing w:line="240" w:lineRule="auto"/>
              <w:rPr>
                <w:rFonts w:cs="Times New Roman"/>
              </w:rPr>
            </w:pPr>
            <w:r w:rsidRPr="00901194">
              <w:rPr>
                <w:rFonts w:cs="Times New Roman"/>
              </w:rPr>
              <w:t>SO35</w:t>
            </w:r>
          </w:p>
        </w:tc>
        <w:tc>
          <w:tcPr>
            <w:tcW w:w="1530" w:type="dxa"/>
            <w:hideMark/>
          </w:tcPr>
          <w:p w14:paraId="5F705364" w14:textId="77777777" w:rsidR="000A152B" w:rsidRPr="00901194" w:rsidRDefault="000A152B" w:rsidP="000A152B">
            <w:pPr>
              <w:spacing w:line="240" w:lineRule="auto"/>
              <w:rPr>
                <w:rFonts w:cs="Times New Roman"/>
              </w:rPr>
            </w:pPr>
            <w:r w:rsidRPr="00901194">
              <w:rPr>
                <w:rFonts w:cs="Times New Roman"/>
              </w:rPr>
              <w:t>Mesquite</w:t>
            </w:r>
          </w:p>
        </w:tc>
        <w:tc>
          <w:tcPr>
            <w:tcW w:w="2438" w:type="dxa"/>
            <w:hideMark/>
          </w:tcPr>
          <w:p w14:paraId="733C167D" w14:textId="77777777" w:rsidR="000A152B" w:rsidRPr="00901194" w:rsidRDefault="000A152B" w:rsidP="000A152B">
            <w:pPr>
              <w:spacing w:line="240" w:lineRule="auto"/>
              <w:rPr>
                <w:rFonts w:cs="Times New Roman"/>
                <w:i/>
                <w:iCs/>
              </w:rPr>
            </w:pPr>
            <w:r w:rsidRPr="00901194">
              <w:rPr>
                <w:rFonts w:cs="Times New Roman"/>
                <w:i/>
                <w:iCs/>
              </w:rPr>
              <w:t>Prosopis sp.</w:t>
            </w:r>
          </w:p>
        </w:tc>
        <w:tc>
          <w:tcPr>
            <w:tcW w:w="1108" w:type="dxa"/>
            <w:hideMark/>
          </w:tcPr>
          <w:p w14:paraId="6337C09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CE3E1AD"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7D55A9F9"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5A66A6AC"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415D71E" w14:textId="77777777" w:rsidTr="00391854">
        <w:trPr>
          <w:trHeight w:val="300"/>
        </w:trPr>
        <w:tc>
          <w:tcPr>
            <w:tcW w:w="1697" w:type="dxa"/>
            <w:hideMark/>
          </w:tcPr>
          <w:p w14:paraId="53AE194D" w14:textId="77777777" w:rsidR="000A152B" w:rsidRPr="00901194" w:rsidRDefault="000A152B" w:rsidP="000A152B">
            <w:pPr>
              <w:spacing w:line="240" w:lineRule="auto"/>
              <w:rPr>
                <w:rFonts w:cs="Times New Roman"/>
              </w:rPr>
            </w:pPr>
            <w:r w:rsidRPr="00901194">
              <w:rPr>
                <w:rFonts w:cs="Times New Roman"/>
              </w:rPr>
              <w:t>SO36</w:t>
            </w:r>
          </w:p>
        </w:tc>
        <w:tc>
          <w:tcPr>
            <w:tcW w:w="1530" w:type="dxa"/>
            <w:hideMark/>
          </w:tcPr>
          <w:p w14:paraId="590D913D" w14:textId="77777777" w:rsidR="000A152B" w:rsidRPr="00901194" w:rsidRDefault="000A152B" w:rsidP="000A152B">
            <w:pPr>
              <w:spacing w:line="240" w:lineRule="auto"/>
              <w:rPr>
                <w:rFonts w:cs="Times New Roman"/>
              </w:rPr>
            </w:pPr>
            <w:r w:rsidRPr="00901194">
              <w:rPr>
                <w:rFonts w:cs="Times New Roman"/>
              </w:rPr>
              <w:t>Nopal cacuts</w:t>
            </w:r>
          </w:p>
        </w:tc>
        <w:tc>
          <w:tcPr>
            <w:tcW w:w="2438" w:type="dxa"/>
            <w:hideMark/>
          </w:tcPr>
          <w:p w14:paraId="7889AB12" w14:textId="77777777" w:rsidR="000A152B" w:rsidRPr="00901194" w:rsidRDefault="000A152B" w:rsidP="000A152B">
            <w:pPr>
              <w:spacing w:line="240" w:lineRule="auto"/>
              <w:rPr>
                <w:rFonts w:cs="Times New Roman"/>
                <w:i/>
                <w:iCs/>
              </w:rPr>
            </w:pPr>
            <w:r w:rsidRPr="00901194">
              <w:rPr>
                <w:rFonts w:cs="Times New Roman"/>
                <w:i/>
                <w:iCs/>
              </w:rPr>
              <w:t>Opuntia ficus-indica</w:t>
            </w:r>
          </w:p>
        </w:tc>
        <w:tc>
          <w:tcPr>
            <w:tcW w:w="1108" w:type="dxa"/>
            <w:hideMark/>
          </w:tcPr>
          <w:p w14:paraId="5474D08B"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07139D7"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32C4C2AD"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416D2AF5"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B71C8D1" w14:textId="77777777" w:rsidTr="00391854">
        <w:trPr>
          <w:trHeight w:val="300"/>
        </w:trPr>
        <w:tc>
          <w:tcPr>
            <w:tcW w:w="1697" w:type="dxa"/>
            <w:hideMark/>
          </w:tcPr>
          <w:p w14:paraId="24EA52C5" w14:textId="77777777" w:rsidR="000A152B" w:rsidRPr="00901194" w:rsidRDefault="000A152B" w:rsidP="000A152B">
            <w:pPr>
              <w:spacing w:line="240" w:lineRule="auto"/>
              <w:rPr>
                <w:rFonts w:cs="Times New Roman"/>
              </w:rPr>
            </w:pPr>
            <w:r w:rsidRPr="00901194">
              <w:rPr>
                <w:rFonts w:cs="Times New Roman"/>
              </w:rPr>
              <w:t>SO37</w:t>
            </w:r>
          </w:p>
        </w:tc>
        <w:tc>
          <w:tcPr>
            <w:tcW w:w="1530" w:type="dxa"/>
            <w:hideMark/>
          </w:tcPr>
          <w:p w14:paraId="4C76243C" w14:textId="77777777" w:rsidR="000A152B" w:rsidRPr="00901194" w:rsidRDefault="000A152B" w:rsidP="000A152B">
            <w:pPr>
              <w:spacing w:line="240" w:lineRule="auto"/>
              <w:rPr>
                <w:rFonts w:cs="Times New Roman"/>
              </w:rPr>
            </w:pPr>
            <w:r w:rsidRPr="00901194">
              <w:rPr>
                <w:rFonts w:cs="Times New Roman"/>
              </w:rPr>
              <w:t>Avocado</w:t>
            </w:r>
          </w:p>
        </w:tc>
        <w:tc>
          <w:tcPr>
            <w:tcW w:w="2438" w:type="dxa"/>
            <w:hideMark/>
          </w:tcPr>
          <w:p w14:paraId="6B58F560" w14:textId="77777777" w:rsidR="000A152B" w:rsidRPr="00901194" w:rsidRDefault="000A152B" w:rsidP="000A152B">
            <w:pPr>
              <w:spacing w:line="240" w:lineRule="auto"/>
              <w:rPr>
                <w:rFonts w:cs="Times New Roman"/>
                <w:i/>
                <w:iCs/>
              </w:rPr>
            </w:pPr>
            <w:r w:rsidRPr="00901194">
              <w:rPr>
                <w:rFonts w:cs="Times New Roman"/>
                <w:i/>
                <w:iCs/>
              </w:rPr>
              <w:t>Persea americana</w:t>
            </w:r>
          </w:p>
        </w:tc>
        <w:tc>
          <w:tcPr>
            <w:tcW w:w="1108" w:type="dxa"/>
            <w:hideMark/>
          </w:tcPr>
          <w:p w14:paraId="4ECA4D1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1FBACA4"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6F1AE824"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648A1BD"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E67A27C" w14:textId="77777777" w:rsidTr="00391854">
        <w:trPr>
          <w:trHeight w:val="300"/>
        </w:trPr>
        <w:tc>
          <w:tcPr>
            <w:tcW w:w="1697" w:type="dxa"/>
            <w:hideMark/>
          </w:tcPr>
          <w:p w14:paraId="3731EF30" w14:textId="77777777" w:rsidR="000A152B" w:rsidRPr="00901194" w:rsidRDefault="000A152B" w:rsidP="000A152B">
            <w:pPr>
              <w:spacing w:line="240" w:lineRule="auto"/>
              <w:rPr>
                <w:rFonts w:cs="Times New Roman"/>
              </w:rPr>
            </w:pPr>
            <w:r w:rsidRPr="00901194">
              <w:rPr>
                <w:rFonts w:cs="Times New Roman"/>
              </w:rPr>
              <w:t>SO38</w:t>
            </w:r>
          </w:p>
        </w:tc>
        <w:tc>
          <w:tcPr>
            <w:tcW w:w="1530" w:type="dxa"/>
            <w:hideMark/>
          </w:tcPr>
          <w:p w14:paraId="11B1E88B" w14:textId="77777777" w:rsidR="000A152B" w:rsidRPr="00901194" w:rsidRDefault="000A152B" w:rsidP="000A152B">
            <w:pPr>
              <w:spacing w:line="240" w:lineRule="auto"/>
              <w:rPr>
                <w:rFonts w:cs="Times New Roman"/>
              </w:rPr>
            </w:pPr>
            <w:r w:rsidRPr="00901194">
              <w:rPr>
                <w:rFonts w:cs="Times New Roman"/>
              </w:rPr>
              <w:t>Red prickly pear</w:t>
            </w:r>
          </w:p>
        </w:tc>
        <w:tc>
          <w:tcPr>
            <w:tcW w:w="2438" w:type="dxa"/>
            <w:hideMark/>
          </w:tcPr>
          <w:p w14:paraId="7132E9BF" w14:textId="77777777" w:rsidR="000A152B" w:rsidRPr="00901194" w:rsidRDefault="000A152B" w:rsidP="000A152B">
            <w:pPr>
              <w:spacing w:line="240" w:lineRule="auto"/>
              <w:rPr>
                <w:rFonts w:cs="Times New Roman"/>
                <w:i/>
                <w:iCs/>
              </w:rPr>
            </w:pPr>
            <w:r w:rsidRPr="00901194">
              <w:rPr>
                <w:rFonts w:cs="Times New Roman"/>
                <w:i/>
                <w:iCs/>
              </w:rPr>
              <w:t>Opuntia ficus-indica</w:t>
            </w:r>
          </w:p>
        </w:tc>
        <w:tc>
          <w:tcPr>
            <w:tcW w:w="1108" w:type="dxa"/>
            <w:hideMark/>
          </w:tcPr>
          <w:p w14:paraId="493E28A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0A9F6EA"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437258F5" w14:textId="77777777" w:rsidR="000A152B" w:rsidRPr="00901194" w:rsidRDefault="000A152B" w:rsidP="000A152B">
            <w:pPr>
              <w:spacing w:line="240" w:lineRule="auto"/>
              <w:rPr>
                <w:rFonts w:cs="Times New Roman"/>
              </w:rPr>
            </w:pPr>
            <w:r w:rsidRPr="00901194">
              <w:rPr>
                <w:rFonts w:cs="Times New Roman"/>
              </w:rPr>
              <w:t xml:space="preserve">Fruit </w:t>
            </w:r>
          </w:p>
        </w:tc>
        <w:tc>
          <w:tcPr>
            <w:tcW w:w="1463" w:type="dxa"/>
            <w:hideMark/>
          </w:tcPr>
          <w:p w14:paraId="14CB82DA"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5588031" w14:textId="77777777" w:rsidTr="00391854">
        <w:trPr>
          <w:trHeight w:val="300"/>
        </w:trPr>
        <w:tc>
          <w:tcPr>
            <w:tcW w:w="1697" w:type="dxa"/>
            <w:hideMark/>
          </w:tcPr>
          <w:p w14:paraId="48D15F37" w14:textId="77777777" w:rsidR="000A152B" w:rsidRPr="00901194" w:rsidRDefault="000A152B" w:rsidP="000A152B">
            <w:pPr>
              <w:spacing w:line="240" w:lineRule="auto"/>
              <w:rPr>
                <w:rFonts w:cs="Times New Roman"/>
              </w:rPr>
            </w:pPr>
            <w:r w:rsidRPr="00901194">
              <w:rPr>
                <w:rFonts w:cs="Times New Roman"/>
              </w:rPr>
              <w:t>SO39</w:t>
            </w:r>
          </w:p>
        </w:tc>
        <w:tc>
          <w:tcPr>
            <w:tcW w:w="1530" w:type="dxa"/>
            <w:hideMark/>
          </w:tcPr>
          <w:p w14:paraId="233E979A" w14:textId="77777777" w:rsidR="000A152B" w:rsidRPr="00901194" w:rsidRDefault="000A152B" w:rsidP="000A152B">
            <w:pPr>
              <w:spacing w:line="240" w:lineRule="auto"/>
              <w:rPr>
                <w:rFonts w:cs="Times New Roman"/>
              </w:rPr>
            </w:pPr>
            <w:r w:rsidRPr="00901194">
              <w:rPr>
                <w:rFonts w:cs="Times New Roman"/>
              </w:rPr>
              <w:t>Green prickly pear</w:t>
            </w:r>
          </w:p>
        </w:tc>
        <w:tc>
          <w:tcPr>
            <w:tcW w:w="2438" w:type="dxa"/>
            <w:hideMark/>
          </w:tcPr>
          <w:p w14:paraId="334AA186" w14:textId="77777777" w:rsidR="000A152B" w:rsidRPr="00901194" w:rsidRDefault="000A152B" w:rsidP="000A152B">
            <w:pPr>
              <w:spacing w:line="240" w:lineRule="auto"/>
              <w:rPr>
                <w:rFonts w:cs="Times New Roman"/>
                <w:i/>
                <w:iCs/>
              </w:rPr>
            </w:pPr>
            <w:r w:rsidRPr="00901194">
              <w:rPr>
                <w:rFonts w:cs="Times New Roman"/>
                <w:i/>
                <w:iCs/>
              </w:rPr>
              <w:t>Opuntia ficus-indica</w:t>
            </w:r>
          </w:p>
        </w:tc>
        <w:tc>
          <w:tcPr>
            <w:tcW w:w="1108" w:type="dxa"/>
            <w:hideMark/>
          </w:tcPr>
          <w:p w14:paraId="51235C75"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49ED8FB"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6CF70546" w14:textId="77777777" w:rsidR="000A152B" w:rsidRPr="00901194" w:rsidRDefault="000A152B" w:rsidP="000A152B">
            <w:pPr>
              <w:spacing w:line="240" w:lineRule="auto"/>
              <w:rPr>
                <w:rFonts w:cs="Times New Roman"/>
              </w:rPr>
            </w:pPr>
            <w:r w:rsidRPr="00901194">
              <w:rPr>
                <w:rFonts w:cs="Times New Roman"/>
              </w:rPr>
              <w:t xml:space="preserve">Fruit </w:t>
            </w:r>
          </w:p>
        </w:tc>
        <w:tc>
          <w:tcPr>
            <w:tcW w:w="1463" w:type="dxa"/>
            <w:hideMark/>
          </w:tcPr>
          <w:p w14:paraId="5B924471"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837A012" w14:textId="77777777" w:rsidTr="00391854">
        <w:trPr>
          <w:trHeight w:val="300"/>
        </w:trPr>
        <w:tc>
          <w:tcPr>
            <w:tcW w:w="1697" w:type="dxa"/>
            <w:hideMark/>
          </w:tcPr>
          <w:p w14:paraId="7F3A82CE" w14:textId="77777777" w:rsidR="000A152B" w:rsidRPr="00901194" w:rsidRDefault="000A152B" w:rsidP="000A152B">
            <w:pPr>
              <w:spacing w:line="240" w:lineRule="auto"/>
              <w:rPr>
                <w:rFonts w:cs="Times New Roman"/>
              </w:rPr>
            </w:pPr>
            <w:r w:rsidRPr="00901194">
              <w:rPr>
                <w:rFonts w:cs="Times New Roman"/>
              </w:rPr>
              <w:t>SO41</w:t>
            </w:r>
          </w:p>
        </w:tc>
        <w:tc>
          <w:tcPr>
            <w:tcW w:w="1530" w:type="dxa"/>
            <w:hideMark/>
          </w:tcPr>
          <w:p w14:paraId="02B92315" w14:textId="77777777" w:rsidR="000A152B" w:rsidRPr="00901194" w:rsidRDefault="000A152B" w:rsidP="000A152B">
            <w:pPr>
              <w:spacing w:line="240" w:lineRule="auto"/>
              <w:rPr>
                <w:rFonts w:cs="Times New Roman"/>
              </w:rPr>
            </w:pPr>
            <w:r w:rsidRPr="00901194">
              <w:rPr>
                <w:rFonts w:cs="Times New Roman"/>
              </w:rPr>
              <w:t>Maguey worm</w:t>
            </w:r>
          </w:p>
        </w:tc>
        <w:tc>
          <w:tcPr>
            <w:tcW w:w="2438" w:type="dxa"/>
            <w:hideMark/>
          </w:tcPr>
          <w:p w14:paraId="1383950E" w14:textId="77777777" w:rsidR="000A152B" w:rsidRPr="00901194" w:rsidRDefault="000A152B" w:rsidP="000A152B">
            <w:pPr>
              <w:spacing w:line="240" w:lineRule="auto"/>
              <w:rPr>
                <w:rFonts w:cs="Times New Roman"/>
                <w:i/>
                <w:iCs/>
              </w:rPr>
            </w:pPr>
            <w:r w:rsidRPr="00901194">
              <w:rPr>
                <w:rFonts w:cs="Times New Roman"/>
                <w:i/>
                <w:iCs/>
              </w:rPr>
              <w:t>Hypopta agavis</w:t>
            </w:r>
          </w:p>
        </w:tc>
        <w:tc>
          <w:tcPr>
            <w:tcW w:w="1108" w:type="dxa"/>
            <w:hideMark/>
          </w:tcPr>
          <w:p w14:paraId="39F9E4F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2D104DC"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67B449CE" w14:textId="77777777" w:rsidR="000A152B" w:rsidRPr="00901194" w:rsidRDefault="000A152B" w:rsidP="000A152B">
            <w:pPr>
              <w:spacing w:line="240" w:lineRule="auto"/>
              <w:rPr>
                <w:rFonts w:cs="Times New Roman"/>
              </w:rPr>
            </w:pPr>
            <w:r w:rsidRPr="00901194">
              <w:rPr>
                <w:rFonts w:cs="Times New Roman"/>
              </w:rPr>
              <w:t>Insect</w:t>
            </w:r>
          </w:p>
        </w:tc>
        <w:tc>
          <w:tcPr>
            <w:tcW w:w="1463" w:type="dxa"/>
            <w:hideMark/>
          </w:tcPr>
          <w:p w14:paraId="0A805488"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2DE97AA" w14:textId="77777777" w:rsidTr="00391854">
        <w:trPr>
          <w:trHeight w:val="300"/>
        </w:trPr>
        <w:tc>
          <w:tcPr>
            <w:tcW w:w="1697" w:type="dxa"/>
            <w:hideMark/>
          </w:tcPr>
          <w:p w14:paraId="0904DB5D" w14:textId="77777777" w:rsidR="000A152B" w:rsidRPr="00901194" w:rsidRDefault="000A152B" w:rsidP="000A152B">
            <w:pPr>
              <w:spacing w:line="240" w:lineRule="auto"/>
              <w:rPr>
                <w:rFonts w:cs="Times New Roman"/>
              </w:rPr>
            </w:pPr>
            <w:r w:rsidRPr="00901194">
              <w:rPr>
                <w:rFonts w:cs="Times New Roman"/>
              </w:rPr>
              <w:t>SO42</w:t>
            </w:r>
          </w:p>
        </w:tc>
        <w:tc>
          <w:tcPr>
            <w:tcW w:w="1530" w:type="dxa"/>
            <w:hideMark/>
          </w:tcPr>
          <w:p w14:paraId="1A6025FA" w14:textId="77777777" w:rsidR="000A152B" w:rsidRPr="00901194" w:rsidRDefault="000A152B" w:rsidP="000A152B">
            <w:pPr>
              <w:spacing w:line="240" w:lineRule="auto"/>
              <w:rPr>
                <w:rFonts w:cs="Times New Roman"/>
              </w:rPr>
            </w:pPr>
            <w:r w:rsidRPr="00901194">
              <w:rPr>
                <w:rFonts w:cs="Times New Roman"/>
              </w:rPr>
              <w:t>Chapulines pequeno</w:t>
            </w:r>
          </w:p>
        </w:tc>
        <w:tc>
          <w:tcPr>
            <w:tcW w:w="2438" w:type="dxa"/>
            <w:hideMark/>
          </w:tcPr>
          <w:p w14:paraId="759D9B38" w14:textId="77777777" w:rsidR="000A152B" w:rsidRPr="00901194" w:rsidRDefault="000A152B" w:rsidP="000A152B">
            <w:pPr>
              <w:spacing w:line="240" w:lineRule="auto"/>
              <w:rPr>
                <w:rFonts w:cs="Times New Roman"/>
                <w:i/>
                <w:iCs/>
              </w:rPr>
            </w:pPr>
            <w:r w:rsidRPr="00901194">
              <w:rPr>
                <w:rFonts w:cs="Times New Roman"/>
                <w:i/>
                <w:iCs/>
              </w:rPr>
              <w:t xml:space="preserve">Sphenarium spp. </w:t>
            </w:r>
          </w:p>
        </w:tc>
        <w:tc>
          <w:tcPr>
            <w:tcW w:w="1108" w:type="dxa"/>
            <w:hideMark/>
          </w:tcPr>
          <w:p w14:paraId="3A58A46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5A82DBA"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4FEF33C0" w14:textId="77777777" w:rsidR="000A152B" w:rsidRPr="00901194" w:rsidRDefault="000A152B" w:rsidP="000A152B">
            <w:pPr>
              <w:spacing w:line="240" w:lineRule="auto"/>
              <w:rPr>
                <w:rFonts w:cs="Times New Roman"/>
              </w:rPr>
            </w:pPr>
            <w:r w:rsidRPr="00901194">
              <w:rPr>
                <w:rFonts w:cs="Times New Roman"/>
              </w:rPr>
              <w:t>Insect</w:t>
            </w:r>
          </w:p>
        </w:tc>
        <w:tc>
          <w:tcPr>
            <w:tcW w:w="1463" w:type="dxa"/>
            <w:hideMark/>
          </w:tcPr>
          <w:p w14:paraId="26A13E45"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C73F109" w14:textId="77777777" w:rsidTr="00391854">
        <w:trPr>
          <w:trHeight w:val="300"/>
        </w:trPr>
        <w:tc>
          <w:tcPr>
            <w:tcW w:w="1697" w:type="dxa"/>
            <w:hideMark/>
          </w:tcPr>
          <w:p w14:paraId="006D09E3" w14:textId="77777777" w:rsidR="000A152B" w:rsidRPr="00901194" w:rsidRDefault="000A152B" w:rsidP="000A152B">
            <w:pPr>
              <w:spacing w:line="240" w:lineRule="auto"/>
              <w:rPr>
                <w:rFonts w:cs="Times New Roman"/>
              </w:rPr>
            </w:pPr>
            <w:r w:rsidRPr="00901194">
              <w:rPr>
                <w:rFonts w:cs="Times New Roman"/>
              </w:rPr>
              <w:t>SO43</w:t>
            </w:r>
          </w:p>
        </w:tc>
        <w:tc>
          <w:tcPr>
            <w:tcW w:w="1530" w:type="dxa"/>
            <w:hideMark/>
          </w:tcPr>
          <w:p w14:paraId="7220F49F" w14:textId="77777777" w:rsidR="000A152B" w:rsidRPr="00901194" w:rsidRDefault="000A152B" w:rsidP="000A152B">
            <w:pPr>
              <w:spacing w:line="240" w:lineRule="auto"/>
              <w:rPr>
                <w:rFonts w:cs="Times New Roman"/>
              </w:rPr>
            </w:pPr>
            <w:r w:rsidRPr="00901194">
              <w:rPr>
                <w:rFonts w:cs="Times New Roman"/>
              </w:rPr>
              <w:t>Chapulines grande</w:t>
            </w:r>
          </w:p>
        </w:tc>
        <w:tc>
          <w:tcPr>
            <w:tcW w:w="2438" w:type="dxa"/>
            <w:hideMark/>
          </w:tcPr>
          <w:p w14:paraId="75556993" w14:textId="77777777" w:rsidR="000A152B" w:rsidRPr="00901194" w:rsidRDefault="000A152B" w:rsidP="000A152B">
            <w:pPr>
              <w:spacing w:line="240" w:lineRule="auto"/>
              <w:rPr>
                <w:rFonts w:cs="Times New Roman"/>
                <w:i/>
                <w:iCs/>
              </w:rPr>
            </w:pPr>
            <w:r w:rsidRPr="00901194">
              <w:rPr>
                <w:rFonts w:cs="Times New Roman"/>
                <w:i/>
                <w:iCs/>
              </w:rPr>
              <w:t xml:space="preserve">Sphenarium spp. </w:t>
            </w:r>
          </w:p>
        </w:tc>
        <w:tc>
          <w:tcPr>
            <w:tcW w:w="1108" w:type="dxa"/>
            <w:hideMark/>
          </w:tcPr>
          <w:p w14:paraId="68C034D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0B839D5" w14:textId="77777777" w:rsidR="000A152B" w:rsidRPr="00901194" w:rsidRDefault="000A152B" w:rsidP="000A152B">
            <w:pPr>
              <w:spacing w:line="240" w:lineRule="auto"/>
              <w:rPr>
                <w:rFonts w:cs="Times New Roman"/>
              </w:rPr>
            </w:pPr>
            <w:r w:rsidRPr="00901194">
              <w:rPr>
                <w:rFonts w:cs="Times New Roman"/>
              </w:rPr>
              <w:t>Summer Oaxaca</w:t>
            </w:r>
          </w:p>
        </w:tc>
        <w:tc>
          <w:tcPr>
            <w:tcW w:w="1440" w:type="dxa"/>
            <w:hideMark/>
          </w:tcPr>
          <w:p w14:paraId="268F616B" w14:textId="77777777" w:rsidR="000A152B" w:rsidRPr="00901194" w:rsidRDefault="000A152B" w:rsidP="000A152B">
            <w:pPr>
              <w:spacing w:line="240" w:lineRule="auto"/>
              <w:rPr>
                <w:rFonts w:cs="Times New Roman"/>
              </w:rPr>
            </w:pPr>
            <w:r w:rsidRPr="00901194">
              <w:rPr>
                <w:rFonts w:cs="Times New Roman"/>
              </w:rPr>
              <w:t>Insect</w:t>
            </w:r>
          </w:p>
        </w:tc>
        <w:tc>
          <w:tcPr>
            <w:tcW w:w="1463" w:type="dxa"/>
            <w:hideMark/>
          </w:tcPr>
          <w:p w14:paraId="659912D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6A1E8AB" w14:textId="77777777" w:rsidTr="00391854">
        <w:trPr>
          <w:trHeight w:val="300"/>
        </w:trPr>
        <w:tc>
          <w:tcPr>
            <w:tcW w:w="1697" w:type="dxa"/>
            <w:hideMark/>
          </w:tcPr>
          <w:p w14:paraId="46F2AB94" w14:textId="77777777" w:rsidR="000A152B" w:rsidRPr="00901194" w:rsidRDefault="000A152B" w:rsidP="000A152B">
            <w:pPr>
              <w:spacing w:line="240" w:lineRule="auto"/>
              <w:rPr>
                <w:rFonts w:cs="Times New Roman"/>
              </w:rPr>
            </w:pPr>
            <w:r w:rsidRPr="00901194">
              <w:rPr>
                <w:rFonts w:cs="Times New Roman"/>
              </w:rPr>
              <w:t>WO02</w:t>
            </w:r>
          </w:p>
        </w:tc>
        <w:tc>
          <w:tcPr>
            <w:tcW w:w="1530" w:type="dxa"/>
            <w:hideMark/>
          </w:tcPr>
          <w:p w14:paraId="66AD2747" w14:textId="77777777" w:rsidR="000A152B" w:rsidRPr="00901194" w:rsidRDefault="000A152B" w:rsidP="000A152B">
            <w:pPr>
              <w:spacing w:line="240" w:lineRule="auto"/>
              <w:rPr>
                <w:rFonts w:cs="Times New Roman"/>
              </w:rPr>
            </w:pPr>
            <w:r w:rsidRPr="00901194">
              <w:rPr>
                <w:rFonts w:cs="Times New Roman"/>
              </w:rPr>
              <w:t>Cola de caballo</w:t>
            </w:r>
          </w:p>
        </w:tc>
        <w:tc>
          <w:tcPr>
            <w:tcW w:w="2438" w:type="dxa"/>
            <w:hideMark/>
          </w:tcPr>
          <w:p w14:paraId="1BC8B8D2" w14:textId="77777777" w:rsidR="000A152B" w:rsidRPr="00901194" w:rsidRDefault="000A152B" w:rsidP="000A152B">
            <w:pPr>
              <w:spacing w:line="240" w:lineRule="auto"/>
              <w:rPr>
                <w:rFonts w:cs="Times New Roman"/>
                <w:i/>
                <w:iCs/>
              </w:rPr>
            </w:pPr>
            <w:r w:rsidRPr="00901194">
              <w:rPr>
                <w:rFonts w:cs="Times New Roman"/>
                <w:i/>
                <w:iCs/>
              </w:rPr>
              <w:t>Equisetum spp.</w:t>
            </w:r>
          </w:p>
        </w:tc>
        <w:tc>
          <w:tcPr>
            <w:tcW w:w="1108" w:type="dxa"/>
            <w:hideMark/>
          </w:tcPr>
          <w:p w14:paraId="7E67049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127E674"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02C0C2A4"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37F7C088"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99BB0A6" w14:textId="77777777" w:rsidTr="00391854">
        <w:trPr>
          <w:trHeight w:val="300"/>
        </w:trPr>
        <w:tc>
          <w:tcPr>
            <w:tcW w:w="1697" w:type="dxa"/>
            <w:hideMark/>
          </w:tcPr>
          <w:p w14:paraId="7C67A8A2" w14:textId="77777777" w:rsidR="000A152B" w:rsidRPr="00901194" w:rsidRDefault="000A152B" w:rsidP="000A152B">
            <w:pPr>
              <w:spacing w:line="240" w:lineRule="auto"/>
              <w:rPr>
                <w:rFonts w:cs="Times New Roman"/>
              </w:rPr>
            </w:pPr>
            <w:r w:rsidRPr="00901194">
              <w:rPr>
                <w:rFonts w:cs="Times New Roman"/>
              </w:rPr>
              <w:t>WO03</w:t>
            </w:r>
          </w:p>
        </w:tc>
        <w:tc>
          <w:tcPr>
            <w:tcW w:w="1530" w:type="dxa"/>
            <w:hideMark/>
          </w:tcPr>
          <w:p w14:paraId="2FBD37C1" w14:textId="77777777" w:rsidR="000A152B" w:rsidRPr="00901194" w:rsidRDefault="000A152B" w:rsidP="000A152B">
            <w:pPr>
              <w:spacing w:line="240" w:lineRule="auto"/>
              <w:rPr>
                <w:rFonts w:cs="Times New Roman"/>
              </w:rPr>
            </w:pPr>
            <w:r w:rsidRPr="00901194">
              <w:rPr>
                <w:rFonts w:cs="Times New Roman"/>
              </w:rPr>
              <w:t>Gordolobo</w:t>
            </w:r>
          </w:p>
        </w:tc>
        <w:tc>
          <w:tcPr>
            <w:tcW w:w="2438" w:type="dxa"/>
            <w:hideMark/>
          </w:tcPr>
          <w:p w14:paraId="0910A5FB" w14:textId="77777777" w:rsidR="000A152B" w:rsidRPr="00901194" w:rsidRDefault="000A152B" w:rsidP="000A152B">
            <w:pPr>
              <w:spacing w:line="240" w:lineRule="auto"/>
              <w:rPr>
                <w:rFonts w:cs="Times New Roman"/>
                <w:i/>
                <w:iCs/>
              </w:rPr>
            </w:pPr>
            <w:r w:rsidRPr="00901194">
              <w:rPr>
                <w:rFonts w:cs="Times New Roman"/>
                <w:i/>
                <w:iCs/>
              </w:rPr>
              <w:t>Gnaphalium spp.</w:t>
            </w:r>
          </w:p>
        </w:tc>
        <w:tc>
          <w:tcPr>
            <w:tcW w:w="1108" w:type="dxa"/>
            <w:hideMark/>
          </w:tcPr>
          <w:p w14:paraId="5EBC50DE"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97747CF"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00AD75E" w14:textId="77777777" w:rsidR="000A152B" w:rsidRPr="00901194" w:rsidRDefault="000A152B" w:rsidP="000A152B">
            <w:pPr>
              <w:spacing w:line="240" w:lineRule="auto"/>
              <w:rPr>
                <w:rFonts w:cs="Times New Roman"/>
              </w:rPr>
            </w:pPr>
            <w:r w:rsidRPr="00901194">
              <w:rPr>
                <w:rFonts w:cs="Times New Roman"/>
              </w:rPr>
              <w:t>Flower</w:t>
            </w:r>
          </w:p>
        </w:tc>
        <w:tc>
          <w:tcPr>
            <w:tcW w:w="1463" w:type="dxa"/>
            <w:hideMark/>
          </w:tcPr>
          <w:p w14:paraId="6AF5250F"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1648598C" w14:textId="77777777" w:rsidTr="00391854">
        <w:trPr>
          <w:trHeight w:val="300"/>
        </w:trPr>
        <w:tc>
          <w:tcPr>
            <w:tcW w:w="1697" w:type="dxa"/>
            <w:hideMark/>
          </w:tcPr>
          <w:p w14:paraId="44D4C86A" w14:textId="77777777" w:rsidR="000A152B" w:rsidRPr="00901194" w:rsidRDefault="000A152B" w:rsidP="000A152B">
            <w:pPr>
              <w:spacing w:line="240" w:lineRule="auto"/>
              <w:rPr>
                <w:rFonts w:cs="Times New Roman"/>
              </w:rPr>
            </w:pPr>
            <w:r w:rsidRPr="00901194">
              <w:rPr>
                <w:rFonts w:cs="Times New Roman"/>
              </w:rPr>
              <w:t>WO04</w:t>
            </w:r>
          </w:p>
        </w:tc>
        <w:tc>
          <w:tcPr>
            <w:tcW w:w="1530" w:type="dxa"/>
            <w:hideMark/>
          </w:tcPr>
          <w:p w14:paraId="32196ADE" w14:textId="77777777" w:rsidR="000A152B" w:rsidRPr="00901194" w:rsidRDefault="000A152B" w:rsidP="000A152B">
            <w:pPr>
              <w:spacing w:line="240" w:lineRule="auto"/>
              <w:rPr>
                <w:rFonts w:cs="Times New Roman"/>
              </w:rPr>
            </w:pPr>
            <w:r w:rsidRPr="00901194">
              <w:rPr>
                <w:rFonts w:cs="Times New Roman"/>
              </w:rPr>
              <w:t>Cascara de encino rojo</w:t>
            </w:r>
          </w:p>
        </w:tc>
        <w:tc>
          <w:tcPr>
            <w:tcW w:w="2438" w:type="dxa"/>
            <w:hideMark/>
          </w:tcPr>
          <w:p w14:paraId="142590C1" w14:textId="77777777" w:rsidR="000A152B" w:rsidRPr="00901194" w:rsidRDefault="000A152B" w:rsidP="000A152B">
            <w:pPr>
              <w:spacing w:line="240" w:lineRule="auto"/>
              <w:rPr>
                <w:rFonts w:cs="Times New Roman"/>
                <w:i/>
                <w:iCs/>
              </w:rPr>
            </w:pPr>
            <w:r w:rsidRPr="00901194">
              <w:rPr>
                <w:rFonts w:cs="Times New Roman"/>
                <w:i/>
                <w:iCs/>
              </w:rPr>
              <w:t>Quercus rubra</w:t>
            </w:r>
          </w:p>
        </w:tc>
        <w:tc>
          <w:tcPr>
            <w:tcW w:w="1108" w:type="dxa"/>
            <w:hideMark/>
          </w:tcPr>
          <w:p w14:paraId="002F083F"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75BFAFB"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0EB83B77" w14:textId="77777777" w:rsidR="000A152B" w:rsidRPr="00901194" w:rsidRDefault="000A152B" w:rsidP="000A152B">
            <w:pPr>
              <w:spacing w:line="240" w:lineRule="auto"/>
              <w:rPr>
                <w:rFonts w:cs="Times New Roman"/>
              </w:rPr>
            </w:pPr>
            <w:r w:rsidRPr="00901194">
              <w:rPr>
                <w:rFonts w:cs="Times New Roman"/>
              </w:rPr>
              <w:t>Wood</w:t>
            </w:r>
          </w:p>
        </w:tc>
        <w:tc>
          <w:tcPr>
            <w:tcW w:w="1463" w:type="dxa"/>
            <w:hideMark/>
          </w:tcPr>
          <w:p w14:paraId="4CCE02A5"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771EEBE" w14:textId="77777777" w:rsidTr="00391854">
        <w:trPr>
          <w:trHeight w:val="300"/>
        </w:trPr>
        <w:tc>
          <w:tcPr>
            <w:tcW w:w="1697" w:type="dxa"/>
            <w:hideMark/>
          </w:tcPr>
          <w:p w14:paraId="70A00F05" w14:textId="77777777" w:rsidR="000A152B" w:rsidRPr="00901194" w:rsidRDefault="000A152B" w:rsidP="000A152B">
            <w:pPr>
              <w:spacing w:line="240" w:lineRule="auto"/>
              <w:rPr>
                <w:rFonts w:cs="Times New Roman"/>
              </w:rPr>
            </w:pPr>
            <w:r w:rsidRPr="00901194">
              <w:rPr>
                <w:rFonts w:cs="Times New Roman"/>
              </w:rPr>
              <w:t>WO08</w:t>
            </w:r>
          </w:p>
        </w:tc>
        <w:tc>
          <w:tcPr>
            <w:tcW w:w="1530" w:type="dxa"/>
            <w:hideMark/>
          </w:tcPr>
          <w:p w14:paraId="476D37BD" w14:textId="77777777" w:rsidR="000A152B" w:rsidRPr="00901194" w:rsidRDefault="000A152B" w:rsidP="000A152B">
            <w:pPr>
              <w:spacing w:line="240" w:lineRule="auto"/>
              <w:rPr>
                <w:rFonts w:cs="Times New Roman"/>
              </w:rPr>
            </w:pPr>
            <w:r w:rsidRPr="00901194">
              <w:rPr>
                <w:rFonts w:cs="Times New Roman"/>
              </w:rPr>
              <w:t>Cascara de pallo dulce</w:t>
            </w:r>
          </w:p>
        </w:tc>
        <w:tc>
          <w:tcPr>
            <w:tcW w:w="2438" w:type="dxa"/>
            <w:hideMark/>
          </w:tcPr>
          <w:p w14:paraId="4400307E" w14:textId="77777777" w:rsidR="000A152B" w:rsidRPr="00901194" w:rsidRDefault="000A152B" w:rsidP="000A152B">
            <w:pPr>
              <w:spacing w:line="240" w:lineRule="auto"/>
              <w:rPr>
                <w:rFonts w:cs="Times New Roman"/>
                <w:i/>
                <w:iCs/>
              </w:rPr>
            </w:pPr>
            <w:r w:rsidRPr="00901194">
              <w:rPr>
                <w:rFonts w:cs="Times New Roman"/>
                <w:i/>
                <w:iCs/>
              </w:rPr>
              <w:t>Eysenhardtia polystachya</w:t>
            </w:r>
          </w:p>
        </w:tc>
        <w:tc>
          <w:tcPr>
            <w:tcW w:w="1108" w:type="dxa"/>
            <w:hideMark/>
          </w:tcPr>
          <w:p w14:paraId="56511BA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09EB342"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34F996E" w14:textId="77777777" w:rsidR="000A152B" w:rsidRPr="00901194" w:rsidRDefault="000A152B" w:rsidP="000A152B">
            <w:pPr>
              <w:spacing w:line="240" w:lineRule="auto"/>
              <w:rPr>
                <w:rFonts w:cs="Times New Roman"/>
              </w:rPr>
            </w:pPr>
            <w:r w:rsidRPr="00901194">
              <w:rPr>
                <w:rFonts w:cs="Times New Roman"/>
              </w:rPr>
              <w:t>Wood</w:t>
            </w:r>
          </w:p>
        </w:tc>
        <w:tc>
          <w:tcPr>
            <w:tcW w:w="1463" w:type="dxa"/>
            <w:hideMark/>
          </w:tcPr>
          <w:p w14:paraId="7FBE027A"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44B81CFE" w14:textId="77777777" w:rsidTr="00391854">
        <w:trPr>
          <w:trHeight w:val="300"/>
        </w:trPr>
        <w:tc>
          <w:tcPr>
            <w:tcW w:w="1697" w:type="dxa"/>
            <w:hideMark/>
          </w:tcPr>
          <w:p w14:paraId="28E0C292" w14:textId="77777777" w:rsidR="000A152B" w:rsidRPr="00901194" w:rsidRDefault="000A152B" w:rsidP="000A152B">
            <w:pPr>
              <w:spacing w:line="240" w:lineRule="auto"/>
              <w:rPr>
                <w:rFonts w:cs="Times New Roman"/>
              </w:rPr>
            </w:pPr>
            <w:r w:rsidRPr="00901194">
              <w:rPr>
                <w:rFonts w:cs="Times New Roman"/>
              </w:rPr>
              <w:t>WO10</w:t>
            </w:r>
          </w:p>
        </w:tc>
        <w:tc>
          <w:tcPr>
            <w:tcW w:w="1530" w:type="dxa"/>
            <w:hideMark/>
          </w:tcPr>
          <w:p w14:paraId="519522D2" w14:textId="77777777" w:rsidR="000A152B" w:rsidRPr="00901194" w:rsidRDefault="000A152B" w:rsidP="000A152B">
            <w:pPr>
              <w:spacing w:line="240" w:lineRule="auto"/>
              <w:rPr>
                <w:rFonts w:cs="Times New Roman"/>
              </w:rPr>
            </w:pPr>
            <w:r w:rsidRPr="00901194">
              <w:rPr>
                <w:rFonts w:cs="Times New Roman"/>
              </w:rPr>
              <w:t>Pinguica</w:t>
            </w:r>
          </w:p>
        </w:tc>
        <w:tc>
          <w:tcPr>
            <w:tcW w:w="2438" w:type="dxa"/>
            <w:hideMark/>
          </w:tcPr>
          <w:p w14:paraId="6165AC93" w14:textId="77777777" w:rsidR="000A152B" w:rsidRPr="00901194" w:rsidRDefault="000A152B" w:rsidP="000A152B">
            <w:pPr>
              <w:spacing w:line="240" w:lineRule="auto"/>
              <w:rPr>
                <w:rFonts w:cs="Times New Roman"/>
                <w:i/>
                <w:iCs/>
              </w:rPr>
            </w:pPr>
            <w:r w:rsidRPr="00901194">
              <w:rPr>
                <w:rFonts w:cs="Times New Roman"/>
                <w:i/>
                <w:iCs/>
              </w:rPr>
              <w:t>Arctostaphylos pungens</w:t>
            </w:r>
          </w:p>
        </w:tc>
        <w:tc>
          <w:tcPr>
            <w:tcW w:w="1108" w:type="dxa"/>
            <w:hideMark/>
          </w:tcPr>
          <w:p w14:paraId="149A7EE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6028B22"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2AA04177"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60FC28DA"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536C205" w14:textId="77777777" w:rsidTr="00391854">
        <w:trPr>
          <w:trHeight w:val="300"/>
        </w:trPr>
        <w:tc>
          <w:tcPr>
            <w:tcW w:w="1697" w:type="dxa"/>
            <w:hideMark/>
          </w:tcPr>
          <w:p w14:paraId="663D2865" w14:textId="77777777" w:rsidR="000A152B" w:rsidRPr="00901194" w:rsidRDefault="000A152B" w:rsidP="000A152B">
            <w:pPr>
              <w:spacing w:line="240" w:lineRule="auto"/>
              <w:rPr>
                <w:rFonts w:cs="Times New Roman"/>
              </w:rPr>
            </w:pPr>
            <w:r w:rsidRPr="00901194">
              <w:rPr>
                <w:rFonts w:cs="Times New Roman"/>
              </w:rPr>
              <w:t>WO12</w:t>
            </w:r>
          </w:p>
        </w:tc>
        <w:tc>
          <w:tcPr>
            <w:tcW w:w="1530" w:type="dxa"/>
            <w:hideMark/>
          </w:tcPr>
          <w:p w14:paraId="534388A7" w14:textId="77777777" w:rsidR="000A152B" w:rsidRPr="00901194" w:rsidRDefault="000A152B" w:rsidP="000A152B">
            <w:pPr>
              <w:spacing w:line="240" w:lineRule="auto"/>
              <w:rPr>
                <w:rFonts w:cs="Times New Roman"/>
              </w:rPr>
            </w:pPr>
            <w:r w:rsidRPr="00901194">
              <w:rPr>
                <w:rFonts w:cs="Times New Roman"/>
              </w:rPr>
              <w:t>Guaje</w:t>
            </w:r>
          </w:p>
        </w:tc>
        <w:tc>
          <w:tcPr>
            <w:tcW w:w="2438" w:type="dxa"/>
            <w:hideMark/>
          </w:tcPr>
          <w:p w14:paraId="60DE3FF7" w14:textId="77777777" w:rsidR="000A152B" w:rsidRPr="00901194" w:rsidRDefault="000A152B" w:rsidP="000A152B">
            <w:pPr>
              <w:spacing w:line="240" w:lineRule="auto"/>
              <w:rPr>
                <w:rFonts w:cs="Times New Roman"/>
                <w:i/>
                <w:iCs/>
              </w:rPr>
            </w:pPr>
            <w:r w:rsidRPr="00901194">
              <w:rPr>
                <w:rFonts w:cs="Times New Roman"/>
                <w:i/>
                <w:iCs/>
              </w:rPr>
              <w:t>Leucaena esculenta</w:t>
            </w:r>
          </w:p>
        </w:tc>
        <w:tc>
          <w:tcPr>
            <w:tcW w:w="1108" w:type="dxa"/>
            <w:hideMark/>
          </w:tcPr>
          <w:p w14:paraId="4948C3A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7864D6A"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46547F06"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3299E6C4"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99432F1" w14:textId="77777777" w:rsidTr="00391854">
        <w:trPr>
          <w:trHeight w:val="300"/>
        </w:trPr>
        <w:tc>
          <w:tcPr>
            <w:tcW w:w="1697" w:type="dxa"/>
            <w:hideMark/>
          </w:tcPr>
          <w:p w14:paraId="30BE2B56" w14:textId="77777777" w:rsidR="000A152B" w:rsidRPr="00901194" w:rsidRDefault="000A152B" w:rsidP="000A152B">
            <w:pPr>
              <w:spacing w:line="240" w:lineRule="auto"/>
              <w:rPr>
                <w:rFonts w:cs="Times New Roman"/>
              </w:rPr>
            </w:pPr>
            <w:r w:rsidRPr="00901194">
              <w:rPr>
                <w:rFonts w:cs="Times New Roman"/>
              </w:rPr>
              <w:lastRenderedPageBreak/>
              <w:t>WO13</w:t>
            </w:r>
          </w:p>
        </w:tc>
        <w:tc>
          <w:tcPr>
            <w:tcW w:w="1530" w:type="dxa"/>
            <w:hideMark/>
          </w:tcPr>
          <w:p w14:paraId="0A913CD7" w14:textId="77777777" w:rsidR="000A152B" w:rsidRPr="00901194" w:rsidRDefault="000A152B" w:rsidP="000A152B">
            <w:pPr>
              <w:spacing w:line="240" w:lineRule="auto"/>
              <w:rPr>
                <w:rFonts w:cs="Times New Roman"/>
              </w:rPr>
            </w:pPr>
            <w:r w:rsidRPr="00901194">
              <w:rPr>
                <w:rFonts w:cs="Times New Roman"/>
              </w:rPr>
              <w:t>Nopal cactus</w:t>
            </w:r>
          </w:p>
        </w:tc>
        <w:tc>
          <w:tcPr>
            <w:tcW w:w="2438" w:type="dxa"/>
            <w:hideMark/>
          </w:tcPr>
          <w:p w14:paraId="00D7B93C" w14:textId="77777777" w:rsidR="000A152B" w:rsidRPr="00901194" w:rsidRDefault="000A152B" w:rsidP="000A152B">
            <w:pPr>
              <w:spacing w:line="240" w:lineRule="auto"/>
              <w:rPr>
                <w:rFonts w:cs="Times New Roman"/>
                <w:i/>
                <w:iCs/>
              </w:rPr>
            </w:pPr>
            <w:r w:rsidRPr="00901194">
              <w:rPr>
                <w:rFonts w:cs="Times New Roman"/>
                <w:i/>
                <w:iCs/>
              </w:rPr>
              <w:t>Opuntia ficus-indica</w:t>
            </w:r>
          </w:p>
        </w:tc>
        <w:tc>
          <w:tcPr>
            <w:tcW w:w="1108" w:type="dxa"/>
            <w:hideMark/>
          </w:tcPr>
          <w:p w14:paraId="6EE9DDF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CF4CB76"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62E2995"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63FE306A"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B85BE9C" w14:textId="77777777" w:rsidTr="00391854">
        <w:trPr>
          <w:trHeight w:val="300"/>
        </w:trPr>
        <w:tc>
          <w:tcPr>
            <w:tcW w:w="1697" w:type="dxa"/>
            <w:hideMark/>
          </w:tcPr>
          <w:p w14:paraId="357318A0" w14:textId="77777777" w:rsidR="000A152B" w:rsidRPr="00901194" w:rsidRDefault="000A152B" w:rsidP="000A152B">
            <w:pPr>
              <w:spacing w:line="240" w:lineRule="auto"/>
              <w:rPr>
                <w:rFonts w:cs="Times New Roman"/>
              </w:rPr>
            </w:pPr>
            <w:r w:rsidRPr="00901194">
              <w:rPr>
                <w:rFonts w:cs="Times New Roman"/>
              </w:rPr>
              <w:t>WO14</w:t>
            </w:r>
          </w:p>
        </w:tc>
        <w:tc>
          <w:tcPr>
            <w:tcW w:w="1530" w:type="dxa"/>
            <w:hideMark/>
          </w:tcPr>
          <w:p w14:paraId="1B847A22" w14:textId="77777777" w:rsidR="000A152B" w:rsidRPr="00901194" w:rsidRDefault="000A152B" w:rsidP="000A152B">
            <w:pPr>
              <w:spacing w:line="240" w:lineRule="auto"/>
              <w:rPr>
                <w:rFonts w:cs="Times New Roman"/>
              </w:rPr>
            </w:pPr>
            <w:r w:rsidRPr="00901194">
              <w:rPr>
                <w:rFonts w:cs="Times New Roman"/>
              </w:rPr>
              <w:t>Sweet potato</w:t>
            </w:r>
          </w:p>
        </w:tc>
        <w:tc>
          <w:tcPr>
            <w:tcW w:w="2438" w:type="dxa"/>
            <w:hideMark/>
          </w:tcPr>
          <w:p w14:paraId="444E332F" w14:textId="77777777" w:rsidR="000A152B" w:rsidRPr="00901194" w:rsidRDefault="000A152B" w:rsidP="000A152B">
            <w:pPr>
              <w:spacing w:line="240" w:lineRule="auto"/>
              <w:rPr>
                <w:rFonts w:cs="Times New Roman"/>
                <w:i/>
                <w:iCs/>
              </w:rPr>
            </w:pPr>
            <w:r w:rsidRPr="00901194">
              <w:rPr>
                <w:rFonts w:cs="Times New Roman"/>
                <w:i/>
                <w:iCs/>
              </w:rPr>
              <w:t>Ipomaea batatas</w:t>
            </w:r>
          </w:p>
        </w:tc>
        <w:tc>
          <w:tcPr>
            <w:tcW w:w="1108" w:type="dxa"/>
            <w:hideMark/>
          </w:tcPr>
          <w:p w14:paraId="070E5AD5"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CBF5F2A"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4B2BA87" w14:textId="77777777" w:rsidR="000A152B" w:rsidRPr="00901194" w:rsidRDefault="000A152B" w:rsidP="000A152B">
            <w:pPr>
              <w:spacing w:line="240" w:lineRule="auto"/>
              <w:rPr>
                <w:rFonts w:cs="Times New Roman"/>
              </w:rPr>
            </w:pPr>
            <w:r w:rsidRPr="00901194">
              <w:rPr>
                <w:rFonts w:cs="Times New Roman"/>
              </w:rPr>
              <w:t>Tuber</w:t>
            </w:r>
          </w:p>
        </w:tc>
        <w:tc>
          <w:tcPr>
            <w:tcW w:w="1463" w:type="dxa"/>
            <w:hideMark/>
          </w:tcPr>
          <w:p w14:paraId="37AAB8F1"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1BFB8F8C" w14:textId="77777777" w:rsidTr="00391854">
        <w:trPr>
          <w:trHeight w:val="300"/>
        </w:trPr>
        <w:tc>
          <w:tcPr>
            <w:tcW w:w="1697" w:type="dxa"/>
            <w:hideMark/>
          </w:tcPr>
          <w:p w14:paraId="44EE1DF8" w14:textId="77777777" w:rsidR="000A152B" w:rsidRPr="00901194" w:rsidRDefault="000A152B" w:rsidP="000A152B">
            <w:pPr>
              <w:spacing w:line="240" w:lineRule="auto"/>
              <w:rPr>
                <w:rFonts w:cs="Times New Roman"/>
              </w:rPr>
            </w:pPr>
            <w:r w:rsidRPr="00901194">
              <w:rPr>
                <w:rFonts w:cs="Times New Roman"/>
              </w:rPr>
              <w:t>WO15</w:t>
            </w:r>
          </w:p>
        </w:tc>
        <w:tc>
          <w:tcPr>
            <w:tcW w:w="1530" w:type="dxa"/>
            <w:hideMark/>
          </w:tcPr>
          <w:p w14:paraId="7E008EE1" w14:textId="77777777" w:rsidR="000A152B" w:rsidRPr="00901194" w:rsidRDefault="000A152B" w:rsidP="000A152B">
            <w:pPr>
              <w:spacing w:line="240" w:lineRule="auto"/>
              <w:rPr>
                <w:rFonts w:cs="Times New Roman"/>
              </w:rPr>
            </w:pPr>
            <w:r w:rsidRPr="00901194">
              <w:rPr>
                <w:rFonts w:cs="Times New Roman"/>
              </w:rPr>
              <w:t>Chayote (smooth)</w:t>
            </w:r>
          </w:p>
        </w:tc>
        <w:tc>
          <w:tcPr>
            <w:tcW w:w="2438" w:type="dxa"/>
            <w:hideMark/>
          </w:tcPr>
          <w:p w14:paraId="76763B21" w14:textId="77777777" w:rsidR="000A152B" w:rsidRPr="00901194" w:rsidRDefault="000A152B" w:rsidP="000A152B">
            <w:pPr>
              <w:spacing w:line="240" w:lineRule="auto"/>
              <w:rPr>
                <w:rFonts w:cs="Times New Roman"/>
                <w:i/>
                <w:iCs/>
              </w:rPr>
            </w:pPr>
            <w:r w:rsidRPr="00901194">
              <w:rPr>
                <w:rFonts w:cs="Times New Roman"/>
                <w:i/>
                <w:iCs/>
              </w:rPr>
              <w:t>Sechium edulis</w:t>
            </w:r>
          </w:p>
        </w:tc>
        <w:tc>
          <w:tcPr>
            <w:tcW w:w="1108" w:type="dxa"/>
            <w:hideMark/>
          </w:tcPr>
          <w:p w14:paraId="30C768AF"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D07D99D"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1344648"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D7927E0"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61F0AC5" w14:textId="77777777" w:rsidTr="00391854">
        <w:trPr>
          <w:trHeight w:val="300"/>
        </w:trPr>
        <w:tc>
          <w:tcPr>
            <w:tcW w:w="1697" w:type="dxa"/>
            <w:hideMark/>
          </w:tcPr>
          <w:p w14:paraId="1CBEB92A" w14:textId="77777777" w:rsidR="000A152B" w:rsidRPr="00901194" w:rsidRDefault="000A152B" w:rsidP="000A152B">
            <w:pPr>
              <w:spacing w:line="240" w:lineRule="auto"/>
              <w:rPr>
                <w:rFonts w:cs="Times New Roman"/>
              </w:rPr>
            </w:pPr>
            <w:r w:rsidRPr="00901194">
              <w:rPr>
                <w:rFonts w:cs="Times New Roman"/>
              </w:rPr>
              <w:t>WO16</w:t>
            </w:r>
          </w:p>
        </w:tc>
        <w:tc>
          <w:tcPr>
            <w:tcW w:w="1530" w:type="dxa"/>
            <w:hideMark/>
          </w:tcPr>
          <w:p w14:paraId="5BD248C9" w14:textId="77777777" w:rsidR="000A152B" w:rsidRPr="00901194" w:rsidRDefault="000A152B" w:rsidP="000A152B">
            <w:pPr>
              <w:spacing w:line="240" w:lineRule="auto"/>
              <w:rPr>
                <w:rFonts w:cs="Times New Roman"/>
              </w:rPr>
            </w:pPr>
            <w:r w:rsidRPr="00901194">
              <w:rPr>
                <w:rFonts w:cs="Times New Roman"/>
              </w:rPr>
              <w:t>Tomatillo</w:t>
            </w:r>
          </w:p>
        </w:tc>
        <w:tc>
          <w:tcPr>
            <w:tcW w:w="2438" w:type="dxa"/>
            <w:hideMark/>
          </w:tcPr>
          <w:p w14:paraId="2D3F40A1" w14:textId="77777777" w:rsidR="000A152B" w:rsidRPr="00901194" w:rsidRDefault="000A152B" w:rsidP="000A152B">
            <w:pPr>
              <w:spacing w:line="240" w:lineRule="auto"/>
              <w:rPr>
                <w:rFonts w:cs="Times New Roman"/>
                <w:i/>
                <w:iCs/>
              </w:rPr>
            </w:pPr>
            <w:r w:rsidRPr="00901194">
              <w:rPr>
                <w:rFonts w:cs="Times New Roman"/>
                <w:i/>
                <w:iCs/>
              </w:rPr>
              <w:t>Physalis philadelphica</w:t>
            </w:r>
          </w:p>
        </w:tc>
        <w:tc>
          <w:tcPr>
            <w:tcW w:w="1108" w:type="dxa"/>
            <w:hideMark/>
          </w:tcPr>
          <w:p w14:paraId="6E9F32C2"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C6B273F"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5CD95F1"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AFE3AB6"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B79D948" w14:textId="77777777" w:rsidTr="00391854">
        <w:trPr>
          <w:trHeight w:val="300"/>
        </w:trPr>
        <w:tc>
          <w:tcPr>
            <w:tcW w:w="1697" w:type="dxa"/>
            <w:hideMark/>
          </w:tcPr>
          <w:p w14:paraId="0FECF951" w14:textId="77777777" w:rsidR="000A152B" w:rsidRPr="00901194" w:rsidRDefault="000A152B" w:rsidP="000A152B">
            <w:pPr>
              <w:spacing w:line="240" w:lineRule="auto"/>
              <w:rPr>
                <w:rFonts w:cs="Times New Roman"/>
              </w:rPr>
            </w:pPr>
            <w:r w:rsidRPr="00901194">
              <w:rPr>
                <w:rFonts w:cs="Times New Roman"/>
              </w:rPr>
              <w:t>WO17</w:t>
            </w:r>
          </w:p>
        </w:tc>
        <w:tc>
          <w:tcPr>
            <w:tcW w:w="1530" w:type="dxa"/>
            <w:hideMark/>
          </w:tcPr>
          <w:p w14:paraId="1125526C" w14:textId="77777777" w:rsidR="000A152B" w:rsidRPr="00901194" w:rsidRDefault="000A152B" w:rsidP="000A152B">
            <w:pPr>
              <w:spacing w:line="240" w:lineRule="auto"/>
              <w:rPr>
                <w:rFonts w:cs="Times New Roman"/>
              </w:rPr>
            </w:pPr>
            <w:r w:rsidRPr="00901194">
              <w:rPr>
                <w:rFonts w:cs="Times New Roman"/>
              </w:rPr>
              <w:t>Habanjero</w:t>
            </w:r>
          </w:p>
        </w:tc>
        <w:tc>
          <w:tcPr>
            <w:tcW w:w="2438" w:type="dxa"/>
            <w:hideMark/>
          </w:tcPr>
          <w:p w14:paraId="5FD7C356" w14:textId="77777777" w:rsidR="000A152B" w:rsidRPr="00901194" w:rsidRDefault="000A152B" w:rsidP="000A152B">
            <w:pPr>
              <w:spacing w:line="240" w:lineRule="auto"/>
              <w:rPr>
                <w:rFonts w:cs="Times New Roman"/>
                <w:i/>
                <w:iCs/>
              </w:rPr>
            </w:pPr>
            <w:r w:rsidRPr="00901194">
              <w:rPr>
                <w:rFonts w:cs="Times New Roman"/>
                <w:i/>
                <w:iCs/>
              </w:rPr>
              <w:t>Capsicum chinense</w:t>
            </w:r>
          </w:p>
        </w:tc>
        <w:tc>
          <w:tcPr>
            <w:tcW w:w="1108" w:type="dxa"/>
            <w:hideMark/>
          </w:tcPr>
          <w:p w14:paraId="736DACBB"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18870C0"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A5A6876"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9667A97"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4557EB7B" w14:textId="77777777" w:rsidTr="00391854">
        <w:trPr>
          <w:trHeight w:val="300"/>
        </w:trPr>
        <w:tc>
          <w:tcPr>
            <w:tcW w:w="1697" w:type="dxa"/>
            <w:hideMark/>
          </w:tcPr>
          <w:p w14:paraId="3C9184AF" w14:textId="77777777" w:rsidR="000A152B" w:rsidRPr="00901194" w:rsidRDefault="000A152B" w:rsidP="000A152B">
            <w:pPr>
              <w:spacing w:line="240" w:lineRule="auto"/>
              <w:rPr>
                <w:rFonts w:cs="Times New Roman"/>
              </w:rPr>
            </w:pPr>
            <w:r w:rsidRPr="00901194">
              <w:rPr>
                <w:rFonts w:cs="Times New Roman"/>
              </w:rPr>
              <w:t>WO18</w:t>
            </w:r>
          </w:p>
        </w:tc>
        <w:tc>
          <w:tcPr>
            <w:tcW w:w="1530" w:type="dxa"/>
            <w:hideMark/>
          </w:tcPr>
          <w:p w14:paraId="359C0C36" w14:textId="77777777" w:rsidR="000A152B" w:rsidRPr="00901194" w:rsidRDefault="000A152B" w:rsidP="000A152B">
            <w:pPr>
              <w:spacing w:line="240" w:lineRule="auto"/>
              <w:rPr>
                <w:rFonts w:cs="Times New Roman"/>
              </w:rPr>
            </w:pPr>
            <w:r w:rsidRPr="00901194">
              <w:rPr>
                <w:rFonts w:cs="Times New Roman"/>
              </w:rPr>
              <w:t>Jalapeno</w:t>
            </w:r>
          </w:p>
        </w:tc>
        <w:tc>
          <w:tcPr>
            <w:tcW w:w="2438" w:type="dxa"/>
            <w:hideMark/>
          </w:tcPr>
          <w:p w14:paraId="3E8D36E7"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A801A1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F763DA6"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627D9DA"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1DD6427"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5473158" w14:textId="77777777" w:rsidTr="00391854">
        <w:trPr>
          <w:trHeight w:val="300"/>
        </w:trPr>
        <w:tc>
          <w:tcPr>
            <w:tcW w:w="1697" w:type="dxa"/>
            <w:hideMark/>
          </w:tcPr>
          <w:p w14:paraId="58F1BA2E" w14:textId="77777777" w:rsidR="000A152B" w:rsidRPr="00901194" w:rsidRDefault="000A152B" w:rsidP="000A152B">
            <w:pPr>
              <w:spacing w:line="240" w:lineRule="auto"/>
              <w:rPr>
                <w:rFonts w:cs="Times New Roman"/>
              </w:rPr>
            </w:pPr>
            <w:r w:rsidRPr="00901194">
              <w:rPr>
                <w:rFonts w:cs="Times New Roman"/>
              </w:rPr>
              <w:t>WO19</w:t>
            </w:r>
          </w:p>
        </w:tc>
        <w:tc>
          <w:tcPr>
            <w:tcW w:w="1530" w:type="dxa"/>
            <w:hideMark/>
          </w:tcPr>
          <w:p w14:paraId="4C805126" w14:textId="77777777" w:rsidR="000A152B" w:rsidRPr="00901194" w:rsidRDefault="000A152B" w:rsidP="000A152B">
            <w:pPr>
              <w:spacing w:line="240" w:lineRule="auto"/>
              <w:rPr>
                <w:rFonts w:cs="Times New Roman"/>
              </w:rPr>
            </w:pPr>
            <w:r w:rsidRPr="00901194">
              <w:rPr>
                <w:rFonts w:cs="Times New Roman"/>
              </w:rPr>
              <w:t>Serrano pepper</w:t>
            </w:r>
          </w:p>
        </w:tc>
        <w:tc>
          <w:tcPr>
            <w:tcW w:w="2438" w:type="dxa"/>
            <w:hideMark/>
          </w:tcPr>
          <w:p w14:paraId="71B601DB"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6E7233B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E36780D"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AA867B5"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99F748E"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61FCE60" w14:textId="77777777" w:rsidTr="00391854">
        <w:trPr>
          <w:trHeight w:val="300"/>
        </w:trPr>
        <w:tc>
          <w:tcPr>
            <w:tcW w:w="1697" w:type="dxa"/>
            <w:hideMark/>
          </w:tcPr>
          <w:p w14:paraId="773CDAED" w14:textId="77777777" w:rsidR="000A152B" w:rsidRPr="00901194" w:rsidRDefault="000A152B" w:rsidP="000A152B">
            <w:pPr>
              <w:spacing w:line="240" w:lineRule="auto"/>
              <w:rPr>
                <w:rFonts w:cs="Times New Roman"/>
              </w:rPr>
            </w:pPr>
            <w:r w:rsidRPr="00901194">
              <w:rPr>
                <w:rFonts w:cs="Times New Roman"/>
              </w:rPr>
              <w:t>WO20</w:t>
            </w:r>
          </w:p>
        </w:tc>
        <w:tc>
          <w:tcPr>
            <w:tcW w:w="1530" w:type="dxa"/>
            <w:hideMark/>
          </w:tcPr>
          <w:p w14:paraId="74A7ADC1" w14:textId="77777777" w:rsidR="000A152B" w:rsidRPr="00901194" w:rsidRDefault="000A152B" w:rsidP="000A152B">
            <w:pPr>
              <w:spacing w:line="240" w:lineRule="auto"/>
              <w:rPr>
                <w:rFonts w:cs="Times New Roman"/>
              </w:rPr>
            </w:pPr>
            <w:r w:rsidRPr="00901194">
              <w:rPr>
                <w:rFonts w:cs="Times New Roman"/>
              </w:rPr>
              <w:t>Jalapeno</w:t>
            </w:r>
          </w:p>
        </w:tc>
        <w:tc>
          <w:tcPr>
            <w:tcW w:w="2438" w:type="dxa"/>
            <w:hideMark/>
          </w:tcPr>
          <w:p w14:paraId="5FC1C876"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283440BE"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7A485BF"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DABF096"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4839A29A"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CCF42F3" w14:textId="77777777" w:rsidTr="00391854">
        <w:trPr>
          <w:trHeight w:val="300"/>
        </w:trPr>
        <w:tc>
          <w:tcPr>
            <w:tcW w:w="1697" w:type="dxa"/>
            <w:hideMark/>
          </w:tcPr>
          <w:p w14:paraId="6D3D304F" w14:textId="77777777" w:rsidR="000A152B" w:rsidRPr="00901194" w:rsidRDefault="000A152B" w:rsidP="000A152B">
            <w:pPr>
              <w:spacing w:line="240" w:lineRule="auto"/>
              <w:rPr>
                <w:rFonts w:cs="Times New Roman"/>
              </w:rPr>
            </w:pPr>
            <w:r w:rsidRPr="00901194">
              <w:rPr>
                <w:rFonts w:cs="Times New Roman"/>
              </w:rPr>
              <w:t>WO22</w:t>
            </w:r>
          </w:p>
        </w:tc>
        <w:tc>
          <w:tcPr>
            <w:tcW w:w="1530" w:type="dxa"/>
            <w:hideMark/>
          </w:tcPr>
          <w:p w14:paraId="5F733511" w14:textId="77777777" w:rsidR="000A152B" w:rsidRPr="00901194" w:rsidRDefault="000A152B" w:rsidP="000A152B">
            <w:pPr>
              <w:spacing w:line="240" w:lineRule="auto"/>
              <w:rPr>
                <w:rFonts w:cs="Times New Roman"/>
              </w:rPr>
            </w:pPr>
            <w:r w:rsidRPr="00901194">
              <w:rPr>
                <w:rFonts w:cs="Times New Roman"/>
              </w:rPr>
              <w:t>Huiche squash</w:t>
            </w:r>
          </w:p>
        </w:tc>
        <w:tc>
          <w:tcPr>
            <w:tcW w:w="2438" w:type="dxa"/>
            <w:hideMark/>
          </w:tcPr>
          <w:p w14:paraId="61C7BC71" w14:textId="77777777" w:rsidR="000A152B" w:rsidRPr="00901194" w:rsidRDefault="000A152B" w:rsidP="000A152B">
            <w:pPr>
              <w:spacing w:line="240" w:lineRule="auto"/>
              <w:rPr>
                <w:rFonts w:cs="Times New Roman"/>
                <w:i/>
                <w:iCs/>
              </w:rPr>
            </w:pPr>
            <w:r w:rsidRPr="00901194">
              <w:rPr>
                <w:rFonts w:cs="Times New Roman"/>
                <w:i/>
                <w:iCs/>
              </w:rPr>
              <w:t>Cucurbita pepo</w:t>
            </w:r>
          </w:p>
        </w:tc>
        <w:tc>
          <w:tcPr>
            <w:tcW w:w="1108" w:type="dxa"/>
            <w:hideMark/>
          </w:tcPr>
          <w:p w14:paraId="4695312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48AEFBE"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411C38AB"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72B6E07E"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7064CEA" w14:textId="77777777" w:rsidTr="00391854">
        <w:trPr>
          <w:trHeight w:val="300"/>
        </w:trPr>
        <w:tc>
          <w:tcPr>
            <w:tcW w:w="1697" w:type="dxa"/>
            <w:hideMark/>
          </w:tcPr>
          <w:p w14:paraId="664843CF" w14:textId="77777777" w:rsidR="000A152B" w:rsidRPr="00901194" w:rsidRDefault="000A152B" w:rsidP="000A152B">
            <w:pPr>
              <w:spacing w:line="240" w:lineRule="auto"/>
              <w:rPr>
                <w:rFonts w:cs="Times New Roman"/>
              </w:rPr>
            </w:pPr>
            <w:r w:rsidRPr="00901194">
              <w:rPr>
                <w:rFonts w:cs="Times New Roman"/>
              </w:rPr>
              <w:t>WO23</w:t>
            </w:r>
          </w:p>
        </w:tc>
        <w:tc>
          <w:tcPr>
            <w:tcW w:w="1530" w:type="dxa"/>
            <w:hideMark/>
          </w:tcPr>
          <w:p w14:paraId="7D5E4CD0" w14:textId="77777777" w:rsidR="000A152B" w:rsidRPr="00901194" w:rsidRDefault="000A152B" w:rsidP="000A152B">
            <w:pPr>
              <w:spacing w:line="240" w:lineRule="auto"/>
              <w:rPr>
                <w:rFonts w:cs="Times New Roman"/>
              </w:rPr>
            </w:pPr>
            <w:r w:rsidRPr="00901194">
              <w:rPr>
                <w:rFonts w:cs="Times New Roman"/>
              </w:rPr>
              <w:t>Tambulo squash</w:t>
            </w:r>
          </w:p>
        </w:tc>
        <w:tc>
          <w:tcPr>
            <w:tcW w:w="2438" w:type="dxa"/>
            <w:hideMark/>
          </w:tcPr>
          <w:p w14:paraId="25B5C7FE" w14:textId="77777777" w:rsidR="000A152B" w:rsidRPr="00901194" w:rsidRDefault="000A152B" w:rsidP="000A152B">
            <w:pPr>
              <w:spacing w:line="240" w:lineRule="auto"/>
              <w:rPr>
                <w:rFonts w:cs="Times New Roman"/>
                <w:i/>
                <w:iCs/>
              </w:rPr>
            </w:pPr>
            <w:r w:rsidRPr="00901194">
              <w:rPr>
                <w:rFonts w:cs="Times New Roman"/>
                <w:i/>
                <w:iCs/>
              </w:rPr>
              <w:t>Cucurbita pepo</w:t>
            </w:r>
          </w:p>
        </w:tc>
        <w:tc>
          <w:tcPr>
            <w:tcW w:w="1108" w:type="dxa"/>
            <w:hideMark/>
          </w:tcPr>
          <w:p w14:paraId="49C61BA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01F172D"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3C906D1"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2176839"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4BF2B122" w14:textId="77777777" w:rsidTr="00391854">
        <w:trPr>
          <w:trHeight w:val="300"/>
        </w:trPr>
        <w:tc>
          <w:tcPr>
            <w:tcW w:w="1697" w:type="dxa"/>
            <w:hideMark/>
          </w:tcPr>
          <w:p w14:paraId="07C190AB" w14:textId="77777777" w:rsidR="000A152B" w:rsidRPr="00901194" w:rsidRDefault="000A152B" w:rsidP="000A152B">
            <w:pPr>
              <w:spacing w:line="240" w:lineRule="auto"/>
              <w:rPr>
                <w:rFonts w:cs="Times New Roman"/>
              </w:rPr>
            </w:pPr>
            <w:r w:rsidRPr="00901194">
              <w:rPr>
                <w:rFonts w:cs="Times New Roman"/>
              </w:rPr>
              <w:t>WO24</w:t>
            </w:r>
          </w:p>
        </w:tc>
        <w:tc>
          <w:tcPr>
            <w:tcW w:w="1530" w:type="dxa"/>
            <w:hideMark/>
          </w:tcPr>
          <w:p w14:paraId="27D79390" w14:textId="77777777" w:rsidR="000A152B" w:rsidRPr="00901194" w:rsidRDefault="000A152B" w:rsidP="000A152B">
            <w:pPr>
              <w:spacing w:line="240" w:lineRule="auto"/>
              <w:rPr>
                <w:rFonts w:cs="Times New Roman"/>
              </w:rPr>
            </w:pPr>
            <w:r w:rsidRPr="00901194">
              <w:rPr>
                <w:rFonts w:cs="Times New Roman"/>
              </w:rPr>
              <w:t>Huiche squash</w:t>
            </w:r>
          </w:p>
        </w:tc>
        <w:tc>
          <w:tcPr>
            <w:tcW w:w="2438" w:type="dxa"/>
            <w:hideMark/>
          </w:tcPr>
          <w:p w14:paraId="1444D1EF" w14:textId="77777777" w:rsidR="000A152B" w:rsidRPr="00901194" w:rsidRDefault="000A152B" w:rsidP="000A152B">
            <w:pPr>
              <w:spacing w:line="240" w:lineRule="auto"/>
              <w:rPr>
                <w:rFonts w:cs="Times New Roman"/>
                <w:i/>
                <w:iCs/>
              </w:rPr>
            </w:pPr>
            <w:r w:rsidRPr="00901194">
              <w:rPr>
                <w:rFonts w:cs="Times New Roman"/>
                <w:i/>
                <w:iCs/>
              </w:rPr>
              <w:t>Cucurbita pepo</w:t>
            </w:r>
          </w:p>
        </w:tc>
        <w:tc>
          <w:tcPr>
            <w:tcW w:w="1108" w:type="dxa"/>
            <w:hideMark/>
          </w:tcPr>
          <w:p w14:paraId="2F36706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682EA32"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75F64A4"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1A4D7AC"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E8DD752" w14:textId="77777777" w:rsidTr="00391854">
        <w:trPr>
          <w:trHeight w:val="300"/>
        </w:trPr>
        <w:tc>
          <w:tcPr>
            <w:tcW w:w="1697" w:type="dxa"/>
            <w:hideMark/>
          </w:tcPr>
          <w:p w14:paraId="3882426A" w14:textId="77777777" w:rsidR="000A152B" w:rsidRPr="00901194" w:rsidRDefault="000A152B" w:rsidP="000A152B">
            <w:pPr>
              <w:spacing w:line="240" w:lineRule="auto"/>
              <w:rPr>
                <w:rFonts w:cs="Times New Roman"/>
              </w:rPr>
            </w:pPr>
            <w:r w:rsidRPr="00901194">
              <w:rPr>
                <w:rFonts w:cs="Times New Roman"/>
              </w:rPr>
              <w:t>WO25</w:t>
            </w:r>
          </w:p>
        </w:tc>
        <w:tc>
          <w:tcPr>
            <w:tcW w:w="1530" w:type="dxa"/>
            <w:hideMark/>
          </w:tcPr>
          <w:p w14:paraId="783AA6E9" w14:textId="77777777" w:rsidR="000A152B" w:rsidRPr="00901194" w:rsidRDefault="000A152B" w:rsidP="000A152B">
            <w:pPr>
              <w:spacing w:line="240" w:lineRule="auto"/>
              <w:rPr>
                <w:rFonts w:cs="Times New Roman"/>
              </w:rPr>
            </w:pPr>
            <w:r w:rsidRPr="00901194">
              <w:rPr>
                <w:rFonts w:cs="Times New Roman"/>
              </w:rPr>
              <w:t>Huiche squash</w:t>
            </w:r>
          </w:p>
        </w:tc>
        <w:tc>
          <w:tcPr>
            <w:tcW w:w="2438" w:type="dxa"/>
            <w:hideMark/>
          </w:tcPr>
          <w:p w14:paraId="7D2220A4" w14:textId="77777777" w:rsidR="000A152B" w:rsidRPr="00901194" w:rsidRDefault="000A152B" w:rsidP="000A152B">
            <w:pPr>
              <w:spacing w:line="240" w:lineRule="auto"/>
              <w:rPr>
                <w:rFonts w:cs="Times New Roman"/>
                <w:i/>
                <w:iCs/>
              </w:rPr>
            </w:pPr>
            <w:r w:rsidRPr="00901194">
              <w:rPr>
                <w:rFonts w:cs="Times New Roman"/>
                <w:i/>
                <w:iCs/>
              </w:rPr>
              <w:t>Cucurbita pepo</w:t>
            </w:r>
          </w:p>
        </w:tc>
        <w:tc>
          <w:tcPr>
            <w:tcW w:w="1108" w:type="dxa"/>
            <w:hideMark/>
          </w:tcPr>
          <w:p w14:paraId="214B384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DBAC9A4"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1D68E37" w14:textId="77777777" w:rsidR="000A152B" w:rsidRPr="00901194" w:rsidRDefault="000A152B" w:rsidP="000A152B">
            <w:pPr>
              <w:spacing w:line="240" w:lineRule="auto"/>
              <w:rPr>
                <w:rFonts w:cs="Times New Roman"/>
              </w:rPr>
            </w:pPr>
            <w:r w:rsidRPr="00901194">
              <w:rPr>
                <w:rFonts w:cs="Times New Roman"/>
              </w:rPr>
              <w:t>Flower</w:t>
            </w:r>
          </w:p>
        </w:tc>
        <w:tc>
          <w:tcPr>
            <w:tcW w:w="1463" w:type="dxa"/>
            <w:hideMark/>
          </w:tcPr>
          <w:p w14:paraId="7F1AB48F"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4EC69E5F" w14:textId="77777777" w:rsidTr="00391854">
        <w:trPr>
          <w:trHeight w:val="300"/>
        </w:trPr>
        <w:tc>
          <w:tcPr>
            <w:tcW w:w="1697" w:type="dxa"/>
            <w:hideMark/>
          </w:tcPr>
          <w:p w14:paraId="628A4AEA" w14:textId="77777777" w:rsidR="000A152B" w:rsidRPr="00901194" w:rsidRDefault="000A152B" w:rsidP="000A152B">
            <w:pPr>
              <w:spacing w:line="240" w:lineRule="auto"/>
              <w:rPr>
                <w:rFonts w:cs="Times New Roman"/>
              </w:rPr>
            </w:pPr>
            <w:r w:rsidRPr="00901194">
              <w:rPr>
                <w:rFonts w:cs="Times New Roman"/>
              </w:rPr>
              <w:t>WO26</w:t>
            </w:r>
          </w:p>
        </w:tc>
        <w:tc>
          <w:tcPr>
            <w:tcW w:w="1530" w:type="dxa"/>
            <w:hideMark/>
          </w:tcPr>
          <w:p w14:paraId="6E68E2F3" w14:textId="77777777" w:rsidR="000A152B" w:rsidRPr="00901194" w:rsidRDefault="000A152B" w:rsidP="000A152B">
            <w:pPr>
              <w:spacing w:line="240" w:lineRule="auto"/>
              <w:rPr>
                <w:rFonts w:cs="Times New Roman"/>
              </w:rPr>
            </w:pPr>
            <w:r w:rsidRPr="00901194">
              <w:rPr>
                <w:rFonts w:cs="Times New Roman"/>
              </w:rPr>
              <w:t>Chipil</w:t>
            </w:r>
          </w:p>
        </w:tc>
        <w:tc>
          <w:tcPr>
            <w:tcW w:w="2438" w:type="dxa"/>
            <w:hideMark/>
          </w:tcPr>
          <w:p w14:paraId="48D76C5A" w14:textId="77777777" w:rsidR="000A152B" w:rsidRPr="00901194" w:rsidRDefault="000A152B" w:rsidP="000A152B">
            <w:pPr>
              <w:spacing w:line="240" w:lineRule="auto"/>
              <w:rPr>
                <w:rFonts w:cs="Times New Roman"/>
                <w:i/>
                <w:iCs/>
              </w:rPr>
            </w:pPr>
            <w:r w:rsidRPr="00901194">
              <w:rPr>
                <w:rFonts w:cs="Times New Roman"/>
                <w:i/>
                <w:iCs/>
              </w:rPr>
              <w:t>Crotelaria sp.</w:t>
            </w:r>
          </w:p>
        </w:tc>
        <w:tc>
          <w:tcPr>
            <w:tcW w:w="1108" w:type="dxa"/>
            <w:hideMark/>
          </w:tcPr>
          <w:p w14:paraId="0B649E1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E110F87"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F8D729A"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50725F80"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4E4CECA" w14:textId="77777777" w:rsidTr="00391854">
        <w:trPr>
          <w:trHeight w:val="300"/>
        </w:trPr>
        <w:tc>
          <w:tcPr>
            <w:tcW w:w="1697" w:type="dxa"/>
            <w:hideMark/>
          </w:tcPr>
          <w:p w14:paraId="34B6796E" w14:textId="77777777" w:rsidR="000A152B" w:rsidRPr="00901194" w:rsidRDefault="000A152B" w:rsidP="000A152B">
            <w:pPr>
              <w:spacing w:line="240" w:lineRule="auto"/>
              <w:rPr>
                <w:rFonts w:cs="Times New Roman"/>
              </w:rPr>
            </w:pPr>
            <w:r w:rsidRPr="00901194">
              <w:rPr>
                <w:rFonts w:cs="Times New Roman"/>
              </w:rPr>
              <w:t>WO27</w:t>
            </w:r>
          </w:p>
        </w:tc>
        <w:tc>
          <w:tcPr>
            <w:tcW w:w="1530" w:type="dxa"/>
            <w:hideMark/>
          </w:tcPr>
          <w:p w14:paraId="575D3F69" w14:textId="77777777" w:rsidR="000A152B" w:rsidRPr="00901194" w:rsidRDefault="000A152B" w:rsidP="000A152B">
            <w:pPr>
              <w:spacing w:line="240" w:lineRule="auto"/>
              <w:rPr>
                <w:rFonts w:cs="Times New Roman"/>
              </w:rPr>
            </w:pPr>
            <w:r w:rsidRPr="00901194">
              <w:rPr>
                <w:rFonts w:cs="Times New Roman"/>
              </w:rPr>
              <w:t>Maize</w:t>
            </w:r>
          </w:p>
        </w:tc>
        <w:tc>
          <w:tcPr>
            <w:tcW w:w="2438" w:type="dxa"/>
            <w:hideMark/>
          </w:tcPr>
          <w:p w14:paraId="2F567FCE" w14:textId="77777777" w:rsidR="000A152B" w:rsidRPr="00901194" w:rsidRDefault="000A152B" w:rsidP="000A152B">
            <w:pPr>
              <w:spacing w:line="240" w:lineRule="auto"/>
              <w:rPr>
                <w:rFonts w:cs="Times New Roman"/>
                <w:i/>
                <w:iCs/>
              </w:rPr>
            </w:pPr>
            <w:r w:rsidRPr="00901194">
              <w:rPr>
                <w:rFonts w:cs="Times New Roman"/>
                <w:i/>
                <w:iCs/>
              </w:rPr>
              <w:t>Zea mays</w:t>
            </w:r>
          </w:p>
        </w:tc>
        <w:tc>
          <w:tcPr>
            <w:tcW w:w="1108" w:type="dxa"/>
            <w:hideMark/>
          </w:tcPr>
          <w:p w14:paraId="2471C17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B173AC9"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0536FAFA"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29470703"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B33CBD4" w14:textId="77777777" w:rsidTr="00391854">
        <w:trPr>
          <w:trHeight w:val="300"/>
        </w:trPr>
        <w:tc>
          <w:tcPr>
            <w:tcW w:w="1697" w:type="dxa"/>
            <w:hideMark/>
          </w:tcPr>
          <w:p w14:paraId="78DDE6E8" w14:textId="77777777" w:rsidR="000A152B" w:rsidRPr="00901194" w:rsidRDefault="000A152B" w:rsidP="000A152B">
            <w:pPr>
              <w:spacing w:line="240" w:lineRule="auto"/>
              <w:rPr>
                <w:rFonts w:cs="Times New Roman"/>
              </w:rPr>
            </w:pPr>
            <w:r w:rsidRPr="00901194">
              <w:rPr>
                <w:rFonts w:cs="Times New Roman"/>
              </w:rPr>
              <w:t>WO28</w:t>
            </w:r>
          </w:p>
        </w:tc>
        <w:tc>
          <w:tcPr>
            <w:tcW w:w="1530" w:type="dxa"/>
            <w:hideMark/>
          </w:tcPr>
          <w:p w14:paraId="73F05614" w14:textId="77777777" w:rsidR="000A152B" w:rsidRPr="00901194" w:rsidRDefault="000A152B" w:rsidP="000A152B">
            <w:pPr>
              <w:spacing w:line="240" w:lineRule="auto"/>
              <w:rPr>
                <w:rFonts w:cs="Times New Roman"/>
              </w:rPr>
            </w:pPr>
            <w:r w:rsidRPr="00901194">
              <w:rPr>
                <w:rFonts w:cs="Times New Roman"/>
              </w:rPr>
              <w:t>Berro</w:t>
            </w:r>
          </w:p>
        </w:tc>
        <w:tc>
          <w:tcPr>
            <w:tcW w:w="2438" w:type="dxa"/>
            <w:hideMark/>
          </w:tcPr>
          <w:p w14:paraId="66232A96" w14:textId="77777777" w:rsidR="000A152B" w:rsidRPr="00901194" w:rsidRDefault="000A152B" w:rsidP="000A152B">
            <w:pPr>
              <w:spacing w:line="240" w:lineRule="auto"/>
              <w:rPr>
                <w:rFonts w:cs="Times New Roman"/>
                <w:i/>
                <w:iCs/>
              </w:rPr>
            </w:pPr>
            <w:r w:rsidRPr="00901194">
              <w:rPr>
                <w:rFonts w:cs="Times New Roman"/>
                <w:i/>
                <w:iCs/>
              </w:rPr>
              <w:t>Nasturtium officinale</w:t>
            </w:r>
          </w:p>
        </w:tc>
        <w:tc>
          <w:tcPr>
            <w:tcW w:w="1108" w:type="dxa"/>
            <w:hideMark/>
          </w:tcPr>
          <w:p w14:paraId="6E2596EE"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31C0B84"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5F2A5E3"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58D2D49F"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359D66C" w14:textId="77777777" w:rsidTr="00391854">
        <w:trPr>
          <w:trHeight w:val="300"/>
        </w:trPr>
        <w:tc>
          <w:tcPr>
            <w:tcW w:w="1697" w:type="dxa"/>
            <w:hideMark/>
          </w:tcPr>
          <w:p w14:paraId="7D1F455A" w14:textId="77777777" w:rsidR="000A152B" w:rsidRPr="00901194" w:rsidRDefault="000A152B" w:rsidP="000A152B">
            <w:pPr>
              <w:spacing w:line="240" w:lineRule="auto"/>
              <w:rPr>
                <w:rFonts w:cs="Times New Roman"/>
              </w:rPr>
            </w:pPr>
            <w:r w:rsidRPr="00901194">
              <w:rPr>
                <w:rFonts w:cs="Times New Roman"/>
              </w:rPr>
              <w:t>WO29</w:t>
            </w:r>
          </w:p>
        </w:tc>
        <w:tc>
          <w:tcPr>
            <w:tcW w:w="1530" w:type="dxa"/>
            <w:hideMark/>
          </w:tcPr>
          <w:p w14:paraId="33B47685" w14:textId="77777777" w:rsidR="000A152B" w:rsidRPr="00901194" w:rsidRDefault="000A152B" w:rsidP="000A152B">
            <w:pPr>
              <w:spacing w:line="240" w:lineRule="auto"/>
              <w:rPr>
                <w:rFonts w:cs="Times New Roman"/>
              </w:rPr>
            </w:pPr>
            <w:r w:rsidRPr="00901194">
              <w:rPr>
                <w:rFonts w:cs="Times New Roman"/>
              </w:rPr>
              <w:t>Guatomate</w:t>
            </w:r>
          </w:p>
        </w:tc>
        <w:tc>
          <w:tcPr>
            <w:tcW w:w="2438" w:type="dxa"/>
            <w:hideMark/>
          </w:tcPr>
          <w:p w14:paraId="2D33AAA7" w14:textId="77777777" w:rsidR="000A152B" w:rsidRPr="00901194" w:rsidRDefault="000A152B" w:rsidP="000A152B">
            <w:pPr>
              <w:spacing w:line="240" w:lineRule="auto"/>
              <w:rPr>
                <w:rFonts w:cs="Times New Roman"/>
                <w:i/>
                <w:iCs/>
              </w:rPr>
            </w:pPr>
            <w:r w:rsidRPr="00901194">
              <w:rPr>
                <w:rFonts w:cs="Times New Roman"/>
                <w:i/>
                <w:iCs/>
              </w:rPr>
              <w:t>Lycopersicon esculentum</w:t>
            </w:r>
          </w:p>
        </w:tc>
        <w:tc>
          <w:tcPr>
            <w:tcW w:w="1108" w:type="dxa"/>
            <w:hideMark/>
          </w:tcPr>
          <w:p w14:paraId="32269672"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D665BB9"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2AD9868D"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60B877E"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6CD5EA6" w14:textId="77777777" w:rsidTr="00391854">
        <w:trPr>
          <w:trHeight w:val="300"/>
        </w:trPr>
        <w:tc>
          <w:tcPr>
            <w:tcW w:w="1697" w:type="dxa"/>
            <w:hideMark/>
          </w:tcPr>
          <w:p w14:paraId="1883CB92" w14:textId="77777777" w:rsidR="000A152B" w:rsidRPr="00901194" w:rsidRDefault="000A152B" w:rsidP="000A152B">
            <w:pPr>
              <w:spacing w:line="240" w:lineRule="auto"/>
              <w:rPr>
                <w:rFonts w:cs="Times New Roman"/>
              </w:rPr>
            </w:pPr>
            <w:r w:rsidRPr="00901194">
              <w:rPr>
                <w:rFonts w:cs="Times New Roman"/>
              </w:rPr>
              <w:t>WO31</w:t>
            </w:r>
          </w:p>
        </w:tc>
        <w:tc>
          <w:tcPr>
            <w:tcW w:w="1530" w:type="dxa"/>
            <w:hideMark/>
          </w:tcPr>
          <w:p w14:paraId="13256DD1" w14:textId="77777777" w:rsidR="000A152B" w:rsidRPr="00901194" w:rsidRDefault="000A152B" w:rsidP="000A152B">
            <w:pPr>
              <w:spacing w:line="240" w:lineRule="auto"/>
              <w:rPr>
                <w:rFonts w:cs="Times New Roman"/>
              </w:rPr>
            </w:pPr>
            <w:r w:rsidRPr="00901194">
              <w:rPr>
                <w:rFonts w:cs="Times New Roman"/>
              </w:rPr>
              <w:t>Zucchini</w:t>
            </w:r>
          </w:p>
        </w:tc>
        <w:tc>
          <w:tcPr>
            <w:tcW w:w="2438" w:type="dxa"/>
            <w:hideMark/>
          </w:tcPr>
          <w:p w14:paraId="1DF2B33C" w14:textId="77777777" w:rsidR="000A152B" w:rsidRPr="00901194" w:rsidRDefault="000A152B" w:rsidP="000A152B">
            <w:pPr>
              <w:spacing w:line="240" w:lineRule="auto"/>
              <w:rPr>
                <w:rFonts w:cs="Times New Roman"/>
                <w:i/>
                <w:iCs/>
              </w:rPr>
            </w:pPr>
            <w:r w:rsidRPr="00901194">
              <w:rPr>
                <w:rFonts w:cs="Times New Roman"/>
                <w:i/>
                <w:iCs/>
              </w:rPr>
              <w:t>Cucurbita pepo</w:t>
            </w:r>
          </w:p>
        </w:tc>
        <w:tc>
          <w:tcPr>
            <w:tcW w:w="1108" w:type="dxa"/>
            <w:hideMark/>
          </w:tcPr>
          <w:p w14:paraId="02D2C32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A94F459"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F6EE3FB"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C2D0960"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4AECEA09" w14:textId="77777777" w:rsidTr="00391854">
        <w:trPr>
          <w:trHeight w:val="300"/>
        </w:trPr>
        <w:tc>
          <w:tcPr>
            <w:tcW w:w="1697" w:type="dxa"/>
            <w:hideMark/>
          </w:tcPr>
          <w:p w14:paraId="7FB4D7AC" w14:textId="77777777" w:rsidR="000A152B" w:rsidRPr="00901194" w:rsidRDefault="000A152B" w:rsidP="000A152B">
            <w:pPr>
              <w:spacing w:line="240" w:lineRule="auto"/>
              <w:rPr>
                <w:rFonts w:cs="Times New Roman"/>
              </w:rPr>
            </w:pPr>
            <w:r w:rsidRPr="00901194">
              <w:rPr>
                <w:rFonts w:cs="Times New Roman"/>
              </w:rPr>
              <w:t>WO34</w:t>
            </w:r>
          </w:p>
        </w:tc>
        <w:tc>
          <w:tcPr>
            <w:tcW w:w="1530" w:type="dxa"/>
            <w:hideMark/>
          </w:tcPr>
          <w:p w14:paraId="57C2EBBA" w14:textId="77777777" w:rsidR="000A152B" w:rsidRPr="00901194" w:rsidRDefault="000A152B" w:rsidP="000A152B">
            <w:pPr>
              <w:spacing w:line="240" w:lineRule="auto"/>
              <w:rPr>
                <w:rFonts w:cs="Times New Roman"/>
              </w:rPr>
            </w:pPr>
            <w:r w:rsidRPr="00901194">
              <w:rPr>
                <w:rFonts w:cs="Times New Roman"/>
              </w:rPr>
              <w:t>Jitomate rojo</w:t>
            </w:r>
          </w:p>
        </w:tc>
        <w:tc>
          <w:tcPr>
            <w:tcW w:w="2438" w:type="dxa"/>
            <w:hideMark/>
          </w:tcPr>
          <w:p w14:paraId="6BDA1D5A" w14:textId="77777777" w:rsidR="000A152B" w:rsidRPr="00901194" w:rsidRDefault="000A152B" w:rsidP="000A152B">
            <w:pPr>
              <w:spacing w:line="240" w:lineRule="auto"/>
              <w:rPr>
                <w:rFonts w:cs="Times New Roman"/>
                <w:i/>
                <w:iCs/>
              </w:rPr>
            </w:pPr>
            <w:r w:rsidRPr="00901194">
              <w:rPr>
                <w:rFonts w:cs="Times New Roman"/>
                <w:i/>
                <w:iCs/>
              </w:rPr>
              <w:t>Lycopersicon esculentum</w:t>
            </w:r>
          </w:p>
        </w:tc>
        <w:tc>
          <w:tcPr>
            <w:tcW w:w="1108" w:type="dxa"/>
            <w:hideMark/>
          </w:tcPr>
          <w:p w14:paraId="29A4FD4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995891A"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38B96B09"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C4C01C6"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9D83298" w14:textId="77777777" w:rsidTr="00391854">
        <w:trPr>
          <w:trHeight w:val="300"/>
        </w:trPr>
        <w:tc>
          <w:tcPr>
            <w:tcW w:w="1697" w:type="dxa"/>
            <w:hideMark/>
          </w:tcPr>
          <w:p w14:paraId="7DDB44B1" w14:textId="77777777" w:rsidR="000A152B" w:rsidRPr="00901194" w:rsidRDefault="000A152B" w:rsidP="000A152B">
            <w:pPr>
              <w:spacing w:line="240" w:lineRule="auto"/>
              <w:rPr>
                <w:rFonts w:cs="Times New Roman"/>
              </w:rPr>
            </w:pPr>
            <w:r w:rsidRPr="00901194">
              <w:rPr>
                <w:rFonts w:cs="Times New Roman"/>
              </w:rPr>
              <w:t>WO35</w:t>
            </w:r>
          </w:p>
        </w:tc>
        <w:tc>
          <w:tcPr>
            <w:tcW w:w="1530" w:type="dxa"/>
            <w:hideMark/>
          </w:tcPr>
          <w:p w14:paraId="5FE729F1" w14:textId="77777777" w:rsidR="000A152B" w:rsidRPr="00901194" w:rsidRDefault="000A152B" w:rsidP="000A152B">
            <w:pPr>
              <w:spacing w:line="240" w:lineRule="auto"/>
              <w:rPr>
                <w:rFonts w:cs="Times New Roman"/>
              </w:rPr>
            </w:pPr>
            <w:r w:rsidRPr="00901194">
              <w:rPr>
                <w:rFonts w:cs="Times New Roman"/>
              </w:rPr>
              <w:t>Jitomate</w:t>
            </w:r>
          </w:p>
        </w:tc>
        <w:tc>
          <w:tcPr>
            <w:tcW w:w="2438" w:type="dxa"/>
            <w:hideMark/>
          </w:tcPr>
          <w:p w14:paraId="4240F544" w14:textId="77777777" w:rsidR="000A152B" w:rsidRPr="00901194" w:rsidRDefault="000A152B" w:rsidP="000A152B">
            <w:pPr>
              <w:spacing w:line="240" w:lineRule="auto"/>
              <w:rPr>
                <w:rFonts w:cs="Times New Roman"/>
                <w:i/>
                <w:iCs/>
              </w:rPr>
            </w:pPr>
            <w:r w:rsidRPr="00901194">
              <w:rPr>
                <w:rFonts w:cs="Times New Roman"/>
                <w:i/>
                <w:iCs/>
              </w:rPr>
              <w:t>Lycopersicon esculentum</w:t>
            </w:r>
          </w:p>
        </w:tc>
        <w:tc>
          <w:tcPr>
            <w:tcW w:w="1108" w:type="dxa"/>
            <w:hideMark/>
          </w:tcPr>
          <w:p w14:paraId="510E0F10"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364BF17"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B03ACDF"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70BC6D9"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D47BAF3" w14:textId="77777777" w:rsidTr="00391854">
        <w:trPr>
          <w:trHeight w:val="300"/>
        </w:trPr>
        <w:tc>
          <w:tcPr>
            <w:tcW w:w="1697" w:type="dxa"/>
            <w:hideMark/>
          </w:tcPr>
          <w:p w14:paraId="2619E12A" w14:textId="77777777" w:rsidR="000A152B" w:rsidRPr="00901194" w:rsidRDefault="000A152B" w:rsidP="000A152B">
            <w:pPr>
              <w:spacing w:line="240" w:lineRule="auto"/>
              <w:rPr>
                <w:rFonts w:cs="Times New Roman"/>
              </w:rPr>
            </w:pPr>
            <w:r w:rsidRPr="00901194">
              <w:rPr>
                <w:rFonts w:cs="Times New Roman"/>
              </w:rPr>
              <w:t>WO36</w:t>
            </w:r>
          </w:p>
        </w:tc>
        <w:tc>
          <w:tcPr>
            <w:tcW w:w="1530" w:type="dxa"/>
            <w:hideMark/>
          </w:tcPr>
          <w:p w14:paraId="49DFC9F8" w14:textId="77777777" w:rsidR="000A152B" w:rsidRPr="00901194" w:rsidRDefault="000A152B" w:rsidP="000A152B">
            <w:pPr>
              <w:spacing w:line="240" w:lineRule="auto"/>
              <w:rPr>
                <w:rFonts w:cs="Times New Roman"/>
              </w:rPr>
            </w:pPr>
            <w:r w:rsidRPr="00901194">
              <w:rPr>
                <w:rFonts w:cs="Times New Roman"/>
              </w:rPr>
              <w:t>Guava</w:t>
            </w:r>
          </w:p>
        </w:tc>
        <w:tc>
          <w:tcPr>
            <w:tcW w:w="2438" w:type="dxa"/>
            <w:hideMark/>
          </w:tcPr>
          <w:p w14:paraId="29541466" w14:textId="77777777" w:rsidR="000A152B" w:rsidRPr="00901194" w:rsidRDefault="000A152B" w:rsidP="000A152B">
            <w:pPr>
              <w:spacing w:line="240" w:lineRule="auto"/>
              <w:rPr>
                <w:rFonts w:cs="Times New Roman"/>
                <w:i/>
                <w:iCs/>
              </w:rPr>
            </w:pPr>
            <w:r w:rsidRPr="00901194">
              <w:rPr>
                <w:rFonts w:cs="Times New Roman"/>
                <w:i/>
                <w:iCs/>
              </w:rPr>
              <w:t>Psidium guajava</w:t>
            </w:r>
          </w:p>
        </w:tc>
        <w:tc>
          <w:tcPr>
            <w:tcW w:w="1108" w:type="dxa"/>
            <w:hideMark/>
          </w:tcPr>
          <w:p w14:paraId="199F56B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0CE4CCD"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5650F4A"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1087A47"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A220334" w14:textId="77777777" w:rsidTr="00391854">
        <w:trPr>
          <w:trHeight w:val="300"/>
        </w:trPr>
        <w:tc>
          <w:tcPr>
            <w:tcW w:w="1697" w:type="dxa"/>
            <w:hideMark/>
          </w:tcPr>
          <w:p w14:paraId="23DBEF38" w14:textId="77777777" w:rsidR="000A152B" w:rsidRPr="00901194" w:rsidRDefault="000A152B" w:rsidP="000A152B">
            <w:pPr>
              <w:spacing w:line="240" w:lineRule="auto"/>
              <w:rPr>
                <w:rFonts w:cs="Times New Roman"/>
              </w:rPr>
            </w:pPr>
            <w:r w:rsidRPr="00901194">
              <w:rPr>
                <w:rFonts w:cs="Times New Roman"/>
              </w:rPr>
              <w:lastRenderedPageBreak/>
              <w:t>WO37</w:t>
            </w:r>
          </w:p>
        </w:tc>
        <w:tc>
          <w:tcPr>
            <w:tcW w:w="1530" w:type="dxa"/>
            <w:hideMark/>
          </w:tcPr>
          <w:p w14:paraId="4775033F" w14:textId="77777777" w:rsidR="000A152B" w:rsidRPr="00901194" w:rsidRDefault="000A152B" w:rsidP="000A152B">
            <w:pPr>
              <w:spacing w:line="240" w:lineRule="auto"/>
              <w:rPr>
                <w:rFonts w:cs="Times New Roman"/>
              </w:rPr>
            </w:pPr>
            <w:r w:rsidRPr="00901194">
              <w:rPr>
                <w:rFonts w:cs="Times New Roman"/>
              </w:rPr>
              <w:t>Cacao</w:t>
            </w:r>
          </w:p>
        </w:tc>
        <w:tc>
          <w:tcPr>
            <w:tcW w:w="2438" w:type="dxa"/>
            <w:hideMark/>
          </w:tcPr>
          <w:p w14:paraId="6F0A61CC" w14:textId="77777777" w:rsidR="000A152B" w:rsidRPr="00901194" w:rsidRDefault="000A152B" w:rsidP="000A152B">
            <w:pPr>
              <w:spacing w:line="240" w:lineRule="auto"/>
              <w:rPr>
                <w:rFonts w:cs="Times New Roman"/>
                <w:i/>
                <w:iCs/>
              </w:rPr>
            </w:pPr>
            <w:r w:rsidRPr="00901194">
              <w:rPr>
                <w:rFonts w:cs="Times New Roman"/>
                <w:i/>
                <w:iCs/>
              </w:rPr>
              <w:t>Theobroma cacao</w:t>
            </w:r>
          </w:p>
        </w:tc>
        <w:tc>
          <w:tcPr>
            <w:tcW w:w="1108" w:type="dxa"/>
            <w:hideMark/>
          </w:tcPr>
          <w:p w14:paraId="7C56CE1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92E03E1"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557A461"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E4A0EAD"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44F0F77D" w14:textId="77777777" w:rsidTr="00391854">
        <w:trPr>
          <w:trHeight w:val="300"/>
        </w:trPr>
        <w:tc>
          <w:tcPr>
            <w:tcW w:w="1697" w:type="dxa"/>
            <w:hideMark/>
          </w:tcPr>
          <w:p w14:paraId="75E19B35" w14:textId="77777777" w:rsidR="000A152B" w:rsidRPr="00901194" w:rsidRDefault="000A152B" w:rsidP="000A152B">
            <w:pPr>
              <w:spacing w:line="240" w:lineRule="auto"/>
              <w:rPr>
                <w:rFonts w:cs="Times New Roman"/>
              </w:rPr>
            </w:pPr>
            <w:r w:rsidRPr="00901194">
              <w:rPr>
                <w:rFonts w:cs="Times New Roman"/>
              </w:rPr>
              <w:t>WO40</w:t>
            </w:r>
          </w:p>
        </w:tc>
        <w:tc>
          <w:tcPr>
            <w:tcW w:w="1530" w:type="dxa"/>
            <w:hideMark/>
          </w:tcPr>
          <w:p w14:paraId="6B0C3EBB" w14:textId="77777777" w:rsidR="000A152B" w:rsidRPr="00901194" w:rsidRDefault="000A152B" w:rsidP="000A152B">
            <w:pPr>
              <w:spacing w:line="240" w:lineRule="auto"/>
              <w:rPr>
                <w:rFonts w:cs="Times New Roman"/>
              </w:rPr>
            </w:pPr>
            <w:r w:rsidRPr="00901194">
              <w:rPr>
                <w:rFonts w:cs="Times New Roman"/>
              </w:rPr>
              <w:t>Jicama</w:t>
            </w:r>
          </w:p>
        </w:tc>
        <w:tc>
          <w:tcPr>
            <w:tcW w:w="2438" w:type="dxa"/>
            <w:hideMark/>
          </w:tcPr>
          <w:p w14:paraId="4FCF7D26" w14:textId="77777777" w:rsidR="000A152B" w:rsidRPr="00901194" w:rsidRDefault="000A152B" w:rsidP="000A152B">
            <w:pPr>
              <w:spacing w:line="240" w:lineRule="auto"/>
              <w:rPr>
                <w:rFonts w:cs="Times New Roman"/>
                <w:i/>
                <w:iCs/>
              </w:rPr>
            </w:pPr>
            <w:r w:rsidRPr="00901194">
              <w:rPr>
                <w:rFonts w:cs="Times New Roman"/>
                <w:i/>
                <w:iCs/>
              </w:rPr>
              <w:t>Pachyrhizus erosus</w:t>
            </w:r>
          </w:p>
        </w:tc>
        <w:tc>
          <w:tcPr>
            <w:tcW w:w="1108" w:type="dxa"/>
            <w:hideMark/>
          </w:tcPr>
          <w:p w14:paraId="6601065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05C9117"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0A3711A0" w14:textId="77777777" w:rsidR="000A152B" w:rsidRPr="00901194" w:rsidRDefault="000A152B" w:rsidP="000A152B">
            <w:pPr>
              <w:spacing w:line="240" w:lineRule="auto"/>
              <w:rPr>
                <w:rFonts w:cs="Times New Roman"/>
              </w:rPr>
            </w:pPr>
            <w:r w:rsidRPr="00901194">
              <w:rPr>
                <w:rFonts w:cs="Times New Roman"/>
              </w:rPr>
              <w:t>Tuber</w:t>
            </w:r>
          </w:p>
        </w:tc>
        <w:tc>
          <w:tcPr>
            <w:tcW w:w="1463" w:type="dxa"/>
            <w:hideMark/>
          </w:tcPr>
          <w:p w14:paraId="7DABDAAC"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D4A5874" w14:textId="77777777" w:rsidTr="00391854">
        <w:trPr>
          <w:trHeight w:val="300"/>
        </w:trPr>
        <w:tc>
          <w:tcPr>
            <w:tcW w:w="1697" w:type="dxa"/>
            <w:hideMark/>
          </w:tcPr>
          <w:p w14:paraId="6B534BC0" w14:textId="77777777" w:rsidR="000A152B" w:rsidRPr="00901194" w:rsidRDefault="000A152B" w:rsidP="000A152B">
            <w:pPr>
              <w:spacing w:line="240" w:lineRule="auto"/>
              <w:rPr>
                <w:rFonts w:cs="Times New Roman"/>
              </w:rPr>
            </w:pPr>
            <w:r w:rsidRPr="00901194">
              <w:rPr>
                <w:rFonts w:cs="Times New Roman"/>
              </w:rPr>
              <w:t>WO41</w:t>
            </w:r>
          </w:p>
        </w:tc>
        <w:tc>
          <w:tcPr>
            <w:tcW w:w="1530" w:type="dxa"/>
            <w:hideMark/>
          </w:tcPr>
          <w:p w14:paraId="758E00AE" w14:textId="77777777" w:rsidR="000A152B" w:rsidRPr="00901194" w:rsidRDefault="000A152B" w:rsidP="000A152B">
            <w:pPr>
              <w:spacing w:line="240" w:lineRule="auto"/>
              <w:rPr>
                <w:rFonts w:cs="Times New Roman"/>
              </w:rPr>
            </w:pPr>
            <w:r w:rsidRPr="00901194">
              <w:rPr>
                <w:rFonts w:cs="Times New Roman"/>
              </w:rPr>
              <w:t>Aguacate criollo</w:t>
            </w:r>
          </w:p>
        </w:tc>
        <w:tc>
          <w:tcPr>
            <w:tcW w:w="2438" w:type="dxa"/>
            <w:hideMark/>
          </w:tcPr>
          <w:p w14:paraId="63BCFDD5" w14:textId="77777777" w:rsidR="000A152B" w:rsidRPr="00901194" w:rsidRDefault="000A152B" w:rsidP="000A152B">
            <w:pPr>
              <w:spacing w:line="240" w:lineRule="auto"/>
              <w:rPr>
                <w:rFonts w:cs="Times New Roman"/>
                <w:i/>
                <w:iCs/>
              </w:rPr>
            </w:pPr>
            <w:r w:rsidRPr="00901194">
              <w:rPr>
                <w:rFonts w:cs="Times New Roman"/>
                <w:i/>
                <w:iCs/>
              </w:rPr>
              <w:t>Persea americana</w:t>
            </w:r>
          </w:p>
        </w:tc>
        <w:tc>
          <w:tcPr>
            <w:tcW w:w="1108" w:type="dxa"/>
            <w:hideMark/>
          </w:tcPr>
          <w:p w14:paraId="6462C080"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B7FCC76"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30D39C2A"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411AD42B"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02640561" w14:textId="77777777" w:rsidTr="00391854">
        <w:trPr>
          <w:trHeight w:val="300"/>
        </w:trPr>
        <w:tc>
          <w:tcPr>
            <w:tcW w:w="1697" w:type="dxa"/>
            <w:hideMark/>
          </w:tcPr>
          <w:p w14:paraId="68302405" w14:textId="77777777" w:rsidR="000A152B" w:rsidRPr="00901194" w:rsidRDefault="000A152B" w:rsidP="000A152B">
            <w:pPr>
              <w:spacing w:line="240" w:lineRule="auto"/>
              <w:rPr>
                <w:rFonts w:cs="Times New Roman"/>
              </w:rPr>
            </w:pPr>
            <w:r w:rsidRPr="00901194">
              <w:rPr>
                <w:rFonts w:cs="Times New Roman"/>
              </w:rPr>
              <w:t>WO42</w:t>
            </w:r>
          </w:p>
        </w:tc>
        <w:tc>
          <w:tcPr>
            <w:tcW w:w="1530" w:type="dxa"/>
            <w:hideMark/>
          </w:tcPr>
          <w:p w14:paraId="19E2B168" w14:textId="77777777" w:rsidR="000A152B" w:rsidRPr="00901194" w:rsidRDefault="000A152B" w:rsidP="000A152B">
            <w:pPr>
              <w:spacing w:line="240" w:lineRule="auto"/>
              <w:rPr>
                <w:rFonts w:cs="Times New Roman"/>
              </w:rPr>
            </w:pPr>
            <w:r w:rsidRPr="00901194">
              <w:rPr>
                <w:rFonts w:cs="Times New Roman"/>
              </w:rPr>
              <w:t>Nance</w:t>
            </w:r>
          </w:p>
        </w:tc>
        <w:tc>
          <w:tcPr>
            <w:tcW w:w="2438" w:type="dxa"/>
            <w:hideMark/>
          </w:tcPr>
          <w:p w14:paraId="28BC913D" w14:textId="77777777" w:rsidR="000A152B" w:rsidRPr="00901194" w:rsidRDefault="000A152B" w:rsidP="000A152B">
            <w:pPr>
              <w:spacing w:line="240" w:lineRule="auto"/>
              <w:rPr>
                <w:rFonts w:cs="Times New Roman"/>
                <w:i/>
                <w:iCs/>
              </w:rPr>
            </w:pPr>
            <w:r w:rsidRPr="00901194">
              <w:rPr>
                <w:rFonts w:cs="Times New Roman"/>
                <w:i/>
                <w:iCs/>
              </w:rPr>
              <w:t>Byrsonima crassifolia</w:t>
            </w:r>
          </w:p>
        </w:tc>
        <w:tc>
          <w:tcPr>
            <w:tcW w:w="1108" w:type="dxa"/>
            <w:hideMark/>
          </w:tcPr>
          <w:p w14:paraId="651C9C50"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5A58A06"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0AACBD4F"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FE72ADC"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F0C5478" w14:textId="77777777" w:rsidTr="00391854">
        <w:trPr>
          <w:trHeight w:val="300"/>
        </w:trPr>
        <w:tc>
          <w:tcPr>
            <w:tcW w:w="1697" w:type="dxa"/>
            <w:hideMark/>
          </w:tcPr>
          <w:p w14:paraId="522F0A57" w14:textId="77777777" w:rsidR="000A152B" w:rsidRPr="00901194" w:rsidRDefault="000A152B" w:rsidP="000A152B">
            <w:pPr>
              <w:spacing w:line="240" w:lineRule="auto"/>
              <w:rPr>
                <w:rFonts w:cs="Times New Roman"/>
              </w:rPr>
            </w:pPr>
            <w:r w:rsidRPr="00901194">
              <w:rPr>
                <w:rFonts w:cs="Times New Roman"/>
              </w:rPr>
              <w:t>WO43</w:t>
            </w:r>
          </w:p>
        </w:tc>
        <w:tc>
          <w:tcPr>
            <w:tcW w:w="1530" w:type="dxa"/>
            <w:hideMark/>
          </w:tcPr>
          <w:p w14:paraId="71AC9CF9" w14:textId="77777777" w:rsidR="000A152B" w:rsidRPr="00901194" w:rsidRDefault="000A152B" w:rsidP="000A152B">
            <w:pPr>
              <w:spacing w:line="240" w:lineRule="auto"/>
              <w:rPr>
                <w:rFonts w:cs="Times New Roman"/>
              </w:rPr>
            </w:pPr>
            <w:r w:rsidRPr="00901194">
              <w:rPr>
                <w:rFonts w:cs="Times New Roman"/>
              </w:rPr>
              <w:t>Guanabana</w:t>
            </w:r>
          </w:p>
        </w:tc>
        <w:tc>
          <w:tcPr>
            <w:tcW w:w="2438" w:type="dxa"/>
            <w:hideMark/>
          </w:tcPr>
          <w:p w14:paraId="060EE67C" w14:textId="77777777" w:rsidR="000A152B" w:rsidRPr="00901194" w:rsidRDefault="000A152B" w:rsidP="000A152B">
            <w:pPr>
              <w:spacing w:line="240" w:lineRule="auto"/>
              <w:rPr>
                <w:rFonts w:cs="Times New Roman"/>
                <w:i/>
                <w:iCs/>
              </w:rPr>
            </w:pPr>
            <w:r w:rsidRPr="00901194">
              <w:rPr>
                <w:rFonts w:cs="Times New Roman"/>
                <w:i/>
                <w:iCs/>
              </w:rPr>
              <w:t>Annona muricata</w:t>
            </w:r>
          </w:p>
        </w:tc>
        <w:tc>
          <w:tcPr>
            <w:tcW w:w="1108" w:type="dxa"/>
            <w:hideMark/>
          </w:tcPr>
          <w:p w14:paraId="04ACD76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5D122CC"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330E0C5"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52BDEBA"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19BE87C4" w14:textId="77777777" w:rsidTr="00391854">
        <w:trPr>
          <w:trHeight w:val="300"/>
        </w:trPr>
        <w:tc>
          <w:tcPr>
            <w:tcW w:w="1697" w:type="dxa"/>
            <w:hideMark/>
          </w:tcPr>
          <w:p w14:paraId="471163B3" w14:textId="77777777" w:rsidR="000A152B" w:rsidRPr="00901194" w:rsidRDefault="000A152B" w:rsidP="000A152B">
            <w:pPr>
              <w:spacing w:line="240" w:lineRule="auto"/>
              <w:rPr>
                <w:rFonts w:cs="Times New Roman"/>
              </w:rPr>
            </w:pPr>
            <w:r w:rsidRPr="00901194">
              <w:rPr>
                <w:rFonts w:cs="Times New Roman"/>
              </w:rPr>
              <w:t>WO44</w:t>
            </w:r>
          </w:p>
        </w:tc>
        <w:tc>
          <w:tcPr>
            <w:tcW w:w="1530" w:type="dxa"/>
            <w:hideMark/>
          </w:tcPr>
          <w:p w14:paraId="012A9748" w14:textId="77777777" w:rsidR="000A152B" w:rsidRPr="00901194" w:rsidRDefault="000A152B" w:rsidP="000A152B">
            <w:pPr>
              <w:spacing w:line="240" w:lineRule="auto"/>
              <w:rPr>
                <w:rFonts w:cs="Times New Roman"/>
              </w:rPr>
            </w:pPr>
            <w:r w:rsidRPr="00901194">
              <w:rPr>
                <w:rFonts w:cs="Times New Roman"/>
              </w:rPr>
              <w:t>Mamey</w:t>
            </w:r>
          </w:p>
        </w:tc>
        <w:tc>
          <w:tcPr>
            <w:tcW w:w="2438" w:type="dxa"/>
            <w:hideMark/>
          </w:tcPr>
          <w:p w14:paraId="59FA630C" w14:textId="77777777" w:rsidR="000A152B" w:rsidRPr="00901194" w:rsidRDefault="000A152B" w:rsidP="000A152B">
            <w:pPr>
              <w:spacing w:line="240" w:lineRule="auto"/>
              <w:rPr>
                <w:rFonts w:cs="Times New Roman"/>
                <w:i/>
                <w:iCs/>
              </w:rPr>
            </w:pPr>
            <w:r w:rsidRPr="00901194">
              <w:rPr>
                <w:rFonts w:cs="Times New Roman"/>
                <w:i/>
                <w:iCs/>
              </w:rPr>
              <w:t>Pouteria sapota</w:t>
            </w:r>
          </w:p>
        </w:tc>
        <w:tc>
          <w:tcPr>
            <w:tcW w:w="1108" w:type="dxa"/>
            <w:hideMark/>
          </w:tcPr>
          <w:p w14:paraId="75B69E8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9ED4855"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1EFCDF3D"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60CF276"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9849D30" w14:textId="77777777" w:rsidTr="00391854">
        <w:trPr>
          <w:trHeight w:val="300"/>
        </w:trPr>
        <w:tc>
          <w:tcPr>
            <w:tcW w:w="1697" w:type="dxa"/>
            <w:hideMark/>
          </w:tcPr>
          <w:p w14:paraId="3D6B1716" w14:textId="77777777" w:rsidR="000A152B" w:rsidRPr="00901194" w:rsidRDefault="000A152B" w:rsidP="000A152B">
            <w:pPr>
              <w:spacing w:line="240" w:lineRule="auto"/>
              <w:rPr>
                <w:rFonts w:cs="Times New Roman"/>
              </w:rPr>
            </w:pPr>
            <w:r w:rsidRPr="00901194">
              <w:rPr>
                <w:rFonts w:cs="Times New Roman"/>
              </w:rPr>
              <w:t>WO45</w:t>
            </w:r>
          </w:p>
        </w:tc>
        <w:tc>
          <w:tcPr>
            <w:tcW w:w="1530" w:type="dxa"/>
            <w:hideMark/>
          </w:tcPr>
          <w:p w14:paraId="50617943" w14:textId="77777777" w:rsidR="000A152B" w:rsidRPr="00901194" w:rsidRDefault="000A152B" w:rsidP="000A152B">
            <w:pPr>
              <w:spacing w:line="240" w:lineRule="auto"/>
              <w:rPr>
                <w:rFonts w:cs="Times New Roman"/>
              </w:rPr>
            </w:pPr>
            <w:r w:rsidRPr="00901194">
              <w:rPr>
                <w:rFonts w:cs="Times New Roman"/>
              </w:rPr>
              <w:t>Ciruela</w:t>
            </w:r>
          </w:p>
        </w:tc>
        <w:tc>
          <w:tcPr>
            <w:tcW w:w="2438" w:type="dxa"/>
            <w:hideMark/>
          </w:tcPr>
          <w:p w14:paraId="4675EA1D" w14:textId="77777777" w:rsidR="000A152B" w:rsidRPr="00901194" w:rsidRDefault="000A152B" w:rsidP="000A152B">
            <w:pPr>
              <w:spacing w:line="240" w:lineRule="auto"/>
              <w:rPr>
                <w:rFonts w:cs="Times New Roman"/>
                <w:i/>
                <w:iCs/>
              </w:rPr>
            </w:pPr>
            <w:r w:rsidRPr="00901194">
              <w:rPr>
                <w:rFonts w:cs="Times New Roman"/>
                <w:i/>
                <w:iCs/>
              </w:rPr>
              <w:t>Spondias sp.</w:t>
            </w:r>
          </w:p>
        </w:tc>
        <w:tc>
          <w:tcPr>
            <w:tcW w:w="1108" w:type="dxa"/>
            <w:hideMark/>
          </w:tcPr>
          <w:p w14:paraId="34A32E2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32E8347"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A6F3753"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7AA40CB"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6AD73EC" w14:textId="77777777" w:rsidTr="00391854">
        <w:trPr>
          <w:trHeight w:val="300"/>
        </w:trPr>
        <w:tc>
          <w:tcPr>
            <w:tcW w:w="1697" w:type="dxa"/>
            <w:hideMark/>
          </w:tcPr>
          <w:p w14:paraId="4F8F1493" w14:textId="77777777" w:rsidR="000A152B" w:rsidRPr="00901194" w:rsidRDefault="000A152B" w:rsidP="000A152B">
            <w:pPr>
              <w:spacing w:line="240" w:lineRule="auto"/>
              <w:rPr>
                <w:rFonts w:cs="Times New Roman"/>
              </w:rPr>
            </w:pPr>
            <w:r w:rsidRPr="00901194">
              <w:rPr>
                <w:rFonts w:cs="Times New Roman"/>
              </w:rPr>
              <w:t>WO46</w:t>
            </w:r>
          </w:p>
        </w:tc>
        <w:tc>
          <w:tcPr>
            <w:tcW w:w="1530" w:type="dxa"/>
            <w:hideMark/>
          </w:tcPr>
          <w:p w14:paraId="3F1538F3" w14:textId="77777777" w:rsidR="000A152B" w:rsidRPr="00901194" w:rsidRDefault="000A152B" w:rsidP="000A152B">
            <w:pPr>
              <w:spacing w:line="240" w:lineRule="auto"/>
              <w:rPr>
                <w:rFonts w:cs="Times New Roman"/>
              </w:rPr>
            </w:pPr>
            <w:r w:rsidRPr="00901194">
              <w:rPr>
                <w:rFonts w:cs="Times New Roman"/>
              </w:rPr>
              <w:t>Chicozapote</w:t>
            </w:r>
          </w:p>
        </w:tc>
        <w:tc>
          <w:tcPr>
            <w:tcW w:w="2438" w:type="dxa"/>
            <w:hideMark/>
          </w:tcPr>
          <w:p w14:paraId="2C368B2F" w14:textId="77777777" w:rsidR="000A152B" w:rsidRPr="00901194" w:rsidRDefault="000A152B" w:rsidP="000A152B">
            <w:pPr>
              <w:spacing w:line="240" w:lineRule="auto"/>
              <w:rPr>
                <w:rFonts w:cs="Times New Roman"/>
                <w:i/>
                <w:iCs/>
              </w:rPr>
            </w:pPr>
            <w:r w:rsidRPr="00901194">
              <w:rPr>
                <w:rFonts w:cs="Times New Roman"/>
                <w:i/>
                <w:iCs/>
              </w:rPr>
              <w:t>Manilkara zapotilla</w:t>
            </w:r>
          </w:p>
        </w:tc>
        <w:tc>
          <w:tcPr>
            <w:tcW w:w="1108" w:type="dxa"/>
            <w:hideMark/>
          </w:tcPr>
          <w:p w14:paraId="438659C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42FCB24"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0890EA5D"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A7BB3CC"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463125C" w14:textId="77777777" w:rsidTr="00391854">
        <w:trPr>
          <w:trHeight w:val="300"/>
        </w:trPr>
        <w:tc>
          <w:tcPr>
            <w:tcW w:w="1697" w:type="dxa"/>
            <w:hideMark/>
          </w:tcPr>
          <w:p w14:paraId="37450445" w14:textId="77777777" w:rsidR="000A152B" w:rsidRPr="00901194" w:rsidRDefault="000A152B" w:rsidP="000A152B">
            <w:pPr>
              <w:spacing w:line="240" w:lineRule="auto"/>
              <w:rPr>
                <w:rFonts w:cs="Times New Roman"/>
              </w:rPr>
            </w:pPr>
            <w:r w:rsidRPr="00901194">
              <w:rPr>
                <w:rFonts w:cs="Times New Roman"/>
              </w:rPr>
              <w:t>WO47</w:t>
            </w:r>
          </w:p>
        </w:tc>
        <w:tc>
          <w:tcPr>
            <w:tcW w:w="1530" w:type="dxa"/>
            <w:hideMark/>
          </w:tcPr>
          <w:p w14:paraId="6DC1953E" w14:textId="77777777" w:rsidR="000A152B" w:rsidRPr="00901194" w:rsidRDefault="000A152B" w:rsidP="000A152B">
            <w:pPr>
              <w:spacing w:line="240" w:lineRule="auto"/>
              <w:rPr>
                <w:rFonts w:cs="Times New Roman"/>
              </w:rPr>
            </w:pPr>
            <w:r w:rsidRPr="00901194">
              <w:rPr>
                <w:rFonts w:cs="Times New Roman"/>
              </w:rPr>
              <w:t>Zapote negro</w:t>
            </w:r>
          </w:p>
        </w:tc>
        <w:tc>
          <w:tcPr>
            <w:tcW w:w="2438" w:type="dxa"/>
            <w:hideMark/>
          </w:tcPr>
          <w:p w14:paraId="368764FC" w14:textId="77777777" w:rsidR="000A152B" w:rsidRPr="00901194" w:rsidRDefault="000A152B" w:rsidP="000A152B">
            <w:pPr>
              <w:spacing w:line="240" w:lineRule="auto"/>
              <w:rPr>
                <w:rFonts w:cs="Times New Roman"/>
                <w:i/>
                <w:iCs/>
              </w:rPr>
            </w:pPr>
            <w:r w:rsidRPr="00901194">
              <w:rPr>
                <w:rFonts w:cs="Times New Roman"/>
                <w:i/>
                <w:iCs/>
              </w:rPr>
              <w:t>Diospyros digyna</w:t>
            </w:r>
          </w:p>
        </w:tc>
        <w:tc>
          <w:tcPr>
            <w:tcW w:w="1108" w:type="dxa"/>
            <w:hideMark/>
          </w:tcPr>
          <w:p w14:paraId="0339DBF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DB8199F"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ABBDDE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43BC78C"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D2A36F8" w14:textId="77777777" w:rsidTr="00391854">
        <w:trPr>
          <w:trHeight w:val="300"/>
        </w:trPr>
        <w:tc>
          <w:tcPr>
            <w:tcW w:w="1697" w:type="dxa"/>
            <w:hideMark/>
          </w:tcPr>
          <w:p w14:paraId="77C43EB7" w14:textId="77777777" w:rsidR="000A152B" w:rsidRPr="00901194" w:rsidRDefault="000A152B" w:rsidP="000A152B">
            <w:pPr>
              <w:spacing w:line="240" w:lineRule="auto"/>
              <w:rPr>
                <w:rFonts w:cs="Times New Roman"/>
              </w:rPr>
            </w:pPr>
            <w:r w:rsidRPr="00901194">
              <w:rPr>
                <w:rFonts w:cs="Times New Roman"/>
              </w:rPr>
              <w:t>WO48</w:t>
            </w:r>
          </w:p>
        </w:tc>
        <w:tc>
          <w:tcPr>
            <w:tcW w:w="1530" w:type="dxa"/>
            <w:hideMark/>
          </w:tcPr>
          <w:p w14:paraId="3EA6F6E1" w14:textId="77777777" w:rsidR="000A152B" w:rsidRPr="00901194" w:rsidRDefault="000A152B" w:rsidP="000A152B">
            <w:pPr>
              <w:spacing w:line="240" w:lineRule="auto"/>
              <w:rPr>
                <w:rFonts w:cs="Times New Roman"/>
              </w:rPr>
            </w:pPr>
            <w:r w:rsidRPr="00901194">
              <w:rPr>
                <w:rFonts w:cs="Times New Roman"/>
              </w:rPr>
              <w:t>Zapote negro (ripe)</w:t>
            </w:r>
          </w:p>
        </w:tc>
        <w:tc>
          <w:tcPr>
            <w:tcW w:w="2438" w:type="dxa"/>
            <w:hideMark/>
          </w:tcPr>
          <w:p w14:paraId="2659EE15" w14:textId="77777777" w:rsidR="000A152B" w:rsidRPr="00901194" w:rsidRDefault="000A152B" w:rsidP="000A152B">
            <w:pPr>
              <w:spacing w:line="240" w:lineRule="auto"/>
              <w:rPr>
                <w:rFonts w:cs="Times New Roman"/>
                <w:i/>
                <w:iCs/>
              </w:rPr>
            </w:pPr>
            <w:r w:rsidRPr="00901194">
              <w:rPr>
                <w:rFonts w:cs="Times New Roman"/>
                <w:i/>
                <w:iCs/>
              </w:rPr>
              <w:t>Diospyros digyna</w:t>
            </w:r>
          </w:p>
        </w:tc>
        <w:tc>
          <w:tcPr>
            <w:tcW w:w="1108" w:type="dxa"/>
            <w:hideMark/>
          </w:tcPr>
          <w:p w14:paraId="630F550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E3DA643"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E20456F"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7149F26"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43F9DDD" w14:textId="77777777" w:rsidTr="00391854">
        <w:trPr>
          <w:trHeight w:val="300"/>
        </w:trPr>
        <w:tc>
          <w:tcPr>
            <w:tcW w:w="1697" w:type="dxa"/>
            <w:hideMark/>
          </w:tcPr>
          <w:p w14:paraId="478B8A7B" w14:textId="77777777" w:rsidR="000A152B" w:rsidRPr="00901194" w:rsidRDefault="000A152B" w:rsidP="000A152B">
            <w:pPr>
              <w:spacing w:line="240" w:lineRule="auto"/>
              <w:rPr>
                <w:rFonts w:cs="Times New Roman"/>
              </w:rPr>
            </w:pPr>
            <w:r w:rsidRPr="00901194">
              <w:rPr>
                <w:rFonts w:cs="Times New Roman"/>
              </w:rPr>
              <w:t>WO49</w:t>
            </w:r>
          </w:p>
        </w:tc>
        <w:tc>
          <w:tcPr>
            <w:tcW w:w="1530" w:type="dxa"/>
            <w:hideMark/>
          </w:tcPr>
          <w:p w14:paraId="4F4C67F9" w14:textId="77777777" w:rsidR="000A152B" w:rsidRPr="00901194" w:rsidRDefault="000A152B" w:rsidP="000A152B">
            <w:pPr>
              <w:spacing w:line="240" w:lineRule="auto"/>
              <w:rPr>
                <w:rFonts w:cs="Times New Roman"/>
              </w:rPr>
            </w:pPr>
            <w:r w:rsidRPr="00901194">
              <w:rPr>
                <w:rFonts w:cs="Times New Roman"/>
              </w:rPr>
              <w:t>Black walnut</w:t>
            </w:r>
          </w:p>
        </w:tc>
        <w:tc>
          <w:tcPr>
            <w:tcW w:w="2438" w:type="dxa"/>
            <w:hideMark/>
          </w:tcPr>
          <w:p w14:paraId="413DACC0" w14:textId="77777777" w:rsidR="000A152B" w:rsidRPr="00901194" w:rsidRDefault="000A152B" w:rsidP="000A152B">
            <w:pPr>
              <w:spacing w:line="240" w:lineRule="auto"/>
              <w:rPr>
                <w:rFonts w:cs="Times New Roman"/>
                <w:i/>
                <w:iCs/>
              </w:rPr>
            </w:pPr>
            <w:r w:rsidRPr="00901194">
              <w:rPr>
                <w:rFonts w:cs="Times New Roman"/>
                <w:i/>
                <w:iCs/>
              </w:rPr>
              <w:t xml:space="preserve">Juglans sp. </w:t>
            </w:r>
          </w:p>
        </w:tc>
        <w:tc>
          <w:tcPr>
            <w:tcW w:w="1108" w:type="dxa"/>
            <w:hideMark/>
          </w:tcPr>
          <w:p w14:paraId="76190DC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A335953"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EF695B3"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34D9D7FC"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4A67E67" w14:textId="77777777" w:rsidTr="00391854">
        <w:trPr>
          <w:trHeight w:val="300"/>
        </w:trPr>
        <w:tc>
          <w:tcPr>
            <w:tcW w:w="1697" w:type="dxa"/>
            <w:hideMark/>
          </w:tcPr>
          <w:p w14:paraId="3797ED6B" w14:textId="77777777" w:rsidR="000A152B" w:rsidRPr="00901194" w:rsidRDefault="000A152B" w:rsidP="000A152B">
            <w:pPr>
              <w:spacing w:line="240" w:lineRule="auto"/>
              <w:rPr>
                <w:rFonts w:cs="Times New Roman"/>
              </w:rPr>
            </w:pPr>
            <w:r w:rsidRPr="00901194">
              <w:rPr>
                <w:rFonts w:cs="Times New Roman"/>
              </w:rPr>
              <w:t>WO50</w:t>
            </w:r>
          </w:p>
        </w:tc>
        <w:tc>
          <w:tcPr>
            <w:tcW w:w="1530" w:type="dxa"/>
            <w:hideMark/>
          </w:tcPr>
          <w:p w14:paraId="5A7BFC4F" w14:textId="77777777" w:rsidR="000A152B" w:rsidRPr="00901194" w:rsidRDefault="000A152B" w:rsidP="000A152B">
            <w:pPr>
              <w:spacing w:line="240" w:lineRule="auto"/>
              <w:rPr>
                <w:rFonts w:cs="Times New Roman"/>
              </w:rPr>
            </w:pPr>
            <w:r w:rsidRPr="00901194">
              <w:rPr>
                <w:rFonts w:cs="Times New Roman"/>
              </w:rPr>
              <w:t>Bean (flor de mayo)</w:t>
            </w:r>
          </w:p>
        </w:tc>
        <w:tc>
          <w:tcPr>
            <w:tcW w:w="2438" w:type="dxa"/>
            <w:hideMark/>
          </w:tcPr>
          <w:p w14:paraId="618B45C1" w14:textId="77777777" w:rsidR="000A152B" w:rsidRPr="00901194" w:rsidRDefault="000A152B" w:rsidP="000A152B">
            <w:pPr>
              <w:spacing w:line="240" w:lineRule="auto"/>
              <w:rPr>
                <w:rFonts w:cs="Times New Roman"/>
                <w:i/>
                <w:iCs/>
              </w:rPr>
            </w:pPr>
            <w:r w:rsidRPr="00901194">
              <w:rPr>
                <w:rFonts w:cs="Times New Roman"/>
                <w:i/>
                <w:iCs/>
              </w:rPr>
              <w:t>Phaseolus vulgaris</w:t>
            </w:r>
          </w:p>
        </w:tc>
        <w:tc>
          <w:tcPr>
            <w:tcW w:w="1108" w:type="dxa"/>
            <w:hideMark/>
          </w:tcPr>
          <w:p w14:paraId="36FFDBE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0A3D7C8"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899C33C"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3DE3BBC0"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CC3C8D6" w14:textId="77777777" w:rsidTr="00391854">
        <w:trPr>
          <w:trHeight w:val="300"/>
        </w:trPr>
        <w:tc>
          <w:tcPr>
            <w:tcW w:w="1697" w:type="dxa"/>
            <w:hideMark/>
          </w:tcPr>
          <w:p w14:paraId="624C2476" w14:textId="77777777" w:rsidR="000A152B" w:rsidRPr="00901194" w:rsidRDefault="000A152B" w:rsidP="000A152B">
            <w:pPr>
              <w:spacing w:line="240" w:lineRule="auto"/>
              <w:rPr>
                <w:rFonts w:cs="Times New Roman"/>
              </w:rPr>
            </w:pPr>
            <w:r w:rsidRPr="00901194">
              <w:rPr>
                <w:rFonts w:cs="Times New Roman"/>
              </w:rPr>
              <w:t>WO51</w:t>
            </w:r>
          </w:p>
        </w:tc>
        <w:tc>
          <w:tcPr>
            <w:tcW w:w="1530" w:type="dxa"/>
            <w:hideMark/>
          </w:tcPr>
          <w:p w14:paraId="1E1FA40D" w14:textId="77777777" w:rsidR="000A152B" w:rsidRPr="00901194" w:rsidRDefault="000A152B" w:rsidP="000A152B">
            <w:pPr>
              <w:spacing w:line="240" w:lineRule="auto"/>
              <w:rPr>
                <w:rFonts w:cs="Times New Roman"/>
              </w:rPr>
            </w:pPr>
            <w:r w:rsidRPr="00901194">
              <w:rPr>
                <w:rFonts w:cs="Times New Roman"/>
              </w:rPr>
              <w:t>Bean (uallo)</w:t>
            </w:r>
          </w:p>
        </w:tc>
        <w:tc>
          <w:tcPr>
            <w:tcW w:w="2438" w:type="dxa"/>
            <w:hideMark/>
          </w:tcPr>
          <w:p w14:paraId="3EE550C1" w14:textId="77777777" w:rsidR="000A152B" w:rsidRPr="00901194" w:rsidRDefault="000A152B" w:rsidP="000A152B">
            <w:pPr>
              <w:spacing w:line="240" w:lineRule="auto"/>
              <w:rPr>
                <w:rFonts w:cs="Times New Roman"/>
                <w:i/>
                <w:iCs/>
              </w:rPr>
            </w:pPr>
            <w:r w:rsidRPr="00901194">
              <w:rPr>
                <w:rFonts w:cs="Times New Roman"/>
                <w:i/>
                <w:iCs/>
              </w:rPr>
              <w:t>Phaseolus vulgaris</w:t>
            </w:r>
          </w:p>
        </w:tc>
        <w:tc>
          <w:tcPr>
            <w:tcW w:w="1108" w:type="dxa"/>
            <w:hideMark/>
          </w:tcPr>
          <w:p w14:paraId="7E57C145"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79E6703"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2E283C7"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26E65125"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3F0891F" w14:textId="77777777" w:rsidTr="00391854">
        <w:trPr>
          <w:trHeight w:val="300"/>
        </w:trPr>
        <w:tc>
          <w:tcPr>
            <w:tcW w:w="1697" w:type="dxa"/>
            <w:hideMark/>
          </w:tcPr>
          <w:p w14:paraId="2DFCB620" w14:textId="77777777" w:rsidR="000A152B" w:rsidRPr="00901194" w:rsidRDefault="000A152B" w:rsidP="000A152B">
            <w:pPr>
              <w:spacing w:line="240" w:lineRule="auto"/>
              <w:rPr>
                <w:rFonts w:cs="Times New Roman"/>
              </w:rPr>
            </w:pPr>
            <w:r w:rsidRPr="00901194">
              <w:rPr>
                <w:rFonts w:cs="Times New Roman"/>
              </w:rPr>
              <w:t>WO52</w:t>
            </w:r>
          </w:p>
        </w:tc>
        <w:tc>
          <w:tcPr>
            <w:tcW w:w="1530" w:type="dxa"/>
            <w:hideMark/>
          </w:tcPr>
          <w:p w14:paraId="52E3B12E" w14:textId="77777777" w:rsidR="000A152B" w:rsidRPr="00901194" w:rsidRDefault="000A152B" w:rsidP="000A152B">
            <w:pPr>
              <w:spacing w:line="240" w:lineRule="auto"/>
              <w:rPr>
                <w:rFonts w:cs="Times New Roman"/>
              </w:rPr>
            </w:pPr>
            <w:r w:rsidRPr="00901194">
              <w:rPr>
                <w:rFonts w:cs="Times New Roman"/>
              </w:rPr>
              <w:t>Bean (blanco)</w:t>
            </w:r>
          </w:p>
        </w:tc>
        <w:tc>
          <w:tcPr>
            <w:tcW w:w="2438" w:type="dxa"/>
            <w:hideMark/>
          </w:tcPr>
          <w:p w14:paraId="04111D76" w14:textId="77777777" w:rsidR="000A152B" w:rsidRPr="00901194" w:rsidRDefault="000A152B" w:rsidP="000A152B">
            <w:pPr>
              <w:spacing w:line="240" w:lineRule="auto"/>
              <w:rPr>
                <w:rFonts w:cs="Times New Roman"/>
                <w:i/>
                <w:iCs/>
              </w:rPr>
            </w:pPr>
            <w:r w:rsidRPr="00901194">
              <w:rPr>
                <w:rFonts w:cs="Times New Roman"/>
                <w:i/>
                <w:iCs/>
              </w:rPr>
              <w:t>Phaseolus vulgaris</w:t>
            </w:r>
          </w:p>
        </w:tc>
        <w:tc>
          <w:tcPr>
            <w:tcW w:w="1108" w:type="dxa"/>
            <w:hideMark/>
          </w:tcPr>
          <w:p w14:paraId="1FA3F2F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FAD9372"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0FE7DD0"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E2D8913"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F9C50F0" w14:textId="77777777" w:rsidTr="00391854">
        <w:trPr>
          <w:trHeight w:val="300"/>
        </w:trPr>
        <w:tc>
          <w:tcPr>
            <w:tcW w:w="1697" w:type="dxa"/>
            <w:hideMark/>
          </w:tcPr>
          <w:p w14:paraId="1DC967C5" w14:textId="77777777" w:rsidR="000A152B" w:rsidRPr="00901194" w:rsidRDefault="000A152B" w:rsidP="000A152B">
            <w:pPr>
              <w:spacing w:line="240" w:lineRule="auto"/>
              <w:rPr>
                <w:rFonts w:cs="Times New Roman"/>
              </w:rPr>
            </w:pPr>
            <w:r w:rsidRPr="00901194">
              <w:rPr>
                <w:rFonts w:cs="Times New Roman"/>
              </w:rPr>
              <w:t>WO73_F</w:t>
            </w:r>
          </w:p>
        </w:tc>
        <w:tc>
          <w:tcPr>
            <w:tcW w:w="1530" w:type="dxa"/>
            <w:hideMark/>
          </w:tcPr>
          <w:p w14:paraId="529EAD8F" w14:textId="77777777" w:rsidR="000A152B" w:rsidRPr="00901194" w:rsidRDefault="000A152B" w:rsidP="000A152B">
            <w:pPr>
              <w:spacing w:line="240" w:lineRule="auto"/>
              <w:rPr>
                <w:rFonts w:cs="Times New Roman"/>
              </w:rPr>
            </w:pPr>
            <w:r w:rsidRPr="00901194">
              <w:rPr>
                <w:rFonts w:cs="Times New Roman"/>
              </w:rPr>
              <w:t>Yellow squash</w:t>
            </w:r>
          </w:p>
        </w:tc>
        <w:tc>
          <w:tcPr>
            <w:tcW w:w="2438" w:type="dxa"/>
            <w:hideMark/>
          </w:tcPr>
          <w:p w14:paraId="2C751B3F" w14:textId="77777777" w:rsidR="000A152B" w:rsidRPr="00901194" w:rsidRDefault="000A152B" w:rsidP="000A152B">
            <w:pPr>
              <w:spacing w:line="240" w:lineRule="auto"/>
              <w:rPr>
                <w:rFonts w:cs="Times New Roman"/>
                <w:i/>
                <w:iCs/>
              </w:rPr>
            </w:pPr>
            <w:r w:rsidRPr="00901194">
              <w:rPr>
                <w:rFonts w:cs="Times New Roman"/>
                <w:i/>
                <w:iCs/>
              </w:rPr>
              <w:t>Cucurbita sp.</w:t>
            </w:r>
          </w:p>
        </w:tc>
        <w:tc>
          <w:tcPr>
            <w:tcW w:w="1108" w:type="dxa"/>
            <w:hideMark/>
          </w:tcPr>
          <w:p w14:paraId="23A300A0"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F5BD191"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4083808B"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FE7184F"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B4830E5" w14:textId="77777777" w:rsidTr="00391854">
        <w:trPr>
          <w:trHeight w:val="300"/>
        </w:trPr>
        <w:tc>
          <w:tcPr>
            <w:tcW w:w="1697" w:type="dxa"/>
            <w:hideMark/>
          </w:tcPr>
          <w:p w14:paraId="1AD9D08B" w14:textId="77777777" w:rsidR="000A152B" w:rsidRPr="00901194" w:rsidRDefault="000A152B" w:rsidP="000A152B">
            <w:pPr>
              <w:spacing w:line="240" w:lineRule="auto"/>
              <w:rPr>
                <w:rFonts w:cs="Times New Roman"/>
              </w:rPr>
            </w:pPr>
            <w:r w:rsidRPr="00901194">
              <w:rPr>
                <w:rFonts w:cs="Times New Roman"/>
              </w:rPr>
              <w:t>WO73_S</w:t>
            </w:r>
          </w:p>
        </w:tc>
        <w:tc>
          <w:tcPr>
            <w:tcW w:w="1530" w:type="dxa"/>
            <w:hideMark/>
          </w:tcPr>
          <w:p w14:paraId="312237AB" w14:textId="77777777" w:rsidR="000A152B" w:rsidRPr="00901194" w:rsidRDefault="000A152B" w:rsidP="000A152B">
            <w:pPr>
              <w:spacing w:line="240" w:lineRule="auto"/>
              <w:rPr>
                <w:rFonts w:cs="Times New Roman"/>
              </w:rPr>
            </w:pPr>
            <w:r w:rsidRPr="00901194">
              <w:rPr>
                <w:rFonts w:cs="Times New Roman"/>
              </w:rPr>
              <w:t>Yellow squash</w:t>
            </w:r>
          </w:p>
        </w:tc>
        <w:tc>
          <w:tcPr>
            <w:tcW w:w="2438" w:type="dxa"/>
            <w:hideMark/>
          </w:tcPr>
          <w:p w14:paraId="08BE666D" w14:textId="77777777" w:rsidR="000A152B" w:rsidRPr="00901194" w:rsidRDefault="000A152B" w:rsidP="000A152B">
            <w:pPr>
              <w:spacing w:line="240" w:lineRule="auto"/>
              <w:rPr>
                <w:rFonts w:cs="Times New Roman"/>
                <w:i/>
                <w:iCs/>
              </w:rPr>
            </w:pPr>
            <w:r w:rsidRPr="00901194">
              <w:rPr>
                <w:rFonts w:cs="Times New Roman"/>
                <w:i/>
                <w:iCs/>
              </w:rPr>
              <w:t>Cucurbita sp.</w:t>
            </w:r>
          </w:p>
        </w:tc>
        <w:tc>
          <w:tcPr>
            <w:tcW w:w="1108" w:type="dxa"/>
            <w:hideMark/>
          </w:tcPr>
          <w:p w14:paraId="0B6C2C22"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FE5C13C"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3C32ED12"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08BD8FF4"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55AFD61" w14:textId="77777777" w:rsidTr="00391854">
        <w:trPr>
          <w:trHeight w:val="300"/>
        </w:trPr>
        <w:tc>
          <w:tcPr>
            <w:tcW w:w="1697" w:type="dxa"/>
            <w:hideMark/>
          </w:tcPr>
          <w:p w14:paraId="4B88B64E" w14:textId="77777777" w:rsidR="000A152B" w:rsidRPr="00901194" w:rsidRDefault="000A152B" w:rsidP="000A152B">
            <w:pPr>
              <w:spacing w:line="240" w:lineRule="auto"/>
              <w:rPr>
                <w:rFonts w:cs="Times New Roman"/>
              </w:rPr>
            </w:pPr>
            <w:r w:rsidRPr="00901194">
              <w:rPr>
                <w:rFonts w:cs="Times New Roman"/>
              </w:rPr>
              <w:t>WO74_F</w:t>
            </w:r>
          </w:p>
        </w:tc>
        <w:tc>
          <w:tcPr>
            <w:tcW w:w="1530" w:type="dxa"/>
            <w:hideMark/>
          </w:tcPr>
          <w:p w14:paraId="56C6A494" w14:textId="77777777" w:rsidR="000A152B" w:rsidRPr="00901194" w:rsidRDefault="000A152B" w:rsidP="000A152B">
            <w:pPr>
              <w:spacing w:line="240" w:lineRule="auto"/>
              <w:rPr>
                <w:rFonts w:cs="Times New Roman"/>
              </w:rPr>
            </w:pPr>
            <w:r w:rsidRPr="00901194">
              <w:rPr>
                <w:rFonts w:cs="Times New Roman"/>
              </w:rPr>
              <w:t>White squash</w:t>
            </w:r>
          </w:p>
        </w:tc>
        <w:tc>
          <w:tcPr>
            <w:tcW w:w="2438" w:type="dxa"/>
            <w:hideMark/>
          </w:tcPr>
          <w:p w14:paraId="1DA49E3B" w14:textId="77777777" w:rsidR="000A152B" w:rsidRPr="00901194" w:rsidRDefault="000A152B" w:rsidP="000A152B">
            <w:pPr>
              <w:spacing w:line="240" w:lineRule="auto"/>
              <w:rPr>
                <w:rFonts w:cs="Times New Roman"/>
                <w:i/>
                <w:iCs/>
              </w:rPr>
            </w:pPr>
            <w:r w:rsidRPr="00901194">
              <w:rPr>
                <w:rFonts w:cs="Times New Roman"/>
                <w:i/>
                <w:iCs/>
              </w:rPr>
              <w:t>Cucurbita moschata</w:t>
            </w:r>
          </w:p>
        </w:tc>
        <w:tc>
          <w:tcPr>
            <w:tcW w:w="1108" w:type="dxa"/>
            <w:hideMark/>
          </w:tcPr>
          <w:p w14:paraId="4F56F67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639A2BF"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C2554B9"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F302728"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1F857E41" w14:textId="77777777" w:rsidTr="00391854">
        <w:trPr>
          <w:trHeight w:val="300"/>
        </w:trPr>
        <w:tc>
          <w:tcPr>
            <w:tcW w:w="1697" w:type="dxa"/>
            <w:hideMark/>
          </w:tcPr>
          <w:p w14:paraId="7EB72F87" w14:textId="77777777" w:rsidR="000A152B" w:rsidRPr="00901194" w:rsidRDefault="000A152B" w:rsidP="000A152B">
            <w:pPr>
              <w:spacing w:line="240" w:lineRule="auto"/>
              <w:rPr>
                <w:rFonts w:cs="Times New Roman"/>
              </w:rPr>
            </w:pPr>
            <w:r w:rsidRPr="00901194">
              <w:rPr>
                <w:rFonts w:cs="Times New Roman"/>
              </w:rPr>
              <w:t>WO74_S</w:t>
            </w:r>
          </w:p>
        </w:tc>
        <w:tc>
          <w:tcPr>
            <w:tcW w:w="1530" w:type="dxa"/>
            <w:hideMark/>
          </w:tcPr>
          <w:p w14:paraId="54A73E36" w14:textId="77777777" w:rsidR="000A152B" w:rsidRPr="00901194" w:rsidRDefault="000A152B" w:rsidP="000A152B">
            <w:pPr>
              <w:spacing w:line="240" w:lineRule="auto"/>
              <w:rPr>
                <w:rFonts w:cs="Times New Roman"/>
              </w:rPr>
            </w:pPr>
            <w:r w:rsidRPr="00901194">
              <w:rPr>
                <w:rFonts w:cs="Times New Roman"/>
              </w:rPr>
              <w:t>White squash</w:t>
            </w:r>
          </w:p>
        </w:tc>
        <w:tc>
          <w:tcPr>
            <w:tcW w:w="2438" w:type="dxa"/>
            <w:hideMark/>
          </w:tcPr>
          <w:p w14:paraId="2F0A7450" w14:textId="77777777" w:rsidR="000A152B" w:rsidRPr="00901194" w:rsidRDefault="000A152B" w:rsidP="000A152B">
            <w:pPr>
              <w:spacing w:line="240" w:lineRule="auto"/>
              <w:rPr>
                <w:rFonts w:cs="Times New Roman"/>
                <w:i/>
                <w:iCs/>
              </w:rPr>
            </w:pPr>
            <w:r w:rsidRPr="00901194">
              <w:rPr>
                <w:rFonts w:cs="Times New Roman"/>
                <w:i/>
                <w:iCs/>
              </w:rPr>
              <w:t>Cucurbita moschata</w:t>
            </w:r>
          </w:p>
        </w:tc>
        <w:tc>
          <w:tcPr>
            <w:tcW w:w="1108" w:type="dxa"/>
            <w:hideMark/>
          </w:tcPr>
          <w:p w14:paraId="3F1CDA9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0FB5954"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59ED05E"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48AC92B8"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6D9BBA10" w14:textId="77777777" w:rsidTr="00391854">
        <w:trPr>
          <w:trHeight w:val="300"/>
        </w:trPr>
        <w:tc>
          <w:tcPr>
            <w:tcW w:w="1697" w:type="dxa"/>
            <w:hideMark/>
          </w:tcPr>
          <w:p w14:paraId="5F493C2F" w14:textId="77777777" w:rsidR="000A152B" w:rsidRPr="00901194" w:rsidRDefault="000A152B" w:rsidP="000A152B">
            <w:pPr>
              <w:spacing w:line="240" w:lineRule="auto"/>
              <w:rPr>
                <w:rFonts w:cs="Times New Roman"/>
              </w:rPr>
            </w:pPr>
            <w:r w:rsidRPr="00901194">
              <w:rPr>
                <w:rFonts w:cs="Times New Roman"/>
              </w:rPr>
              <w:t>WO77</w:t>
            </w:r>
          </w:p>
        </w:tc>
        <w:tc>
          <w:tcPr>
            <w:tcW w:w="1530" w:type="dxa"/>
            <w:hideMark/>
          </w:tcPr>
          <w:p w14:paraId="1796B63C" w14:textId="77777777" w:rsidR="000A152B" w:rsidRPr="00901194" w:rsidRDefault="000A152B" w:rsidP="000A152B">
            <w:pPr>
              <w:spacing w:line="240" w:lineRule="auto"/>
              <w:rPr>
                <w:rFonts w:cs="Times New Roman"/>
              </w:rPr>
            </w:pPr>
            <w:r w:rsidRPr="00901194">
              <w:rPr>
                <w:rFonts w:cs="Times New Roman"/>
              </w:rPr>
              <w:t>Chapulines grande</w:t>
            </w:r>
          </w:p>
        </w:tc>
        <w:tc>
          <w:tcPr>
            <w:tcW w:w="2438" w:type="dxa"/>
            <w:hideMark/>
          </w:tcPr>
          <w:p w14:paraId="0BD9E980" w14:textId="77777777" w:rsidR="000A152B" w:rsidRPr="00901194" w:rsidRDefault="000A152B" w:rsidP="000A152B">
            <w:pPr>
              <w:spacing w:line="240" w:lineRule="auto"/>
              <w:rPr>
                <w:rFonts w:cs="Times New Roman"/>
                <w:i/>
                <w:iCs/>
              </w:rPr>
            </w:pPr>
            <w:r w:rsidRPr="00901194">
              <w:rPr>
                <w:rFonts w:cs="Times New Roman"/>
                <w:i/>
                <w:iCs/>
              </w:rPr>
              <w:t>Sphenarium spp.</w:t>
            </w:r>
          </w:p>
        </w:tc>
        <w:tc>
          <w:tcPr>
            <w:tcW w:w="1108" w:type="dxa"/>
            <w:hideMark/>
          </w:tcPr>
          <w:p w14:paraId="41DF94D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95DBE91"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C649EEF" w14:textId="77777777" w:rsidR="000A152B" w:rsidRPr="00901194" w:rsidRDefault="000A152B" w:rsidP="000A152B">
            <w:pPr>
              <w:spacing w:line="240" w:lineRule="auto"/>
              <w:rPr>
                <w:rFonts w:cs="Times New Roman"/>
              </w:rPr>
            </w:pPr>
            <w:r w:rsidRPr="00901194">
              <w:rPr>
                <w:rFonts w:cs="Times New Roman"/>
              </w:rPr>
              <w:t>Meat</w:t>
            </w:r>
          </w:p>
        </w:tc>
        <w:tc>
          <w:tcPr>
            <w:tcW w:w="1463" w:type="dxa"/>
            <w:hideMark/>
          </w:tcPr>
          <w:p w14:paraId="1B3223FF"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3745F19F" w14:textId="77777777" w:rsidTr="00391854">
        <w:trPr>
          <w:trHeight w:val="300"/>
        </w:trPr>
        <w:tc>
          <w:tcPr>
            <w:tcW w:w="1697" w:type="dxa"/>
            <w:hideMark/>
          </w:tcPr>
          <w:p w14:paraId="0A3DDC25" w14:textId="77777777" w:rsidR="000A152B" w:rsidRPr="00901194" w:rsidRDefault="000A152B" w:rsidP="000A152B">
            <w:pPr>
              <w:spacing w:line="240" w:lineRule="auto"/>
              <w:rPr>
                <w:rFonts w:cs="Times New Roman"/>
              </w:rPr>
            </w:pPr>
            <w:r w:rsidRPr="00901194">
              <w:rPr>
                <w:rFonts w:cs="Times New Roman"/>
              </w:rPr>
              <w:t>WO83</w:t>
            </w:r>
          </w:p>
        </w:tc>
        <w:tc>
          <w:tcPr>
            <w:tcW w:w="1530" w:type="dxa"/>
            <w:hideMark/>
          </w:tcPr>
          <w:p w14:paraId="02333350" w14:textId="77777777" w:rsidR="000A152B" w:rsidRPr="00901194" w:rsidRDefault="000A152B" w:rsidP="000A152B">
            <w:pPr>
              <w:spacing w:line="240" w:lineRule="auto"/>
              <w:rPr>
                <w:rFonts w:cs="Times New Roman"/>
              </w:rPr>
            </w:pPr>
            <w:r w:rsidRPr="00901194">
              <w:rPr>
                <w:rFonts w:cs="Times New Roman"/>
              </w:rPr>
              <w:t>Pulque</w:t>
            </w:r>
          </w:p>
        </w:tc>
        <w:tc>
          <w:tcPr>
            <w:tcW w:w="2438" w:type="dxa"/>
            <w:hideMark/>
          </w:tcPr>
          <w:p w14:paraId="01443C90" w14:textId="77777777" w:rsidR="000A152B" w:rsidRPr="00901194" w:rsidRDefault="000A152B" w:rsidP="000A152B">
            <w:pPr>
              <w:spacing w:line="240" w:lineRule="auto"/>
              <w:rPr>
                <w:rFonts w:cs="Times New Roman"/>
                <w:i/>
                <w:iCs/>
              </w:rPr>
            </w:pPr>
            <w:r w:rsidRPr="00901194">
              <w:rPr>
                <w:rFonts w:cs="Times New Roman"/>
                <w:i/>
                <w:iCs/>
              </w:rPr>
              <w:t>Agave spp.</w:t>
            </w:r>
          </w:p>
        </w:tc>
        <w:tc>
          <w:tcPr>
            <w:tcW w:w="1108" w:type="dxa"/>
            <w:hideMark/>
          </w:tcPr>
          <w:p w14:paraId="31D41225"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FC8D7E6"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470F5DAC" w14:textId="77777777" w:rsidR="000A152B" w:rsidRPr="00901194" w:rsidRDefault="000A152B" w:rsidP="000A152B">
            <w:pPr>
              <w:spacing w:line="240" w:lineRule="auto"/>
              <w:rPr>
                <w:rFonts w:cs="Times New Roman"/>
              </w:rPr>
            </w:pPr>
            <w:r w:rsidRPr="00901194">
              <w:rPr>
                <w:rFonts w:cs="Times New Roman"/>
              </w:rPr>
              <w:t>Alcohol</w:t>
            </w:r>
          </w:p>
        </w:tc>
        <w:tc>
          <w:tcPr>
            <w:tcW w:w="1463" w:type="dxa"/>
            <w:hideMark/>
          </w:tcPr>
          <w:p w14:paraId="338959C7"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0000C48D" w14:textId="77777777" w:rsidTr="00391854">
        <w:trPr>
          <w:trHeight w:val="300"/>
        </w:trPr>
        <w:tc>
          <w:tcPr>
            <w:tcW w:w="1697" w:type="dxa"/>
            <w:hideMark/>
          </w:tcPr>
          <w:p w14:paraId="115341CC" w14:textId="77777777" w:rsidR="000A152B" w:rsidRPr="00901194" w:rsidRDefault="000A152B" w:rsidP="000A152B">
            <w:pPr>
              <w:spacing w:line="240" w:lineRule="auto"/>
              <w:rPr>
                <w:rFonts w:cs="Times New Roman"/>
              </w:rPr>
            </w:pPr>
            <w:r w:rsidRPr="00901194">
              <w:rPr>
                <w:rFonts w:cs="Times New Roman"/>
              </w:rPr>
              <w:t>WO84</w:t>
            </w:r>
          </w:p>
        </w:tc>
        <w:tc>
          <w:tcPr>
            <w:tcW w:w="1530" w:type="dxa"/>
            <w:hideMark/>
          </w:tcPr>
          <w:p w14:paraId="420FEB34" w14:textId="77777777" w:rsidR="000A152B" w:rsidRPr="00901194" w:rsidRDefault="000A152B" w:rsidP="000A152B">
            <w:pPr>
              <w:spacing w:line="240" w:lineRule="auto"/>
              <w:rPr>
                <w:rFonts w:cs="Times New Roman"/>
              </w:rPr>
            </w:pPr>
            <w:r w:rsidRPr="00901194">
              <w:rPr>
                <w:rFonts w:cs="Times New Roman"/>
              </w:rPr>
              <w:t>Amaranth</w:t>
            </w:r>
          </w:p>
        </w:tc>
        <w:tc>
          <w:tcPr>
            <w:tcW w:w="2438" w:type="dxa"/>
            <w:hideMark/>
          </w:tcPr>
          <w:p w14:paraId="77BEF74A" w14:textId="77777777" w:rsidR="000A152B" w:rsidRPr="00901194" w:rsidRDefault="000A152B" w:rsidP="000A152B">
            <w:pPr>
              <w:spacing w:line="240" w:lineRule="auto"/>
              <w:rPr>
                <w:rFonts w:cs="Times New Roman"/>
                <w:i/>
                <w:iCs/>
              </w:rPr>
            </w:pPr>
            <w:r w:rsidRPr="00901194">
              <w:rPr>
                <w:rFonts w:cs="Times New Roman"/>
                <w:i/>
                <w:iCs/>
              </w:rPr>
              <w:t>Amaranthus spp.</w:t>
            </w:r>
          </w:p>
        </w:tc>
        <w:tc>
          <w:tcPr>
            <w:tcW w:w="1108" w:type="dxa"/>
            <w:hideMark/>
          </w:tcPr>
          <w:p w14:paraId="7421C412"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E6BDFD9"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1B7764AC" w14:textId="77777777" w:rsidR="000A152B" w:rsidRPr="00901194" w:rsidRDefault="000A152B" w:rsidP="000A152B">
            <w:pPr>
              <w:spacing w:line="240" w:lineRule="auto"/>
              <w:rPr>
                <w:rFonts w:cs="Times New Roman"/>
              </w:rPr>
            </w:pPr>
            <w:r w:rsidRPr="00901194">
              <w:rPr>
                <w:rFonts w:cs="Times New Roman"/>
              </w:rPr>
              <w:t>Seed cake</w:t>
            </w:r>
          </w:p>
        </w:tc>
        <w:tc>
          <w:tcPr>
            <w:tcW w:w="1463" w:type="dxa"/>
            <w:hideMark/>
          </w:tcPr>
          <w:p w14:paraId="4E5DCFFC"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0DF69D6B" w14:textId="77777777" w:rsidTr="00391854">
        <w:trPr>
          <w:trHeight w:val="300"/>
        </w:trPr>
        <w:tc>
          <w:tcPr>
            <w:tcW w:w="1697" w:type="dxa"/>
            <w:hideMark/>
          </w:tcPr>
          <w:p w14:paraId="38810C12" w14:textId="77777777" w:rsidR="000A152B" w:rsidRPr="00901194" w:rsidRDefault="000A152B" w:rsidP="000A152B">
            <w:pPr>
              <w:spacing w:line="240" w:lineRule="auto"/>
              <w:rPr>
                <w:rFonts w:cs="Times New Roman"/>
              </w:rPr>
            </w:pPr>
            <w:r w:rsidRPr="00901194">
              <w:rPr>
                <w:rFonts w:cs="Times New Roman"/>
              </w:rPr>
              <w:t>WO86</w:t>
            </w:r>
          </w:p>
        </w:tc>
        <w:tc>
          <w:tcPr>
            <w:tcW w:w="1530" w:type="dxa"/>
            <w:hideMark/>
          </w:tcPr>
          <w:p w14:paraId="49B8E6E1" w14:textId="77777777" w:rsidR="000A152B" w:rsidRPr="00901194" w:rsidRDefault="000A152B" w:rsidP="000A152B">
            <w:pPr>
              <w:spacing w:line="240" w:lineRule="auto"/>
              <w:rPr>
                <w:rFonts w:cs="Times New Roman"/>
              </w:rPr>
            </w:pPr>
            <w:r w:rsidRPr="00901194">
              <w:rPr>
                <w:rFonts w:cs="Times New Roman"/>
              </w:rPr>
              <w:t>Chipil</w:t>
            </w:r>
          </w:p>
        </w:tc>
        <w:tc>
          <w:tcPr>
            <w:tcW w:w="2438" w:type="dxa"/>
            <w:hideMark/>
          </w:tcPr>
          <w:p w14:paraId="557E3348" w14:textId="77777777" w:rsidR="000A152B" w:rsidRPr="00901194" w:rsidRDefault="000A152B" w:rsidP="000A152B">
            <w:pPr>
              <w:spacing w:line="240" w:lineRule="auto"/>
              <w:rPr>
                <w:rFonts w:cs="Times New Roman"/>
                <w:i/>
                <w:iCs/>
              </w:rPr>
            </w:pPr>
            <w:r w:rsidRPr="00901194">
              <w:rPr>
                <w:rFonts w:cs="Times New Roman"/>
                <w:i/>
                <w:iCs/>
              </w:rPr>
              <w:t>Crotelaria sp.</w:t>
            </w:r>
          </w:p>
        </w:tc>
        <w:tc>
          <w:tcPr>
            <w:tcW w:w="1108" w:type="dxa"/>
            <w:hideMark/>
          </w:tcPr>
          <w:p w14:paraId="6582406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0EE6552"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4B1DED1"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16BDE493"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04A7C94" w14:textId="77777777" w:rsidTr="00391854">
        <w:trPr>
          <w:trHeight w:val="300"/>
        </w:trPr>
        <w:tc>
          <w:tcPr>
            <w:tcW w:w="1697" w:type="dxa"/>
            <w:hideMark/>
          </w:tcPr>
          <w:p w14:paraId="4901C652" w14:textId="77777777" w:rsidR="000A152B" w:rsidRPr="00901194" w:rsidRDefault="000A152B" w:rsidP="000A152B">
            <w:pPr>
              <w:spacing w:line="240" w:lineRule="auto"/>
              <w:rPr>
                <w:rFonts w:cs="Times New Roman"/>
              </w:rPr>
            </w:pPr>
            <w:r w:rsidRPr="00901194">
              <w:rPr>
                <w:rFonts w:cs="Times New Roman"/>
              </w:rPr>
              <w:lastRenderedPageBreak/>
              <w:t>WO88</w:t>
            </w:r>
          </w:p>
        </w:tc>
        <w:tc>
          <w:tcPr>
            <w:tcW w:w="1530" w:type="dxa"/>
            <w:hideMark/>
          </w:tcPr>
          <w:p w14:paraId="64221752" w14:textId="77777777" w:rsidR="000A152B" w:rsidRPr="00901194" w:rsidRDefault="000A152B" w:rsidP="000A152B">
            <w:pPr>
              <w:spacing w:line="240" w:lineRule="auto"/>
              <w:rPr>
                <w:rFonts w:cs="Times New Roman"/>
              </w:rPr>
            </w:pPr>
            <w:r w:rsidRPr="00901194">
              <w:rPr>
                <w:rFonts w:cs="Times New Roman"/>
              </w:rPr>
              <w:t>Camote</w:t>
            </w:r>
          </w:p>
        </w:tc>
        <w:tc>
          <w:tcPr>
            <w:tcW w:w="2438" w:type="dxa"/>
            <w:hideMark/>
          </w:tcPr>
          <w:p w14:paraId="0AE59556" w14:textId="77777777" w:rsidR="000A152B" w:rsidRPr="00901194" w:rsidRDefault="000A152B" w:rsidP="000A152B">
            <w:pPr>
              <w:spacing w:line="240" w:lineRule="auto"/>
              <w:rPr>
                <w:rFonts w:cs="Times New Roman"/>
                <w:i/>
                <w:iCs/>
              </w:rPr>
            </w:pPr>
            <w:r w:rsidRPr="00901194">
              <w:rPr>
                <w:rFonts w:cs="Times New Roman"/>
                <w:i/>
                <w:iCs/>
              </w:rPr>
              <w:t>Ipomaea batatas</w:t>
            </w:r>
          </w:p>
        </w:tc>
        <w:tc>
          <w:tcPr>
            <w:tcW w:w="1108" w:type="dxa"/>
            <w:hideMark/>
          </w:tcPr>
          <w:p w14:paraId="249EB0F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6F82B27"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299C6A2F" w14:textId="77777777" w:rsidR="000A152B" w:rsidRPr="00901194" w:rsidRDefault="000A152B" w:rsidP="000A152B">
            <w:pPr>
              <w:spacing w:line="240" w:lineRule="auto"/>
              <w:rPr>
                <w:rFonts w:cs="Times New Roman"/>
              </w:rPr>
            </w:pPr>
            <w:r w:rsidRPr="00901194">
              <w:rPr>
                <w:rFonts w:cs="Times New Roman"/>
              </w:rPr>
              <w:t>Tuber</w:t>
            </w:r>
          </w:p>
        </w:tc>
        <w:tc>
          <w:tcPr>
            <w:tcW w:w="1463" w:type="dxa"/>
            <w:hideMark/>
          </w:tcPr>
          <w:p w14:paraId="70A26004"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0335630C" w14:textId="77777777" w:rsidTr="00391854">
        <w:trPr>
          <w:trHeight w:val="300"/>
        </w:trPr>
        <w:tc>
          <w:tcPr>
            <w:tcW w:w="1697" w:type="dxa"/>
            <w:hideMark/>
          </w:tcPr>
          <w:p w14:paraId="649A0ECF" w14:textId="77777777" w:rsidR="000A152B" w:rsidRPr="00901194" w:rsidRDefault="000A152B" w:rsidP="000A152B">
            <w:pPr>
              <w:spacing w:line="240" w:lineRule="auto"/>
              <w:rPr>
                <w:rFonts w:cs="Times New Roman"/>
              </w:rPr>
            </w:pPr>
            <w:r w:rsidRPr="00901194">
              <w:rPr>
                <w:rFonts w:cs="Times New Roman"/>
              </w:rPr>
              <w:t>WO89</w:t>
            </w:r>
          </w:p>
        </w:tc>
        <w:tc>
          <w:tcPr>
            <w:tcW w:w="1530" w:type="dxa"/>
            <w:hideMark/>
          </w:tcPr>
          <w:p w14:paraId="0536FB43" w14:textId="77777777" w:rsidR="000A152B" w:rsidRPr="00901194" w:rsidRDefault="000A152B" w:rsidP="000A152B">
            <w:pPr>
              <w:spacing w:line="240" w:lineRule="auto"/>
              <w:rPr>
                <w:rFonts w:cs="Times New Roman"/>
              </w:rPr>
            </w:pPr>
            <w:r w:rsidRPr="00901194">
              <w:rPr>
                <w:rFonts w:cs="Times New Roman"/>
              </w:rPr>
              <w:t>Pimento</w:t>
            </w:r>
          </w:p>
        </w:tc>
        <w:tc>
          <w:tcPr>
            <w:tcW w:w="2438" w:type="dxa"/>
            <w:hideMark/>
          </w:tcPr>
          <w:p w14:paraId="2951E793"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62DA8A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0ABD5A0"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3B2F357D"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D23D880"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AF82477" w14:textId="77777777" w:rsidTr="00391854">
        <w:trPr>
          <w:trHeight w:val="300"/>
        </w:trPr>
        <w:tc>
          <w:tcPr>
            <w:tcW w:w="1697" w:type="dxa"/>
            <w:hideMark/>
          </w:tcPr>
          <w:p w14:paraId="32256DD8" w14:textId="77777777" w:rsidR="000A152B" w:rsidRPr="00901194" w:rsidRDefault="000A152B" w:rsidP="000A152B">
            <w:pPr>
              <w:spacing w:line="240" w:lineRule="auto"/>
              <w:rPr>
                <w:rFonts w:cs="Times New Roman"/>
              </w:rPr>
            </w:pPr>
            <w:r w:rsidRPr="00901194">
              <w:rPr>
                <w:rFonts w:cs="Times New Roman"/>
              </w:rPr>
              <w:t>WO90</w:t>
            </w:r>
          </w:p>
        </w:tc>
        <w:tc>
          <w:tcPr>
            <w:tcW w:w="1530" w:type="dxa"/>
            <w:hideMark/>
          </w:tcPr>
          <w:p w14:paraId="60F3D0EF" w14:textId="77777777" w:rsidR="000A152B" w:rsidRPr="00901194" w:rsidRDefault="000A152B" w:rsidP="000A152B">
            <w:pPr>
              <w:spacing w:line="240" w:lineRule="auto"/>
              <w:rPr>
                <w:rFonts w:cs="Times New Roman"/>
              </w:rPr>
            </w:pPr>
            <w:r w:rsidRPr="00901194">
              <w:rPr>
                <w:rFonts w:cs="Times New Roman"/>
              </w:rPr>
              <w:t>Yuca</w:t>
            </w:r>
          </w:p>
        </w:tc>
        <w:tc>
          <w:tcPr>
            <w:tcW w:w="2438" w:type="dxa"/>
            <w:hideMark/>
          </w:tcPr>
          <w:p w14:paraId="04A34D06" w14:textId="77777777" w:rsidR="000A152B" w:rsidRPr="00901194" w:rsidRDefault="000A152B" w:rsidP="000A152B">
            <w:pPr>
              <w:spacing w:line="240" w:lineRule="auto"/>
              <w:rPr>
                <w:rFonts w:cs="Times New Roman"/>
                <w:i/>
                <w:iCs/>
              </w:rPr>
            </w:pPr>
            <w:r w:rsidRPr="00901194">
              <w:rPr>
                <w:rFonts w:cs="Times New Roman"/>
                <w:i/>
                <w:iCs/>
              </w:rPr>
              <w:t>Manihot esculenta</w:t>
            </w:r>
          </w:p>
        </w:tc>
        <w:tc>
          <w:tcPr>
            <w:tcW w:w="1108" w:type="dxa"/>
            <w:hideMark/>
          </w:tcPr>
          <w:p w14:paraId="07CE9DC0"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C867591"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D58F299" w14:textId="77777777" w:rsidR="000A152B" w:rsidRPr="00901194" w:rsidRDefault="000A152B" w:rsidP="000A152B">
            <w:pPr>
              <w:spacing w:line="240" w:lineRule="auto"/>
              <w:rPr>
                <w:rFonts w:cs="Times New Roman"/>
              </w:rPr>
            </w:pPr>
            <w:r w:rsidRPr="00901194">
              <w:rPr>
                <w:rFonts w:cs="Times New Roman"/>
              </w:rPr>
              <w:t>Tuber</w:t>
            </w:r>
          </w:p>
        </w:tc>
        <w:tc>
          <w:tcPr>
            <w:tcW w:w="1463" w:type="dxa"/>
            <w:hideMark/>
          </w:tcPr>
          <w:p w14:paraId="085FB6E5"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B888AEE" w14:textId="77777777" w:rsidTr="00391854">
        <w:trPr>
          <w:trHeight w:val="300"/>
        </w:trPr>
        <w:tc>
          <w:tcPr>
            <w:tcW w:w="1697" w:type="dxa"/>
            <w:hideMark/>
          </w:tcPr>
          <w:p w14:paraId="7C9BC8B0" w14:textId="77777777" w:rsidR="000A152B" w:rsidRPr="00901194" w:rsidRDefault="000A152B" w:rsidP="000A152B">
            <w:pPr>
              <w:spacing w:line="240" w:lineRule="auto"/>
              <w:rPr>
                <w:rFonts w:cs="Times New Roman"/>
              </w:rPr>
            </w:pPr>
            <w:r w:rsidRPr="00901194">
              <w:rPr>
                <w:rFonts w:cs="Times New Roman"/>
              </w:rPr>
              <w:t>WO91</w:t>
            </w:r>
          </w:p>
        </w:tc>
        <w:tc>
          <w:tcPr>
            <w:tcW w:w="1530" w:type="dxa"/>
            <w:hideMark/>
          </w:tcPr>
          <w:p w14:paraId="7F6EF182" w14:textId="77777777" w:rsidR="000A152B" w:rsidRPr="00901194" w:rsidRDefault="000A152B" w:rsidP="000A152B">
            <w:pPr>
              <w:spacing w:line="240" w:lineRule="auto"/>
              <w:rPr>
                <w:rFonts w:cs="Times New Roman"/>
              </w:rPr>
            </w:pPr>
            <w:r w:rsidRPr="00901194">
              <w:rPr>
                <w:rFonts w:cs="Times New Roman"/>
              </w:rPr>
              <w:t>Mexican oregano</w:t>
            </w:r>
          </w:p>
        </w:tc>
        <w:tc>
          <w:tcPr>
            <w:tcW w:w="2438" w:type="dxa"/>
            <w:hideMark/>
          </w:tcPr>
          <w:p w14:paraId="5E3405E1" w14:textId="77777777" w:rsidR="000A152B" w:rsidRPr="00901194" w:rsidRDefault="000A152B" w:rsidP="000A152B">
            <w:pPr>
              <w:spacing w:line="240" w:lineRule="auto"/>
              <w:rPr>
                <w:rFonts w:cs="Times New Roman"/>
                <w:i/>
                <w:iCs/>
              </w:rPr>
            </w:pPr>
            <w:r w:rsidRPr="00901194">
              <w:rPr>
                <w:rFonts w:cs="Times New Roman"/>
                <w:i/>
                <w:iCs/>
              </w:rPr>
              <w:t>Lippia graveolens</w:t>
            </w:r>
          </w:p>
        </w:tc>
        <w:tc>
          <w:tcPr>
            <w:tcW w:w="1108" w:type="dxa"/>
            <w:hideMark/>
          </w:tcPr>
          <w:p w14:paraId="0CD27A1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1A330D5"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C9518BE"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2EE32829"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0446557" w14:textId="77777777" w:rsidTr="00391854">
        <w:trPr>
          <w:trHeight w:val="300"/>
        </w:trPr>
        <w:tc>
          <w:tcPr>
            <w:tcW w:w="1697" w:type="dxa"/>
            <w:hideMark/>
          </w:tcPr>
          <w:p w14:paraId="2046A4BB" w14:textId="77777777" w:rsidR="000A152B" w:rsidRPr="00901194" w:rsidRDefault="000A152B" w:rsidP="000A152B">
            <w:pPr>
              <w:spacing w:line="240" w:lineRule="auto"/>
              <w:rPr>
                <w:rFonts w:cs="Times New Roman"/>
              </w:rPr>
            </w:pPr>
            <w:r w:rsidRPr="00901194">
              <w:rPr>
                <w:rFonts w:cs="Times New Roman"/>
              </w:rPr>
              <w:t>WO93</w:t>
            </w:r>
          </w:p>
        </w:tc>
        <w:tc>
          <w:tcPr>
            <w:tcW w:w="1530" w:type="dxa"/>
            <w:hideMark/>
          </w:tcPr>
          <w:p w14:paraId="512A4C5C" w14:textId="77777777" w:rsidR="000A152B" w:rsidRPr="00901194" w:rsidRDefault="000A152B" w:rsidP="000A152B">
            <w:pPr>
              <w:spacing w:line="240" w:lineRule="auto"/>
              <w:rPr>
                <w:rFonts w:cs="Times New Roman"/>
              </w:rPr>
            </w:pPr>
            <w:r w:rsidRPr="00901194">
              <w:rPr>
                <w:rFonts w:cs="Times New Roman"/>
              </w:rPr>
              <w:t>Tepeguaje</w:t>
            </w:r>
          </w:p>
        </w:tc>
        <w:tc>
          <w:tcPr>
            <w:tcW w:w="2438" w:type="dxa"/>
            <w:hideMark/>
          </w:tcPr>
          <w:p w14:paraId="5EC048A0" w14:textId="77777777" w:rsidR="000A152B" w:rsidRPr="00901194" w:rsidRDefault="000A152B" w:rsidP="000A152B">
            <w:pPr>
              <w:spacing w:line="240" w:lineRule="auto"/>
              <w:rPr>
                <w:rFonts w:cs="Times New Roman"/>
                <w:i/>
                <w:iCs/>
              </w:rPr>
            </w:pPr>
            <w:r w:rsidRPr="00901194">
              <w:rPr>
                <w:rFonts w:cs="Times New Roman"/>
                <w:i/>
                <w:iCs/>
              </w:rPr>
              <w:t>Leucaena sp.</w:t>
            </w:r>
          </w:p>
        </w:tc>
        <w:tc>
          <w:tcPr>
            <w:tcW w:w="1108" w:type="dxa"/>
            <w:hideMark/>
          </w:tcPr>
          <w:p w14:paraId="11AF0ED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3D963D1"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45D6F941"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63251285"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72291619" w14:textId="77777777" w:rsidTr="00391854">
        <w:trPr>
          <w:trHeight w:val="300"/>
        </w:trPr>
        <w:tc>
          <w:tcPr>
            <w:tcW w:w="1697" w:type="dxa"/>
            <w:hideMark/>
          </w:tcPr>
          <w:p w14:paraId="7AF07918" w14:textId="77777777" w:rsidR="000A152B" w:rsidRPr="00901194" w:rsidRDefault="000A152B" w:rsidP="000A152B">
            <w:pPr>
              <w:spacing w:line="240" w:lineRule="auto"/>
              <w:rPr>
                <w:rFonts w:cs="Times New Roman"/>
              </w:rPr>
            </w:pPr>
            <w:r w:rsidRPr="00901194">
              <w:rPr>
                <w:rFonts w:cs="Times New Roman"/>
              </w:rPr>
              <w:t>WO94</w:t>
            </w:r>
          </w:p>
        </w:tc>
        <w:tc>
          <w:tcPr>
            <w:tcW w:w="1530" w:type="dxa"/>
            <w:hideMark/>
          </w:tcPr>
          <w:p w14:paraId="76627A49" w14:textId="77777777" w:rsidR="000A152B" w:rsidRPr="00901194" w:rsidRDefault="000A152B" w:rsidP="000A152B">
            <w:pPr>
              <w:spacing w:line="240" w:lineRule="auto"/>
              <w:rPr>
                <w:rFonts w:cs="Times New Roman"/>
              </w:rPr>
            </w:pPr>
            <w:r w:rsidRPr="00901194">
              <w:rPr>
                <w:rFonts w:cs="Times New Roman"/>
              </w:rPr>
              <w:t>Achiote</w:t>
            </w:r>
          </w:p>
        </w:tc>
        <w:tc>
          <w:tcPr>
            <w:tcW w:w="2438" w:type="dxa"/>
            <w:hideMark/>
          </w:tcPr>
          <w:p w14:paraId="3AFA4A5D" w14:textId="77777777" w:rsidR="000A152B" w:rsidRPr="00901194" w:rsidRDefault="000A152B" w:rsidP="000A152B">
            <w:pPr>
              <w:spacing w:line="240" w:lineRule="auto"/>
              <w:rPr>
                <w:rFonts w:cs="Times New Roman"/>
                <w:i/>
                <w:iCs/>
              </w:rPr>
            </w:pPr>
            <w:r w:rsidRPr="00901194">
              <w:rPr>
                <w:rFonts w:cs="Times New Roman"/>
                <w:i/>
                <w:iCs/>
              </w:rPr>
              <w:t>Bixa orellana</w:t>
            </w:r>
          </w:p>
        </w:tc>
        <w:tc>
          <w:tcPr>
            <w:tcW w:w="1108" w:type="dxa"/>
            <w:hideMark/>
          </w:tcPr>
          <w:p w14:paraId="2F03B7C4"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CAD95D9"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A5A6FC9"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2A7F5693"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E8C3715" w14:textId="77777777" w:rsidTr="00391854">
        <w:trPr>
          <w:trHeight w:val="300"/>
        </w:trPr>
        <w:tc>
          <w:tcPr>
            <w:tcW w:w="1697" w:type="dxa"/>
            <w:hideMark/>
          </w:tcPr>
          <w:p w14:paraId="2D41AEF9" w14:textId="77777777" w:rsidR="000A152B" w:rsidRPr="00901194" w:rsidRDefault="000A152B" w:rsidP="000A152B">
            <w:pPr>
              <w:spacing w:line="240" w:lineRule="auto"/>
              <w:rPr>
                <w:rFonts w:cs="Times New Roman"/>
              </w:rPr>
            </w:pPr>
            <w:r w:rsidRPr="00901194">
              <w:rPr>
                <w:rFonts w:cs="Times New Roman"/>
              </w:rPr>
              <w:t>WO98</w:t>
            </w:r>
          </w:p>
        </w:tc>
        <w:tc>
          <w:tcPr>
            <w:tcW w:w="1530" w:type="dxa"/>
            <w:hideMark/>
          </w:tcPr>
          <w:p w14:paraId="4BE263E4" w14:textId="77777777" w:rsidR="000A152B" w:rsidRPr="00901194" w:rsidRDefault="000A152B" w:rsidP="000A152B">
            <w:pPr>
              <w:spacing w:line="240" w:lineRule="auto"/>
              <w:rPr>
                <w:rFonts w:cs="Times New Roman"/>
              </w:rPr>
            </w:pPr>
            <w:r w:rsidRPr="00901194">
              <w:rPr>
                <w:rFonts w:cs="Times New Roman"/>
              </w:rPr>
              <w:t>Mesquite</w:t>
            </w:r>
          </w:p>
        </w:tc>
        <w:tc>
          <w:tcPr>
            <w:tcW w:w="2438" w:type="dxa"/>
            <w:hideMark/>
          </w:tcPr>
          <w:p w14:paraId="471F0F13" w14:textId="77777777" w:rsidR="000A152B" w:rsidRPr="00901194" w:rsidRDefault="000A152B" w:rsidP="000A152B">
            <w:pPr>
              <w:spacing w:line="240" w:lineRule="auto"/>
              <w:rPr>
                <w:rFonts w:cs="Times New Roman"/>
                <w:i/>
                <w:iCs/>
              </w:rPr>
            </w:pPr>
            <w:r w:rsidRPr="00901194">
              <w:rPr>
                <w:rFonts w:cs="Times New Roman"/>
                <w:i/>
                <w:iCs/>
              </w:rPr>
              <w:t>Prosopis sp.</w:t>
            </w:r>
          </w:p>
        </w:tc>
        <w:tc>
          <w:tcPr>
            <w:tcW w:w="1108" w:type="dxa"/>
            <w:hideMark/>
          </w:tcPr>
          <w:p w14:paraId="0D921F4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9C786D1"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368BE275" w14:textId="77777777" w:rsidR="000A152B" w:rsidRPr="00901194" w:rsidRDefault="000A152B" w:rsidP="000A152B">
            <w:pPr>
              <w:spacing w:line="240" w:lineRule="auto"/>
              <w:rPr>
                <w:rFonts w:cs="Times New Roman"/>
              </w:rPr>
            </w:pPr>
            <w:r w:rsidRPr="00901194">
              <w:rPr>
                <w:rFonts w:cs="Times New Roman"/>
              </w:rPr>
              <w:t>Pod/seed</w:t>
            </w:r>
          </w:p>
        </w:tc>
        <w:tc>
          <w:tcPr>
            <w:tcW w:w="1463" w:type="dxa"/>
            <w:hideMark/>
          </w:tcPr>
          <w:p w14:paraId="2F7B76E0"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2758FCF1" w14:textId="77777777" w:rsidTr="00391854">
        <w:trPr>
          <w:trHeight w:val="300"/>
        </w:trPr>
        <w:tc>
          <w:tcPr>
            <w:tcW w:w="1697" w:type="dxa"/>
            <w:hideMark/>
          </w:tcPr>
          <w:p w14:paraId="5429F3F3" w14:textId="77777777" w:rsidR="000A152B" w:rsidRPr="00901194" w:rsidRDefault="000A152B" w:rsidP="000A152B">
            <w:pPr>
              <w:spacing w:line="240" w:lineRule="auto"/>
              <w:rPr>
                <w:rFonts w:cs="Times New Roman"/>
              </w:rPr>
            </w:pPr>
            <w:r w:rsidRPr="00901194">
              <w:rPr>
                <w:rFonts w:cs="Times New Roman"/>
              </w:rPr>
              <w:t>WO100</w:t>
            </w:r>
          </w:p>
        </w:tc>
        <w:tc>
          <w:tcPr>
            <w:tcW w:w="1530" w:type="dxa"/>
            <w:hideMark/>
          </w:tcPr>
          <w:p w14:paraId="68808A84" w14:textId="77777777" w:rsidR="000A152B" w:rsidRPr="00901194" w:rsidRDefault="000A152B" w:rsidP="000A152B">
            <w:pPr>
              <w:spacing w:line="240" w:lineRule="auto"/>
              <w:rPr>
                <w:rFonts w:cs="Times New Roman"/>
              </w:rPr>
            </w:pPr>
            <w:r w:rsidRPr="00901194">
              <w:rPr>
                <w:rFonts w:cs="Times New Roman"/>
              </w:rPr>
              <w:t>Chayote (spiny)</w:t>
            </w:r>
          </w:p>
        </w:tc>
        <w:tc>
          <w:tcPr>
            <w:tcW w:w="2438" w:type="dxa"/>
            <w:hideMark/>
          </w:tcPr>
          <w:p w14:paraId="264ED09B" w14:textId="77777777" w:rsidR="000A152B" w:rsidRPr="00901194" w:rsidRDefault="000A152B" w:rsidP="000A152B">
            <w:pPr>
              <w:spacing w:line="240" w:lineRule="auto"/>
              <w:rPr>
                <w:rFonts w:cs="Times New Roman"/>
                <w:i/>
                <w:iCs/>
              </w:rPr>
            </w:pPr>
            <w:r w:rsidRPr="00901194">
              <w:rPr>
                <w:rFonts w:cs="Times New Roman"/>
                <w:i/>
                <w:iCs/>
              </w:rPr>
              <w:t>Sechium edulis</w:t>
            </w:r>
          </w:p>
        </w:tc>
        <w:tc>
          <w:tcPr>
            <w:tcW w:w="1108" w:type="dxa"/>
            <w:hideMark/>
          </w:tcPr>
          <w:p w14:paraId="38A59E4E"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4B6E190"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36F8393D"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BB8B086"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0E500CEA" w14:textId="77777777" w:rsidTr="00391854">
        <w:trPr>
          <w:trHeight w:val="300"/>
        </w:trPr>
        <w:tc>
          <w:tcPr>
            <w:tcW w:w="1697" w:type="dxa"/>
            <w:hideMark/>
          </w:tcPr>
          <w:p w14:paraId="1BEC718F" w14:textId="77777777" w:rsidR="000A152B" w:rsidRPr="00901194" w:rsidRDefault="000A152B" w:rsidP="000A152B">
            <w:pPr>
              <w:spacing w:line="240" w:lineRule="auto"/>
              <w:rPr>
                <w:rFonts w:cs="Times New Roman"/>
              </w:rPr>
            </w:pPr>
            <w:r w:rsidRPr="00901194">
              <w:rPr>
                <w:rFonts w:cs="Times New Roman"/>
              </w:rPr>
              <w:t>WO101</w:t>
            </w:r>
          </w:p>
        </w:tc>
        <w:tc>
          <w:tcPr>
            <w:tcW w:w="1530" w:type="dxa"/>
            <w:hideMark/>
          </w:tcPr>
          <w:p w14:paraId="58CD43C7" w14:textId="77777777" w:rsidR="000A152B" w:rsidRPr="00901194" w:rsidRDefault="000A152B" w:rsidP="000A152B">
            <w:pPr>
              <w:spacing w:line="240" w:lineRule="auto"/>
              <w:rPr>
                <w:rFonts w:cs="Times New Roman"/>
              </w:rPr>
            </w:pPr>
            <w:r w:rsidRPr="00901194">
              <w:rPr>
                <w:rFonts w:cs="Times New Roman"/>
              </w:rPr>
              <w:t xml:space="preserve">Chicozapote </w:t>
            </w:r>
          </w:p>
        </w:tc>
        <w:tc>
          <w:tcPr>
            <w:tcW w:w="2438" w:type="dxa"/>
            <w:hideMark/>
          </w:tcPr>
          <w:p w14:paraId="55AE1869" w14:textId="77777777" w:rsidR="000A152B" w:rsidRPr="00901194" w:rsidRDefault="000A152B" w:rsidP="000A152B">
            <w:pPr>
              <w:spacing w:line="240" w:lineRule="auto"/>
              <w:rPr>
                <w:rFonts w:cs="Times New Roman"/>
                <w:i/>
                <w:iCs/>
              </w:rPr>
            </w:pPr>
            <w:r w:rsidRPr="00901194">
              <w:rPr>
                <w:rFonts w:cs="Times New Roman"/>
                <w:i/>
                <w:iCs/>
              </w:rPr>
              <w:t>Manilkara zapotilla</w:t>
            </w:r>
          </w:p>
        </w:tc>
        <w:tc>
          <w:tcPr>
            <w:tcW w:w="1108" w:type="dxa"/>
            <w:hideMark/>
          </w:tcPr>
          <w:p w14:paraId="12EB5C4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A409584"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4AB4D4D9"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6567841"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428CAB94" w14:textId="77777777" w:rsidTr="00391854">
        <w:trPr>
          <w:trHeight w:val="300"/>
        </w:trPr>
        <w:tc>
          <w:tcPr>
            <w:tcW w:w="1697" w:type="dxa"/>
            <w:hideMark/>
          </w:tcPr>
          <w:p w14:paraId="300C226F" w14:textId="77777777" w:rsidR="000A152B" w:rsidRPr="00901194" w:rsidRDefault="000A152B" w:rsidP="000A152B">
            <w:pPr>
              <w:spacing w:line="240" w:lineRule="auto"/>
              <w:rPr>
                <w:rFonts w:cs="Times New Roman"/>
              </w:rPr>
            </w:pPr>
            <w:r w:rsidRPr="00901194">
              <w:rPr>
                <w:rFonts w:cs="Times New Roman"/>
              </w:rPr>
              <w:t>WO102</w:t>
            </w:r>
          </w:p>
        </w:tc>
        <w:tc>
          <w:tcPr>
            <w:tcW w:w="1530" w:type="dxa"/>
            <w:hideMark/>
          </w:tcPr>
          <w:p w14:paraId="5C91C35B" w14:textId="77777777" w:rsidR="000A152B" w:rsidRPr="00901194" w:rsidRDefault="000A152B" w:rsidP="000A152B">
            <w:pPr>
              <w:spacing w:line="240" w:lineRule="auto"/>
              <w:rPr>
                <w:rFonts w:cs="Times New Roman"/>
              </w:rPr>
            </w:pPr>
            <w:r w:rsidRPr="00901194">
              <w:rPr>
                <w:rFonts w:cs="Times New Roman"/>
              </w:rPr>
              <w:t>Chile guajillo</w:t>
            </w:r>
          </w:p>
        </w:tc>
        <w:tc>
          <w:tcPr>
            <w:tcW w:w="2438" w:type="dxa"/>
            <w:hideMark/>
          </w:tcPr>
          <w:p w14:paraId="5F005B64"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2BBEE34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5229786"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2B1BE35F"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7EE785E"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03883D36" w14:textId="77777777" w:rsidTr="00391854">
        <w:trPr>
          <w:trHeight w:val="300"/>
        </w:trPr>
        <w:tc>
          <w:tcPr>
            <w:tcW w:w="1697" w:type="dxa"/>
            <w:hideMark/>
          </w:tcPr>
          <w:p w14:paraId="299F2927" w14:textId="77777777" w:rsidR="000A152B" w:rsidRPr="00901194" w:rsidRDefault="000A152B" w:rsidP="000A152B">
            <w:pPr>
              <w:spacing w:line="240" w:lineRule="auto"/>
              <w:rPr>
                <w:rFonts w:cs="Times New Roman"/>
              </w:rPr>
            </w:pPr>
            <w:r w:rsidRPr="00901194">
              <w:rPr>
                <w:rFonts w:cs="Times New Roman"/>
              </w:rPr>
              <w:t>WO103</w:t>
            </w:r>
          </w:p>
        </w:tc>
        <w:tc>
          <w:tcPr>
            <w:tcW w:w="1530" w:type="dxa"/>
            <w:hideMark/>
          </w:tcPr>
          <w:p w14:paraId="59FA9595" w14:textId="77777777" w:rsidR="000A152B" w:rsidRPr="00901194" w:rsidRDefault="000A152B" w:rsidP="000A152B">
            <w:pPr>
              <w:spacing w:line="240" w:lineRule="auto"/>
              <w:rPr>
                <w:rFonts w:cs="Times New Roman"/>
              </w:rPr>
            </w:pPr>
            <w:r w:rsidRPr="00901194">
              <w:rPr>
                <w:rFonts w:cs="Times New Roman"/>
              </w:rPr>
              <w:t>Chile</w:t>
            </w:r>
          </w:p>
        </w:tc>
        <w:tc>
          <w:tcPr>
            <w:tcW w:w="2438" w:type="dxa"/>
            <w:hideMark/>
          </w:tcPr>
          <w:p w14:paraId="7D495BDA"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0255BB8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E07CAF0"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7C01290F"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53912D6B"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4CA1D5D7" w14:textId="77777777" w:rsidTr="00391854">
        <w:trPr>
          <w:trHeight w:val="300"/>
        </w:trPr>
        <w:tc>
          <w:tcPr>
            <w:tcW w:w="1697" w:type="dxa"/>
            <w:hideMark/>
          </w:tcPr>
          <w:p w14:paraId="1CA10434" w14:textId="77777777" w:rsidR="000A152B" w:rsidRPr="00901194" w:rsidRDefault="000A152B" w:rsidP="000A152B">
            <w:pPr>
              <w:spacing w:line="240" w:lineRule="auto"/>
              <w:rPr>
                <w:rFonts w:cs="Times New Roman"/>
              </w:rPr>
            </w:pPr>
            <w:r w:rsidRPr="00901194">
              <w:rPr>
                <w:rFonts w:cs="Times New Roman"/>
              </w:rPr>
              <w:t>WO104</w:t>
            </w:r>
          </w:p>
        </w:tc>
        <w:tc>
          <w:tcPr>
            <w:tcW w:w="1530" w:type="dxa"/>
            <w:hideMark/>
          </w:tcPr>
          <w:p w14:paraId="682B1295" w14:textId="77777777" w:rsidR="000A152B" w:rsidRPr="00901194" w:rsidRDefault="000A152B" w:rsidP="000A152B">
            <w:pPr>
              <w:spacing w:line="240" w:lineRule="auto"/>
              <w:rPr>
                <w:rFonts w:cs="Times New Roman"/>
              </w:rPr>
            </w:pPr>
            <w:r w:rsidRPr="00901194">
              <w:rPr>
                <w:rFonts w:cs="Times New Roman"/>
              </w:rPr>
              <w:t>Chile ancho</w:t>
            </w:r>
          </w:p>
        </w:tc>
        <w:tc>
          <w:tcPr>
            <w:tcW w:w="2438" w:type="dxa"/>
            <w:hideMark/>
          </w:tcPr>
          <w:p w14:paraId="5774DA36"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38E41BA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2061EA1"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5FD1C01B"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CC3BFCD"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0FB48B4D" w14:textId="77777777" w:rsidTr="00391854">
        <w:trPr>
          <w:trHeight w:val="300"/>
        </w:trPr>
        <w:tc>
          <w:tcPr>
            <w:tcW w:w="1697" w:type="dxa"/>
            <w:hideMark/>
          </w:tcPr>
          <w:p w14:paraId="7795860C" w14:textId="77777777" w:rsidR="000A152B" w:rsidRPr="00901194" w:rsidRDefault="000A152B" w:rsidP="000A152B">
            <w:pPr>
              <w:spacing w:line="240" w:lineRule="auto"/>
              <w:rPr>
                <w:rFonts w:cs="Times New Roman"/>
              </w:rPr>
            </w:pPr>
            <w:r w:rsidRPr="00901194">
              <w:rPr>
                <w:rFonts w:cs="Times New Roman"/>
              </w:rPr>
              <w:t>WO105</w:t>
            </w:r>
          </w:p>
        </w:tc>
        <w:tc>
          <w:tcPr>
            <w:tcW w:w="1530" w:type="dxa"/>
            <w:hideMark/>
          </w:tcPr>
          <w:p w14:paraId="3E447E9C" w14:textId="77777777" w:rsidR="000A152B" w:rsidRPr="00901194" w:rsidRDefault="000A152B" w:rsidP="000A152B">
            <w:pPr>
              <w:spacing w:line="240" w:lineRule="auto"/>
              <w:rPr>
                <w:rFonts w:cs="Times New Roman"/>
              </w:rPr>
            </w:pPr>
            <w:r w:rsidRPr="00901194">
              <w:rPr>
                <w:rFonts w:cs="Times New Roman"/>
              </w:rPr>
              <w:t>Chile ancho</w:t>
            </w:r>
          </w:p>
        </w:tc>
        <w:tc>
          <w:tcPr>
            <w:tcW w:w="2438" w:type="dxa"/>
            <w:hideMark/>
          </w:tcPr>
          <w:p w14:paraId="64B9F113"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4C624DE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2537540"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06C60C65"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6D620C8"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4856739" w14:textId="77777777" w:rsidTr="00391854">
        <w:trPr>
          <w:trHeight w:val="300"/>
        </w:trPr>
        <w:tc>
          <w:tcPr>
            <w:tcW w:w="1697" w:type="dxa"/>
            <w:hideMark/>
          </w:tcPr>
          <w:p w14:paraId="1C50B927" w14:textId="77777777" w:rsidR="000A152B" w:rsidRPr="00901194" w:rsidRDefault="000A152B" w:rsidP="000A152B">
            <w:pPr>
              <w:spacing w:line="240" w:lineRule="auto"/>
              <w:rPr>
                <w:rFonts w:cs="Times New Roman"/>
              </w:rPr>
            </w:pPr>
            <w:r w:rsidRPr="00901194">
              <w:rPr>
                <w:rFonts w:cs="Times New Roman"/>
              </w:rPr>
              <w:t>WO106</w:t>
            </w:r>
          </w:p>
        </w:tc>
        <w:tc>
          <w:tcPr>
            <w:tcW w:w="1530" w:type="dxa"/>
            <w:hideMark/>
          </w:tcPr>
          <w:p w14:paraId="5FDBDF23" w14:textId="77777777" w:rsidR="000A152B" w:rsidRPr="00901194" w:rsidRDefault="000A152B" w:rsidP="000A152B">
            <w:pPr>
              <w:spacing w:line="240" w:lineRule="auto"/>
              <w:rPr>
                <w:rFonts w:cs="Times New Roman"/>
              </w:rPr>
            </w:pPr>
            <w:r w:rsidRPr="00901194">
              <w:rPr>
                <w:rFonts w:cs="Times New Roman"/>
              </w:rPr>
              <w:t>Chile</w:t>
            </w:r>
          </w:p>
        </w:tc>
        <w:tc>
          <w:tcPr>
            <w:tcW w:w="2438" w:type="dxa"/>
            <w:hideMark/>
          </w:tcPr>
          <w:p w14:paraId="110C36FB"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1CA5F8E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64B695A"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36155F96"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D00D8AD"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0883BBA2" w14:textId="77777777" w:rsidTr="00391854">
        <w:trPr>
          <w:trHeight w:val="300"/>
        </w:trPr>
        <w:tc>
          <w:tcPr>
            <w:tcW w:w="1697" w:type="dxa"/>
            <w:hideMark/>
          </w:tcPr>
          <w:p w14:paraId="1CD5D1A6" w14:textId="77777777" w:rsidR="000A152B" w:rsidRPr="00901194" w:rsidRDefault="000A152B" w:rsidP="000A152B">
            <w:pPr>
              <w:spacing w:line="240" w:lineRule="auto"/>
              <w:rPr>
                <w:rFonts w:cs="Times New Roman"/>
              </w:rPr>
            </w:pPr>
            <w:r w:rsidRPr="00901194">
              <w:rPr>
                <w:rFonts w:cs="Times New Roman"/>
              </w:rPr>
              <w:t>WO108</w:t>
            </w:r>
          </w:p>
        </w:tc>
        <w:tc>
          <w:tcPr>
            <w:tcW w:w="1530" w:type="dxa"/>
            <w:hideMark/>
          </w:tcPr>
          <w:p w14:paraId="51D87BE9" w14:textId="77777777" w:rsidR="000A152B" w:rsidRPr="00901194" w:rsidRDefault="000A152B" w:rsidP="000A152B">
            <w:pPr>
              <w:spacing w:line="240" w:lineRule="auto"/>
              <w:rPr>
                <w:rFonts w:cs="Times New Roman"/>
              </w:rPr>
            </w:pPr>
            <w:r w:rsidRPr="00901194">
              <w:rPr>
                <w:rFonts w:cs="Times New Roman"/>
              </w:rPr>
              <w:t>Chile de arbol</w:t>
            </w:r>
          </w:p>
        </w:tc>
        <w:tc>
          <w:tcPr>
            <w:tcW w:w="2438" w:type="dxa"/>
            <w:hideMark/>
          </w:tcPr>
          <w:p w14:paraId="791672BB"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6D3C6F02"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27BA254"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1C0F3B12"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F59F11E"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89A3E0E" w14:textId="77777777" w:rsidTr="00391854">
        <w:trPr>
          <w:trHeight w:val="600"/>
        </w:trPr>
        <w:tc>
          <w:tcPr>
            <w:tcW w:w="1697" w:type="dxa"/>
            <w:hideMark/>
          </w:tcPr>
          <w:p w14:paraId="40C1DE03" w14:textId="77777777" w:rsidR="000A152B" w:rsidRPr="00901194" w:rsidRDefault="000A152B" w:rsidP="000A152B">
            <w:pPr>
              <w:spacing w:line="240" w:lineRule="auto"/>
              <w:rPr>
                <w:rFonts w:cs="Times New Roman"/>
              </w:rPr>
            </w:pPr>
            <w:r w:rsidRPr="00901194">
              <w:rPr>
                <w:rFonts w:cs="Times New Roman"/>
              </w:rPr>
              <w:t>WO110</w:t>
            </w:r>
          </w:p>
        </w:tc>
        <w:tc>
          <w:tcPr>
            <w:tcW w:w="1530" w:type="dxa"/>
            <w:hideMark/>
          </w:tcPr>
          <w:p w14:paraId="686F00B7" w14:textId="77777777" w:rsidR="000A152B" w:rsidRPr="00901194" w:rsidRDefault="000A152B" w:rsidP="000A152B">
            <w:pPr>
              <w:spacing w:line="240" w:lineRule="auto"/>
              <w:rPr>
                <w:rFonts w:cs="Times New Roman"/>
              </w:rPr>
            </w:pPr>
            <w:r w:rsidRPr="00901194">
              <w:rPr>
                <w:rFonts w:cs="Times New Roman"/>
              </w:rPr>
              <w:t>Epazote</w:t>
            </w:r>
          </w:p>
        </w:tc>
        <w:tc>
          <w:tcPr>
            <w:tcW w:w="2438" w:type="dxa"/>
            <w:hideMark/>
          </w:tcPr>
          <w:p w14:paraId="057B4E57" w14:textId="77777777" w:rsidR="000A152B" w:rsidRPr="00901194" w:rsidRDefault="000A152B" w:rsidP="000A152B">
            <w:pPr>
              <w:spacing w:line="240" w:lineRule="auto"/>
              <w:rPr>
                <w:rFonts w:cs="Times New Roman"/>
                <w:i/>
                <w:iCs/>
              </w:rPr>
            </w:pPr>
            <w:r w:rsidRPr="00901194">
              <w:rPr>
                <w:rFonts w:cs="Times New Roman"/>
                <w:i/>
                <w:iCs/>
              </w:rPr>
              <w:t>Chenopodium ambrosioides</w:t>
            </w:r>
          </w:p>
        </w:tc>
        <w:tc>
          <w:tcPr>
            <w:tcW w:w="1108" w:type="dxa"/>
            <w:hideMark/>
          </w:tcPr>
          <w:p w14:paraId="66791B9F"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F258F8F" w14:textId="77777777" w:rsidR="000A152B" w:rsidRPr="00901194" w:rsidRDefault="000A152B" w:rsidP="000A152B">
            <w:pPr>
              <w:spacing w:line="240" w:lineRule="auto"/>
              <w:rPr>
                <w:rFonts w:cs="Times New Roman"/>
              </w:rPr>
            </w:pPr>
            <w:r w:rsidRPr="00901194">
              <w:rPr>
                <w:rFonts w:cs="Times New Roman"/>
              </w:rPr>
              <w:t>Winter Oaxaca</w:t>
            </w:r>
          </w:p>
        </w:tc>
        <w:tc>
          <w:tcPr>
            <w:tcW w:w="1440" w:type="dxa"/>
            <w:hideMark/>
          </w:tcPr>
          <w:p w14:paraId="6F0130E5"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1BBDBA21" w14:textId="77777777" w:rsidR="000A152B" w:rsidRPr="00901194" w:rsidRDefault="000A152B" w:rsidP="000A152B">
            <w:pPr>
              <w:spacing w:line="240" w:lineRule="auto"/>
              <w:rPr>
                <w:rFonts w:cs="Times New Roman"/>
              </w:rPr>
            </w:pPr>
            <w:r w:rsidRPr="00901194">
              <w:rPr>
                <w:rFonts w:cs="Times New Roman"/>
              </w:rPr>
              <w:t>2005</w:t>
            </w:r>
          </w:p>
        </w:tc>
      </w:tr>
      <w:tr w:rsidR="00796762" w:rsidRPr="00901194" w14:paraId="5A741C6A" w14:textId="77777777" w:rsidTr="00391854">
        <w:trPr>
          <w:trHeight w:val="300"/>
        </w:trPr>
        <w:tc>
          <w:tcPr>
            <w:tcW w:w="1697" w:type="dxa"/>
            <w:hideMark/>
          </w:tcPr>
          <w:p w14:paraId="304B9686" w14:textId="77777777" w:rsidR="000A152B" w:rsidRPr="00901194" w:rsidRDefault="000A152B" w:rsidP="000A152B">
            <w:pPr>
              <w:spacing w:line="240" w:lineRule="auto"/>
              <w:rPr>
                <w:rFonts w:cs="Times New Roman"/>
              </w:rPr>
            </w:pPr>
            <w:r w:rsidRPr="00901194">
              <w:rPr>
                <w:rFonts w:cs="Times New Roman"/>
              </w:rPr>
              <w:t>SV01</w:t>
            </w:r>
          </w:p>
        </w:tc>
        <w:tc>
          <w:tcPr>
            <w:tcW w:w="1530" w:type="dxa"/>
            <w:hideMark/>
          </w:tcPr>
          <w:p w14:paraId="5EDA5AAF" w14:textId="77777777" w:rsidR="000A152B" w:rsidRPr="00901194" w:rsidRDefault="000A152B" w:rsidP="000A152B">
            <w:pPr>
              <w:spacing w:line="240" w:lineRule="auto"/>
              <w:rPr>
                <w:rFonts w:cs="Times New Roman"/>
              </w:rPr>
            </w:pPr>
            <w:r w:rsidRPr="00901194">
              <w:rPr>
                <w:rFonts w:cs="Times New Roman"/>
              </w:rPr>
              <w:t>Nance</w:t>
            </w:r>
          </w:p>
        </w:tc>
        <w:tc>
          <w:tcPr>
            <w:tcW w:w="2438" w:type="dxa"/>
            <w:hideMark/>
          </w:tcPr>
          <w:p w14:paraId="79D5DAC4" w14:textId="77777777" w:rsidR="000A152B" w:rsidRPr="00901194" w:rsidRDefault="000A152B" w:rsidP="000A152B">
            <w:pPr>
              <w:spacing w:line="240" w:lineRule="auto"/>
              <w:rPr>
                <w:rFonts w:cs="Times New Roman"/>
                <w:i/>
                <w:iCs/>
              </w:rPr>
            </w:pPr>
            <w:r w:rsidRPr="00901194">
              <w:rPr>
                <w:rFonts w:cs="Times New Roman"/>
                <w:i/>
                <w:iCs/>
              </w:rPr>
              <w:t>Byrsonima crassifolia</w:t>
            </w:r>
          </w:p>
        </w:tc>
        <w:tc>
          <w:tcPr>
            <w:tcW w:w="1108" w:type="dxa"/>
            <w:hideMark/>
          </w:tcPr>
          <w:p w14:paraId="1C36805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1E5B203"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13EB1055"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BDE4E71"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06CF27E" w14:textId="77777777" w:rsidTr="00391854">
        <w:trPr>
          <w:trHeight w:val="300"/>
        </w:trPr>
        <w:tc>
          <w:tcPr>
            <w:tcW w:w="1697" w:type="dxa"/>
            <w:hideMark/>
          </w:tcPr>
          <w:p w14:paraId="337306C5" w14:textId="77777777" w:rsidR="000A152B" w:rsidRPr="00901194" w:rsidRDefault="000A152B" w:rsidP="000A152B">
            <w:pPr>
              <w:spacing w:line="240" w:lineRule="auto"/>
              <w:rPr>
                <w:rFonts w:cs="Times New Roman"/>
              </w:rPr>
            </w:pPr>
            <w:r w:rsidRPr="00901194">
              <w:rPr>
                <w:rFonts w:cs="Times New Roman"/>
              </w:rPr>
              <w:t>SV02</w:t>
            </w:r>
          </w:p>
        </w:tc>
        <w:tc>
          <w:tcPr>
            <w:tcW w:w="1530" w:type="dxa"/>
            <w:hideMark/>
          </w:tcPr>
          <w:p w14:paraId="5ED77B7F" w14:textId="77777777" w:rsidR="000A152B" w:rsidRPr="00901194" w:rsidRDefault="000A152B" w:rsidP="000A152B">
            <w:pPr>
              <w:spacing w:line="240" w:lineRule="auto"/>
              <w:rPr>
                <w:rFonts w:cs="Times New Roman"/>
              </w:rPr>
            </w:pPr>
            <w:r w:rsidRPr="00901194">
              <w:rPr>
                <w:rFonts w:cs="Times New Roman"/>
              </w:rPr>
              <w:t>Papaya</w:t>
            </w:r>
          </w:p>
        </w:tc>
        <w:tc>
          <w:tcPr>
            <w:tcW w:w="2438" w:type="dxa"/>
            <w:hideMark/>
          </w:tcPr>
          <w:p w14:paraId="0BA99F5E" w14:textId="77777777" w:rsidR="000A152B" w:rsidRPr="00901194" w:rsidRDefault="000A152B" w:rsidP="000A152B">
            <w:pPr>
              <w:spacing w:line="240" w:lineRule="auto"/>
              <w:rPr>
                <w:rFonts w:cs="Times New Roman"/>
                <w:i/>
                <w:iCs/>
              </w:rPr>
            </w:pPr>
            <w:r w:rsidRPr="00901194">
              <w:rPr>
                <w:rFonts w:cs="Times New Roman"/>
                <w:i/>
                <w:iCs/>
              </w:rPr>
              <w:t>Carica papaya</w:t>
            </w:r>
          </w:p>
        </w:tc>
        <w:tc>
          <w:tcPr>
            <w:tcW w:w="1108" w:type="dxa"/>
            <w:hideMark/>
          </w:tcPr>
          <w:p w14:paraId="05537FA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F555E2B"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90A876A"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3F9C7A5"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598CBFF" w14:textId="77777777" w:rsidTr="00391854">
        <w:trPr>
          <w:trHeight w:val="300"/>
        </w:trPr>
        <w:tc>
          <w:tcPr>
            <w:tcW w:w="1697" w:type="dxa"/>
            <w:hideMark/>
          </w:tcPr>
          <w:p w14:paraId="6E9F6E50" w14:textId="77777777" w:rsidR="000A152B" w:rsidRPr="00901194" w:rsidRDefault="000A152B" w:rsidP="000A152B">
            <w:pPr>
              <w:spacing w:line="240" w:lineRule="auto"/>
              <w:rPr>
                <w:rFonts w:cs="Times New Roman"/>
              </w:rPr>
            </w:pPr>
            <w:r w:rsidRPr="00901194">
              <w:rPr>
                <w:rFonts w:cs="Times New Roman"/>
              </w:rPr>
              <w:t>SV03</w:t>
            </w:r>
          </w:p>
        </w:tc>
        <w:tc>
          <w:tcPr>
            <w:tcW w:w="1530" w:type="dxa"/>
            <w:hideMark/>
          </w:tcPr>
          <w:p w14:paraId="7557E926" w14:textId="77777777" w:rsidR="000A152B" w:rsidRPr="00901194" w:rsidRDefault="000A152B" w:rsidP="000A152B">
            <w:pPr>
              <w:spacing w:line="240" w:lineRule="auto"/>
              <w:rPr>
                <w:rFonts w:cs="Times New Roman"/>
              </w:rPr>
            </w:pPr>
            <w:r w:rsidRPr="00901194">
              <w:rPr>
                <w:rFonts w:cs="Times New Roman"/>
              </w:rPr>
              <w:t>Guava</w:t>
            </w:r>
          </w:p>
        </w:tc>
        <w:tc>
          <w:tcPr>
            <w:tcW w:w="2438" w:type="dxa"/>
            <w:hideMark/>
          </w:tcPr>
          <w:p w14:paraId="4898465F" w14:textId="77777777" w:rsidR="000A152B" w:rsidRPr="00901194" w:rsidRDefault="000A152B" w:rsidP="000A152B">
            <w:pPr>
              <w:spacing w:line="240" w:lineRule="auto"/>
              <w:rPr>
                <w:rFonts w:cs="Times New Roman"/>
                <w:i/>
                <w:iCs/>
              </w:rPr>
            </w:pPr>
            <w:r w:rsidRPr="00901194">
              <w:rPr>
                <w:rFonts w:cs="Times New Roman"/>
                <w:i/>
                <w:iCs/>
              </w:rPr>
              <w:t>Psidium guajava</w:t>
            </w:r>
          </w:p>
        </w:tc>
        <w:tc>
          <w:tcPr>
            <w:tcW w:w="1108" w:type="dxa"/>
            <w:hideMark/>
          </w:tcPr>
          <w:p w14:paraId="14D09630"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11E6397"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5DF5B85"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4C6B19F"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A88D8E5" w14:textId="77777777" w:rsidTr="00391854">
        <w:trPr>
          <w:trHeight w:val="300"/>
        </w:trPr>
        <w:tc>
          <w:tcPr>
            <w:tcW w:w="1697" w:type="dxa"/>
            <w:hideMark/>
          </w:tcPr>
          <w:p w14:paraId="61D6C80E" w14:textId="77777777" w:rsidR="000A152B" w:rsidRPr="00901194" w:rsidRDefault="000A152B" w:rsidP="000A152B">
            <w:pPr>
              <w:spacing w:line="240" w:lineRule="auto"/>
              <w:rPr>
                <w:rFonts w:cs="Times New Roman"/>
              </w:rPr>
            </w:pPr>
            <w:r w:rsidRPr="00901194">
              <w:rPr>
                <w:rFonts w:cs="Times New Roman"/>
              </w:rPr>
              <w:t>SV06</w:t>
            </w:r>
          </w:p>
        </w:tc>
        <w:tc>
          <w:tcPr>
            <w:tcW w:w="1530" w:type="dxa"/>
            <w:hideMark/>
          </w:tcPr>
          <w:p w14:paraId="07C5B9CD" w14:textId="77777777" w:rsidR="000A152B" w:rsidRPr="00901194" w:rsidRDefault="000A152B" w:rsidP="000A152B">
            <w:pPr>
              <w:spacing w:line="240" w:lineRule="auto"/>
              <w:rPr>
                <w:rFonts w:cs="Times New Roman"/>
              </w:rPr>
            </w:pPr>
            <w:r w:rsidRPr="00901194">
              <w:rPr>
                <w:rFonts w:cs="Times New Roman"/>
              </w:rPr>
              <w:t>Avocado</w:t>
            </w:r>
          </w:p>
        </w:tc>
        <w:tc>
          <w:tcPr>
            <w:tcW w:w="2438" w:type="dxa"/>
            <w:hideMark/>
          </w:tcPr>
          <w:p w14:paraId="4775927D" w14:textId="77777777" w:rsidR="000A152B" w:rsidRPr="00901194" w:rsidRDefault="000A152B" w:rsidP="000A152B">
            <w:pPr>
              <w:spacing w:line="240" w:lineRule="auto"/>
              <w:rPr>
                <w:rFonts w:cs="Times New Roman"/>
                <w:i/>
                <w:iCs/>
              </w:rPr>
            </w:pPr>
            <w:r w:rsidRPr="00901194">
              <w:rPr>
                <w:rFonts w:cs="Times New Roman"/>
                <w:i/>
                <w:iCs/>
              </w:rPr>
              <w:t>Persea americana</w:t>
            </w:r>
          </w:p>
        </w:tc>
        <w:tc>
          <w:tcPr>
            <w:tcW w:w="1108" w:type="dxa"/>
            <w:hideMark/>
          </w:tcPr>
          <w:p w14:paraId="048194E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A3A7DC4"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0F7C137"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BBC1BF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BD9A160" w14:textId="77777777" w:rsidTr="00391854">
        <w:trPr>
          <w:trHeight w:val="300"/>
        </w:trPr>
        <w:tc>
          <w:tcPr>
            <w:tcW w:w="1697" w:type="dxa"/>
            <w:hideMark/>
          </w:tcPr>
          <w:p w14:paraId="1EF5BC0F" w14:textId="77777777" w:rsidR="000A152B" w:rsidRPr="00901194" w:rsidRDefault="000A152B" w:rsidP="000A152B">
            <w:pPr>
              <w:spacing w:line="240" w:lineRule="auto"/>
              <w:rPr>
                <w:rFonts w:cs="Times New Roman"/>
              </w:rPr>
            </w:pPr>
            <w:r w:rsidRPr="00901194">
              <w:rPr>
                <w:rFonts w:cs="Times New Roman"/>
              </w:rPr>
              <w:t>SV07</w:t>
            </w:r>
          </w:p>
        </w:tc>
        <w:tc>
          <w:tcPr>
            <w:tcW w:w="1530" w:type="dxa"/>
            <w:hideMark/>
          </w:tcPr>
          <w:p w14:paraId="543C5062" w14:textId="77777777" w:rsidR="000A152B" w:rsidRPr="00901194" w:rsidRDefault="000A152B" w:rsidP="000A152B">
            <w:pPr>
              <w:spacing w:line="240" w:lineRule="auto"/>
              <w:rPr>
                <w:rFonts w:cs="Times New Roman"/>
              </w:rPr>
            </w:pPr>
            <w:r w:rsidRPr="00901194">
              <w:rPr>
                <w:rFonts w:cs="Times New Roman"/>
              </w:rPr>
              <w:t>Chile picante</w:t>
            </w:r>
          </w:p>
        </w:tc>
        <w:tc>
          <w:tcPr>
            <w:tcW w:w="2438" w:type="dxa"/>
            <w:hideMark/>
          </w:tcPr>
          <w:p w14:paraId="28E49DA3"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65804E7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64F9D7A"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7590E2A"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6E81279D"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F5C2503" w14:textId="77777777" w:rsidTr="00391854">
        <w:trPr>
          <w:trHeight w:val="300"/>
        </w:trPr>
        <w:tc>
          <w:tcPr>
            <w:tcW w:w="1697" w:type="dxa"/>
            <w:hideMark/>
          </w:tcPr>
          <w:p w14:paraId="1710DD15" w14:textId="77777777" w:rsidR="000A152B" w:rsidRPr="00901194" w:rsidRDefault="000A152B" w:rsidP="000A152B">
            <w:pPr>
              <w:spacing w:line="240" w:lineRule="auto"/>
              <w:rPr>
                <w:rFonts w:cs="Times New Roman"/>
              </w:rPr>
            </w:pPr>
            <w:r w:rsidRPr="00901194">
              <w:rPr>
                <w:rFonts w:cs="Times New Roman"/>
              </w:rPr>
              <w:t>SV08</w:t>
            </w:r>
          </w:p>
        </w:tc>
        <w:tc>
          <w:tcPr>
            <w:tcW w:w="1530" w:type="dxa"/>
            <w:hideMark/>
          </w:tcPr>
          <w:p w14:paraId="7CFE362F" w14:textId="77777777" w:rsidR="000A152B" w:rsidRPr="00901194" w:rsidRDefault="000A152B" w:rsidP="000A152B">
            <w:pPr>
              <w:spacing w:line="240" w:lineRule="auto"/>
              <w:rPr>
                <w:rFonts w:cs="Times New Roman"/>
              </w:rPr>
            </w:pPr>
            <w:r w:rsidRPr="00901194">
              <w:rPr>
                <w:rFonts w:cs="Times New Roman"/>
              </w:rPr>
              <w:t>Chile dulce</w:t>
            </w:r>
          </w:p>
        </w:tc>
        <w:tc>
          <w:tcPr>
            <w:tcW w:w="2438" w:type="dxa"/>
            <w:hideMark/>
          </w:tcPr>
          <w:p w14:paraId="3F7194D2"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03671DE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5F3B436"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11554E6B"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0AE0756"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A88388E" w14:textId="77777777" w:rsidTr="00391854">
        <w:trPr>
          <w:trHeight w:val="300"/>
        </w:trPr>
        <w:tc>
          <w:tcPr>
            <w:tcW w:w="1697" w:type="dxa"/>
            <w:hideMark/>
          </w:tcPr>
          <w:p w14:paraId="0D04DBD4" w14:textId="77777777" w:rsidR="000A152B" w:rsidRPr="00901194" w:rsidRDefault="000A152B" w:rsidP="000A152B">
            <w:pPr>
              <w:spacing w:line="240" w:lineRule="auto"/>
              <w:rPr>
                <w:rFonts w:cs="Times New Roman"/>
              </w:rPr>
            </w:pPr>
            <w:r w:rsidRPr="00901194">
              <w:rPr>
                <w:rFonts w:cs="Times New Roman"/>
              </w:rPr>
              <w:t>SV09</w:t>
            </w:r>
          </w:p>
        </w:tc>
        <w:tc>
          <w:tcPr>
            <w:tcW w:w="1530" w:type="dxa"/>
            <w:hideMark/>
          </w:tcPr>
          <w:p w14:paraId="0E7211AF" w14:textId="48EFD4FB" w:rsidR="000A152B" w:rsidRPr="00901194" w:rsidRDefault="000A152B" w:rsidP="000A152B">
            <w:pPr>
              <w:spacing w:line="240" w:lineRule="auto"/>
              <w:rPr>
                <w:rFonts w:cs="Times New Roman"/>
              </w:rPr>
            </w:pPr>
            <w:r w:rsidRPr="00901194">
              <w:rPr>
                <w:rFonts w:cs="Times New Roman"/>
              </w:rPr>
              <w:t>Chile habañero</w:t>
            </w:r>
          </w:p>
        </w:tc>
        <w:tc>
          <w:tcPr>
            <w:tcW w:w="2438" w:type="dxa"/>
            <w:hideMark/>
          </w:tcPr>
          <w:p w14:paraId="491D2CDB" w14:textId="77777777" w:rsidR="000A152B" w:rsidRPr="00901194" w:rsidRDefault="000A152B" w:rsidP="000A152B">
            <w:pPr>
              <w:spacing w:line="240" w:lineRule="auto"/>
              <w:rPr>
                <w:rFonts w:cs="Times New Roman"/>
                <w:i/>
                <w:iCs/>
              </w:rPr>
            </w:pPr>
            <w:r w:rsidRPr="00901194">
              <w:rPr>
                <w:rFonts w:cs="Times New Roman"/>
                <w:i/>
                <w:iCs/>
              </w:rPr>
              <w:t>Capsicum chinense</w:t>
            </w:r>
          </w:p>
        </w:tc>
        <w:tc>
          <w:tcPr>
            <w:tcW w:w="1108" w:type="dxa"/>
            <w:hideMark/>
          </w:tcPr>
          <w:p w14:paraId="7F4EB5EE"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9A66CA4"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50A288BF"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664F7EF"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A8C1240" w14:textId="77777777" w:rsidTr="00391854">
        <w:trPr>
          <w:trHeight w:val="300"/>
        </w:trPr>
        <w:tc>
          <w:tcPr>
            <w:tcW w:w="1697" w:type="dxa"/>
            <w:hideMark/>
          </w:tcPr>
          <w:p w14:paraId="06EE8A4A" w14:textId="77777777" w:rsidR="000A152B" w:rsidRPr="00901194" w:rsidRDefault="000A152B" w:rsidP="000A152B">
            <w:pPr>
              <w:spacing w:line="240" w:lineRule="auto"/>
              <w:rPr>
                <w:rFonts w:cs="Times New Roman"/>
              </w:rPr>
            </w:pPr>
            <w:r w:rsidRPr="00901194">
              <w:rPr>
                <w:rFonts w:cs="Times New Roman"/>
              </w:rPr>
              <w:lastRenderedPageBreak/>
              <w:t>SV10</w:t>
            </w:r>
          </w:p>
        </w:tc>
        <w:tc>
          <w:tcPr>
            <w:tcW w:w="1530" w:type="dxa"/>
            <w:hideMark/>
          </w:tcPr>
          <w:p w14:paraId="083BDF2D" w14:textId="77777777" w:rsidR="000A152B" w:rsidRPr="00901194" w:rsidRDefault="000A152B" w:rsidP="000A152B">
            <w:pPr>
              <w:spacing w:line="240" w:lineRule="auto"/>
              <w:rPr>
                <w:rFonts w:cs="Times New Roman"/>
              </w:rPr>
            </w:pPr>
            <w:r w:rsidRPr="00901194">
              <w:rPr>
                <w:rFonts w:cs="Times New Roman"/>
              </w:rPr>
              <w:t>Yuca</w:t>
            </w:r>
          </w:p>
        </w:tc>
        <w:tc>
          <w:tcPr>
            <w:tcW w:w="2438" w:type="dxa"/>
            <w:hideMark/>
          </w:tcPr>
          <w:p w14:paraId="7BED6DDA" w14:textId="77777777" w:rsidR="000A152B" w:rsidRPr="00901194" w:rsidRDefault="000A152B" w:rsidP="000A152B">
            <w:pPr>
              <w:spacing w:line="240" w:lineRule="auto"/>
              <w:rPr>
                <w:rFonts w:cs="Times New Roman"/>
                <w:i/>
                <w:iCs/>
              </w:rPr>
            </w:pPr>
            <w:r w:rsidRPr="00901194">
              <w:rPr>
                <w:rFonts w:cs="Times New Roman"/>
                <w:i/>
                <w:iCs/>
              </w:rPr>
              <w:t>Manihot esculenta</w:t>
            </w:r>
          </w:p>
        </w:tc>
        <w:tc>
          <w:tcPr>
            <w:tcW w:w="1108" w:type="dxa"/>
            <w:hideMark/>
          </w:tcPr>
          <w:p w14:paraId="5E9C405A"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B5D95C9"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404818BC" w14:textId="77777777" w:rsidR="000A152B" w:rsidRPr="00901194" w:rsidRDefault="000A152B" w:rsidP="000A152B">
            <w:pPr>
              <w:spacing w:line="240" w:lineRule="auto"/>
              <w:rPr>
                <w:rFonts w:cs="Times New Roman"/>
              </w:rPr>
            </w:pPr>
            <w:r w:rsidRPr="00901194">
              <w:rPr>
                <w:rFonts w:cs="Times New Roman"/>
              </w:rPr>
              <w:t>Tuber</w:t>
            </w:r>
          </w:p>
        </w:tc>
        <w:tc>
          <w:tcPr>
            <w:tcW w:w="1463" w:type="dxa"/>
            <w:hideMark/>
          </w:tcPr>
          <w:p w14:paraId="28E9C089"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D5F82FA" w14:textId="77777777" w:rsidTr="00391854">
        <w:trPr>
          <w:trHeight w:val="300"/>
        </w:trPr>
        <w:tc>
          <w:tcPr>
            <w:tcW w:w="1697" w:type="dxa"/>
            <w:hideMark/>
          </w:tcPr>
          <w:p w14:paraId="5AA4E9DB" w14:textId="77777777" w:rsidR="000A152B" w:rsidRPr="00901194" w:rsidRDefault="000A152B" w:rsidP="000A152B">
            <w:pPr>
              <w:spacing w:line="240" w:lineRule="auto"/>
              <w:rPr>
                <w:rFonts w:cs="Times New Roman"/>
              </w:rPr>
            </w:pPr>
            <w:r w:rsidRPr="00901194">
              <w:rPr>
                <w:rFonts w:cs="Times New Roman"/>
              </w:rPr>
              <w:t>SV11</w:t>
            </w:r>
          </w:p>
        </w:tc>
        <w:tc>
          <w:tcPr>
            <w:tcW w:w="1530" w:type="dxa"/>
            <w:hideMark/>
          </w:tcPr>
          <w:p w14:paraId="03AC50C7" w14:textId="77777777" w:rsidR="000A152B" w:rsidRPr="00901194" w:rsidRDefault="000A152B" w:rsidP="000A152B">
            <w:pPr>
              <w:spacing w:line="240" w:lineRule="auto"/>
              <w:rPr>
                <w:rFonts w:cs="Times New Roman"/>
              </w:rPr>
            </w:pPr>
            <w:r w:rsidRPr="00901194">
              <w:rPr>
                <w:rFonts w:cs="Times New Roman"/>
              </w:rPr>
              <w:t>Chayote</w:t>
            </w:r>
          </w:p>
        </w:tc>
        <w:tc>
          <w:tcPr>
            <w:tcW w:w="2438" w:type="dxa"/>
            <w:hideMark/>
          </w:tcPr>
          <w:p w14:paraId="04A38A15" w14:textId="77777777" w:rsidR="000A152B" w:rsidRPr="00901194" w:rsidRDefault="000A152B" w:rsidP="000A152B">
            <w:pPr>
              <w:spacing w:line="240" w:lineRule="auto"/>
              <w:rPr>
                <w:rFonts w:cs="Times New Roman"/>
                <w:i/>
                <w:iCs/>
              </w:rPr>
            </w:pPr>
            <w:r w:rsidRPr="00901194">
              <w:rPr>
                <w:rFonts w:cs="Times New Roman"/>
                <w:i/>
                <w:iCs/>
              </w:rPr>
              <w:t>Sechium edulis</w:t>
            </w:r>
          </w:p>
        </w:tc>
        <w:tc>
          <w:tcPr>
            <w:tcW w:w="1108" w:type="dxa"/>
            <w:hideMark/>
          </w:tcPr>
          <w:p w14:paraId="10F50C6B"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3EA0E9C"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653F30D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444099F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85E6812" w14:textId="77777777" w:rsidTr="00391854">
        <w:trPr>
          <w:trHeight w:val="300"/>
        </w:trPr>
        <w:tc>
          <w:tcPr>
            <w:tcW w:w="1697" w:type="dxa"/>
            <w:hideMark/>
          </w:tcPr>
          <w:p w14:paraId="5430A063" w14:textId="77777777" w:rsidR="000A152B" w:rsidRPr="00901194" w:rsidRDefault="000A152B" w:rsidP="000A152B">
            <w:pPr>
              <w:spacing w:line="240" w:lineRule="auto"/>
              <w:rPr>
                <w:rFonts w:cs="Times New Roman"/>
              </w:rPr>
            </w:pPr>
            <w:r w:rsidRPr="00901194">
              <w:rPr>
                <w:rFonts w:cs="Times New Roman"/>
              </w:rPr>
              <w:t>SV13</w:t>
            </w:r>
          </w:p>
        </w:tc>
        <w:tc>
          <w:tcPr>
            <w:tcW w:w="1530" w:type="dxa"/>
            <w:hideMark/>
          </w:tcPr>
          <w:p w14:paraId="6885E1A2" w14:textId="77777777" w:rsidR="000A152B" w:rsidRPr="00901194" w:rsidRDefault="000A152B" w:rsidP="000A152B">
            <w:pPr>
              <w:spacing w:line="240" w:lineRule="auto"/>
              <w:rPr>
                <w:rFonts w:cs="Times New Roman"/>
              </w:rPr>
            </w:pPr>
            <w:r w:rsidRPr="00901194">
              <w:rPr>
                <w:rFonts w:cs="Times New Roman"/>
              </w:rPr>
              <w:t>Squash</w:t>
            </w:r>
          </w:p>
        </w:tc>
        <w:tc>
          <w:tcPr>
            <w:tcW w:w="2438" w:type="dxa"/>
            <w:hideMark/>
          </w:tcPr>
          <w:p w14:paraId="732E04BA" w14:textId="77777777" w:rsidR="000A152B" w:rsidRPr="00901194" w:rsidRDefault="000A152B" w:rsidP="000A152B">
            <w:pPr>
              <w:spacing w:line="240" w:lineRule="auto"/>
              <w:rPr>
                <w:rFonts w:cs="Times New Roman"/>
                <w:i/>
                <w:iCs/>
              </w:rPr>
            </w:pPr>
            <w:r w:rsidRPr="00901194">
              <w:rPr>
                <w:rFonts w:cs="Times New Roman"/>
                <w:i/>
                <w:iCs/>
              </w:rPr>
              <w:t>Cucurbita sp.</w:t>
            </w:r>
          </w:p>
        </w:tc>
        <w:tc>
          <w:tcPr>
            <w:tcW w:w="1108" w:type="dxa"/>
            <w:hideMark/>
          </w:tcPr>
          <w:p w14:paraId="47783D9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ADFCAF4"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679F192"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F353C7E"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BB99D47" w14:textId="77777777" w:rsidTr="00391854">
        <w:trPr>
          <w:trHeight w:val="300"/>
        </w:trPr>
        <w:tc>
          <w:tcPr>
            <w:tcW w:w="1697" w:type="dxa"/>
            <w:hideMark/>
          </w:tcPr>
          <w:p w14:paraId="48CB3A27" w14:textId="77777777" w:rsidR="000A152B" w:rsidRPr="00901194" w:rsidRDefault="000A152B" w:rsidP="000A152B">
            <w:pPr>
              <w:spacing w:line="240" w:lineRule="auto"/>
              <w:rPr>
                <w:rFonts w:cs="Times New Roman"/>
              </w:rPr>
            </w:pPr>
            <w:r w:rsidRPr="00901194">
              <w:rPr>
                <w:rFonts w:cs="Times New Roman"/>
              </w:rPr>
              <w:t>SV14</w:t>
            </w:r>
          </w:p>
        </w:tc>
        <w:tc>
          <w:tcPr>
            <w:tcW w:w="1530" w:type="dxa"/>
            <w:hideMark/>
          </w:tcPr>
          <w:p w14:paraId="3782CC2D" w14:textId="77777777" w:rsidR="000A152B" w:rsidRPr="00901194" w:rsidRDefault="000A152B" w:rsidP="000A152B">
            <w:pPr>
              <w:spacing w:line="240" w:lineRule="auto"/>
              <w:rPr>
                <w:rFonts w:cs="Times New Roman"/>
              </w:rPr>
            </w:pPr>
            <w:r w:rsidRPr="00901194">
              <w:rPr>
                <w:rFonts w:cs="Times New Roman"/>
              </w:rPr>
              <w:t>Pitaya</w:t>
            </w:r>
          </w:p>
        </w:tc>
        <w:tc>
          <w:tcPr>
            <w:tcW w:w="2438" w:type="dxa"/>
            <w:hideMark/>
          </w:tcPr>
          <w:p w14:paraId="2FDFA44E" w14:textId="77777777" w:rsidR="000A152B" w:rsidRPr="00901194" w:rsidRDefault="000A152B" w:rsidP="000A152B">
            <w:pPr>
              <w:spacing w:line="240" w:lineRule="auto"/>
              <w:rPr>
                <w:rFonts w:cs="Times New Roman"/>
                <w:i/>
                <w:iCs/>
              </w:rPr>
            </w:pPr>
            <w:r w:rsidRPr="00901194">
              <w:rPr>
                <w:rFonts w:cs="Times New Roman"/>
                <w:i/>
                <w:iCs/>
              </w:rPr>
              <w:t>Hylocereus undatus</w:t>
            </w:r>
          </w:p>
        </w:tc>
        <w:tc>
          <w:tcPr>
            <w:tcW w:w="1108" w:type="dxa"/>
            <w:hideMark/>
          </w:tcPr>
          <w:p w14:paraId="31AF028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200C5BE"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12AED58E"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58435FA8"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632F6AE" w14:textId="77777777" w:rsidTr="00391854">
        <w:trPr>
          <w:trHeight w:val="300"/>
        </w:trPr>
        <w:tc>
          <w:tcPr>
            <w:tcW w:w="1697" w:type="dxa"/>
            <w:hideMark/>
          </w:tcPr>
          <w:p w14:paraId="0AD38031" w14:textId="77777777" w:rsidR="000A152B" w:rsidRPr="00901194" w:rsidRDefault="000A152B" w:rsidP="000A152B">
            <w:pPr>
              <w:spacing w:line="240" w:lineRule="auto"/>
              <w:rPr>
                <w:rFonts w:cs="Times New Roman"/>
              </w:rPr>
            </w:pPr>
            <w:r w:rsidRPr="00901194">
              <w:rPr>
                <w:rFonts w:cs="Times New Roman"/>
              </w:rPr>
              <w:t>SV15</w:t>
            </w:r>
          </w:p>
        </w:tc>
        <w:tc>
          <w:tcPr>
            <w:tcW w:w="1530" w:type="dxa"/>
            <w:hideMark/>
          </w:tcPr>
          <w:p w14:paraId="6EE991A5" w14:textId="77777777" w:rsidR="000A152B" w:rsidRPr="00901194" w:rsidRDefault="000A152B" w:rsidP="000A152B">
            <w:pPr>
              <w:spacing w:line="240" w:lineRule="auto"/>
              <w:rPr>
                <w:rFonts w:cs="Times New Roman"/>
              </w:rPr>
            </w:pPr>
            <w:r w:rsidRPr="00901194">
              <w:rPr>
                <w:rFonts w:cs="Times New Roman"/>
              </w:rPr>
              <w:t>Guajilote</w:t>
            </w:r>
          </w:p>
        </w:tc>
        <w:tc>
          <w:tcPr>
            <w:tcW w:w="2438" w:type="dxa"/>
            <w:hideMark/>
          </w:tcPr>
          <w:p w14:paraId="1185497A" w14:textId="77777777" w:rsidR="000A152B" w:rsidRPr="00901194" w:rsidRDefault="000A152B" w:rsidP="000A152B">
            <w:pPr>
              <w:spacing w:line="240" w:lineRule="auto"/>
              <w:rPr>
                <w:rFonts w:cs="Times New Roman"/>
                <w:i/>
                <w:iCs/>
              </w:rPr>
            </w:pPr>
            <w:r w:rsidRPr="00901194">
              <w:rPr>
                <w:rFonts w:cs="Times New Roman"/>
                <w:i/>
                <w:iCs/>
              </w:rPr>
              <w:t>Parmentiera edulis</w:t>
            </w:r>
          </w:p>
        </w:tc>
        <w:tc>
          <w:tcPr>
            <w:tcW w:w="1108" w:type="dxa"/>
            <w:hideMark/>
          </w:tcPr>
          <w:p w14:paraId="41607B6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D6AED18"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7A1680EA"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4C5C90FC"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11436D2" w14:textId="77777777" w:rsidTr="00391854">
        <w:trPr>
          <w:trHeight w:val="300"/>
        </w:trPr>
        <w:tc>
          <w:tcPr>
            <w:tcW w:w="1697" w:type="dxa"/>
            <w:hideMark/>
          </w:tcPr>
          <w:p w14:paraId="3C2E309A" w14:textId="77777777" w:rsidR="000A152B" w:rsidRPr="00901194" w:rsidRDefault="000A152B" w:rsidP="000A152B">
            <w:pPr>
              <w:spacing w:line="240" w:lineRule="auto"/>
              <w:rPr>
                <w:rFonts w:cs="Times New Roman"/>
              </w:rPr>
            </w:pPr>
            <w:r w:rsidRPr="00901194">
              <w:rPr>
                <w:rFonts w:cs="Times New Roman"/>
              </w:rPr>
              <w:t>SV18</w:t>
            </w:r>
          </w:p>
        </w:tc>
        <w:tc>
          <w:tcPr>
            <w:tcW w:w="1530" w:type="dxa"/>
            <w:hideMark/>
          </w:tcPr>
          <w:p w14:paraId="530B510C" w14:textId="77777777" w:rsidR="000A152B" w:rsidRPr="00901194" w:rsidRDefault="000A152B" w:rsidP="000A152B">
            <w:pPr>
              <w:spacing w:line="240" w:lineRule="auto"/>
              <w:rPr>
                <w:rFonts w:cs="Times New Roman"/>
              </w:rPr>
            </w:pPr>
            <w:r w:rsidRPr="00901194">
              <w:rPr>
                <w:rFonts w:cs="Times New Roman"/>
              </w:rPr>
              <w:t>Nopal cactus</w:t>
            </w:r>
          </w:p>
        </w:tc>
        <w:tc>
          <w:tcPr>
            <w:tcW w:w="2438" w:type="dxa"/>
            <w:hideMark/>
          </w:tcPr>
          <w:p w14:paraId="74310FAD" w14:textId="77777777" w:rsidR="000A152B" w:rsidRPr="00901194" w:rsidRDefault="000A152B" w:rsidP="000A152B">
            <w:pPr>
              <w:spacing w:line="240" w:lineRule="auto"/>
              <w:rPr>
                <w:rFonts w:cs="Times New Roman"/>
                <w:i/>
                <w:iCs/>
              </w:rPr>
            </w:pPr>
            <w:r w:rsidRPr="00901194">
              <w:rPr>
                <w:rFonts w:cs="Times New Roman"/>
                <w:i/>
                <w:iCs/>
              </w:rPr>
              <w:t>Opuntia ficus-indica</w:t>
            </w:r>
          </w:p>
        </w:tc>
        <w:tc>
          <w:tcPr>
            <w:tcW w:w="1108" w:type="dxa"/>
            <w:hideMark/>
          </w:tcPr>
          <w:p w14:paraId="1933434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EA8D621"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0E2B99F1"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39BD5FE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F1F54EC" w14:textId="77777777" w:rsidTr="00391854">
        <w:trPr>
          <w:trHeight w:val="300"/>
        </w:trPr>
        <w:tc>
          <w:tcPr>
            <w:tcW w:w="1697" w:type="dxa"/>
            <w:hideMark/>
          </w:tcPr>
          <w:p w14:paraId="6F87E855" w14:textId="77777777" w:rsidR="000A152B" w:rsidRPr="00901194" w:rsidRDefault="000A152B" w:rsidP="000A152B">
            <w:pPr>
              <w:spacing w:line="240" w:lineRule="auto"/>
              <w:rPr>
                <w:rFonts w:cs="Times New Roman"/>
              </w:rPr>
            </w:pPr>
            <w:r w:rsidRPr="00901194">
              <w:rPr>
                <w:rFonts w:cs="Times New Roman"/>
              </w:rPr>
              <w:t>SV19</w:t>
            </w:r>
          </w:p>
        </w:tc>
        <w:tc>
          <w:tcPr>
            <w:tcW w:w="1530" w:type="dxa"/>
            <w:hideMark/>
          </w:tcPr>
          <w:p w14:paraId="4BE9011C" w14:textId="77777777" w:rsidR="000A152B" w:rsidRPr="00901194" w:rsidRDefault="000A152B" w:rsidP="000A152B">
            <w:pPr>
              <w:spacing w:line="240" w:lineRule="auto"/>
              <w:rPr>
                <w:rFonts w:cs="Times New Roman"/>
              </w:rPr>
            </w:pPr>
            <w:r w:rsidRPr="00901194">
              <w:rPr>
                <w:rFonts w:cs="Times New Roman"/>
              </w:rPr>
              <w:t>Jicama</w:t>
            </w:r>
          </w:p>
        </w:tc>
        <w:tc>
          <w:tcPr>
            <w:tcW w:w="2438" w:type="dxa"/>
            <w:hideMark/>
          </w:tcPr>
          <w:p w14:paraId="44DC6F4E" w14:textId="77777777" w:rsidR="000A152B" w:rsidRPr="00901194" w:rsidRDefault="000A152B" w:rsidP="000A152B">
            <w:pPr>
              <w:spacing w:line="240" w:lineRule="auto"/>
              <w:rPr>
                <w:rFonts w:cs="Times New Roman"/>
                <w:i/>
                <w:iCs/>
              </w:rPr>
            </w:pPr>
            <w:r w:rsidRPr="00901194">
              <w:rPr>
                <w:rFonts w:cs="Times New Roman"/>
                <w:i/>
                <w:iCs/>
              </w:rPr>
              <w:t>Pachyrhizus erosus</w:t>
            </w:r>
          </w:p>
        </w:tc>
        <w:tc>
          <w:tcPr>
            <w:tcW w:w="1108" w:type="dxa"/>
            <w:hideMark/>
          </w:tcPr>
          <w:p w14:paraId="57A6DEE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7C1F60C"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708F1B1" w14:textId="77777777" w:rsidR="000A152B" w:rsidRPr="00901194" w:rsidRDefault="000A152B" w:rsidP="000A152B">
            <w:pPr>
              <w:spacing w:line="240" w:lineRule="auto"/>
              <w:rPr>
                <w:rFonts w:cs="Times New Roman"/>
              </w:rPr>
            </w:pPr>
            <w:r w:rsidRPr="00901194">
              <w:rPr>
                <w:rFonts w:cs="Times New Roman"/>
              </w:rPr>
              <w:t>Tuber</w:t>
            </w:r>
          </w:p>
        </w:tc>
        <w:tc>
          <w:tcPr>
            <w:tcW w:w="1463" w:type="dxa"/>
            <w:hideMark/>
          </w:tcPr>
          <w:p w14:paraId="1D2CEA25"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F0F8C3E" w14:textId="77777777" w:rsidTr="00391854">
        <w:trPr>
          <w:trHeight w:val="300"/>
        </w:trPr>
        <w:tc>
          <w:tcPr>
            <w:tcW w:w="1697" w:type="dxa"/>
            <w:hideMark/>
          </w:tcPr>
          <w:p w14:paraId="5009C683" w14:textId="77777777" w:rsidR="000A152B" w:rsidRPr="00901194" w:rsidRDefault="000A152B" w:rsidP="000A152B">
            <w:pPr>
              <w:spacing w:line="240" w:lineRule="auto"/>
              <w:rPr>
                <w:rFonts w:cs="Times New Roman"/>
              </w:rPr>
            </w:pPr>
            <w:r w:rsidRPr="00901194">
              <w:rPr>
                <w:rFonts w:cs="Times New Roman"/>
              </w:rPr>
              <w:t>SV23</w:t>
            </w:r>
          </w:p>
        </w:tc>
        <w:tc>
          <w:tcPr>
            <w:tcW w:w="1530" w:type="dxa"/>
            <w:hideMark/>
          </w:tcPr>
          <w:p w14:paraId="22117532" w14:textId="77777777" w:rsidR="000A152B" w:rsidRPr="00901194" w:rsidRDefault="000A152B" w:rsidP="000A152B">
            <w:pPr>
              <w:spacing w:line="240" w:lineRule="auto"/>
              <w:rPr>
                <w:rFonts w:cs="Times New Roman"/>
              </w:rPr>
            </w:pPr>
            <w:r w:rsidRPr="00901194">
              <w:rPr>
                <w:rFonts w:cs="Times New Roman"/>
              </w:rPr>
              <w:t>Jitomate rojo</w:t>
            </w:r>
          </w:p>
        </w:tc>
        <w:tc>
          <w:tcPr>
            <w:tcW w:w="2438" w:type="dxa"/>
            <w:hideMark/>
          </w:tcPr>
          <w:p w14:paraId="12C9BE55" w14:textId="77777777" w:rsidR="000A152B" w:rsidRPr="00901194" w:rsidRDefault="000A152B" w:rsidP="000A152B">
            <w:pPr>
              <w:spacing w:line="240" w:lineRule="auto"/>
              <w:rPr>
                <w:rFonts w:cs="Times New Roman"/>
                <w:i/>
                <w:iCs/>
              </w:rPr>
            </w:pPr>
            <w:r w:rsidRPr="00901194">
              <w:rPr>
                <w:rFonts w:cs="Times New Roman"/>
                <w:i/>
                <w:iCs/>
              </w:rPr>
              <w:t>Lycopersicon esculentum</w:t>
            </w:r>
          </w:p>
        </w:tc>
        <w:tc>
          <w:tcPr>
            <w:tcW w:w="1108" w:type="dxa"/>
            <w:hideMark/>
          </w:tcPr>
          <w:p w14:paraId="60977B1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E596A96"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75AB87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E62602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D69009E" w14:textId="77777777" w:rsidTr="00391854">
        <w:trPr>
          <w:trHeight w:val="300"/>
        </w:trPr>
        <w:tc>
          <w:tcPr>
            <w:tcW w:w="1697" w:type="dxa"/>
            <w:hideMark/>
          </w:tcPr>
          <w:p w14:paraId="6283D25B" w14:textId="77777777" w:rsidR="000A152B" w:rsidRPr="00901194" w:rsidRDefault="000A152B" w:rsidP="000A152B">
            <w:pPr>
              <w:spacing w:line="240" w:lineRule="auto"/>
              <w:rPr>
                <w:rFonts w:cs="Times New Roman"/>
              </w:rPr>
            </w:pPr>
            <w:r w:rsidRPr="00901194">
              <w:rPr>
                <w:rFonts w:cs="Times New Roman"/>
              </w:rPr>
              <w:t>SV24</w:t>
            </w:r>
          </w:p>
        </w:tc>
        <w:tc>
          <w:tcPr>
            <w:tcW w:w="1530" w:type="dxa"/>
            <w:hideMark/>
          </w:tcPr>
          <w:p w14:paraId="7629D0DC" w14:textId="77777777" w:rsidR="000A152B" w:rsidRPr="00901194" w:rsidRDefault="000A152B" w:rsidP="000A152B">
            <w:pPr>
              <w:spacing w:line="240" w:lineRule="auto"/>
              <w:rPr>
                <w:rFonts w:cs="Times New Roman"/>
              </w:rPr>
            </w:pPr>
            <w:r w:rsidRPr="00901194">
              <w:rPr>
                <w:rFonts w:cs="Times New Roman"/>
              </w:rPr>
              <w:t>Jitomate verde</w:t>
            </w:r>
          </w:p>
        </w:tc>
        <w:tc>
          <w:tcPr>
            <w:tcW w:w="2438" w:type="dxa"/>
            <w:hideMark/>
          </w:tcPr>
          <w:p w14:paraId="3D3E8607" w14:textId="77777777" w:rsidR="000A152B" w:rsidRPr="00901194" w:rsidRDefault="000A152B" w:rsidP="000A152B">
            <w:pPr>
              <w:spacing w:line="240" w:lineRule="auto"/>
              <w:rPr>
                <w:rFonts w:cs="Times New Roman"/>
                <w:i/>
                <w:iCs/>
              </w:rPr>
            </w:pPr>
            <w:r w:rsidRPr="00901194">
              <w:rPr>
                <w:rFonts w:cs="Times New Roman"/>
                <w:i/>
                <w:iCs/>
              </w:rPr>
              <w:t>Lycopersicon esculentum</w:t>
            </w:r>
          </w:p>
        </w:tc>
        <w:tc>
          <w:tcPr>
            <w:tcW w:w="1108" w:type="dxa"/>
            <w:hideMark/>
          </w:tcPr>
          <w:p w14:paraId="22A888FF"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69C58EF"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70C8871"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6DB12B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7240B0B" w14:textId="77777777" w:rsidTr="00391854">
        <w:trPr>
          <w:trHeight w:val="300"/>
        </w:trPr>
        <w:tc>
          <w:tcPr>
            <w:tcW w:w="1697" w:type="dxa"/>
            <w:hideMark/>
          </w:tcPr>
          <w:p w14:paraId="004991F5" w14:textId="77777777" w:rsidR="000A152B" w:rsidRPr="00901194" w:rsidRDefault="000A152B" w:rsidP="000A152B">
            <w:pPr>
              <w:spacing w:line="240" w:lineRule="auto"/>
              <w:rPr>
                <w:rFonts w:cs="Times New Roman"/>
              </w:rPr>
            </w:pPr>
            <w:r w:rsidRPr="00901194">
              <w:rPr>
                <w:rFonts w:cs="Times New Roman"/>
              </w:rPr>
              <w:t>SV25</w:t>
            </w:r>
          </w:p>
        </w:tc>
        <w:tc>
          <w:tcPr>
            <w:tcW w:w="1530" w:type="dxa"/>
            <w:hideMark/>
          </w:tcPr>
          <w:p w14:paraId="21710E57" w14:textId="77777777" w:rsidR="000A152B" w:rsidRPr="00901194" w:rsidRDefault="000A152B" w:rsidP="000A152B">
            <w:pPr>
              <w:spacing w:line="240" w:lineRule="auto"/>
              <w:rPr>
                <w:rFonts w:cs="Times New Roman"/>
              </w:rPr>
            </w:pPr>
            <w:r w:rsidRPr="00901194">
              <w:rPr>
                <w:rFonts w:cs="Times New Roman"/>
              </w:rPr>
              <w:t>Green prickly pear</w:t>
            </w:r>
          </w:p>
        </w:tc>
        <w:tc>
          <w:tcPr>
            <w:tcW w:w="2438" w:type="dxa"/>
            <w:hideMark/>
          </w:tcPr>
          <w:p w14:paraId="093FEB23" w14:textId="77777777" w:rsidR="000A152B" w:rsidRPr="00901194" w:rsidRDefault="000A152B" w:rsidP="000A152B">
            <w:pPr>
              <w:spacing w:line="240" w:lineRule="auto"/>
              <w:rPr>
                <w:rFonts w:cs="Times New Roman"/>
                <w:i/>
                <w:iCs/>
              </w:rPr>
            </w:pPr>
            <w:r w:rsidRPr="00901194">
              <w:rPr>
                <w:rFonts w:cs="Times New Roman"/>
                <w:i/>
                <w:iCs/>
              </w:rPr>
              <w:t>Opuntia ficus-indica</w:t>
            </w:r>
          </w:p>
        </w:tc>
        <w:tc>
          <w:tcPr>
            <w:tcW w:w="1108" w:type="dxa"/>
            <w:hideMark/>
          </w:tcPr>
          <w:p w14:paraId="742C632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5E5776F"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F23BF42" w14:textId="77777777" w:rsidR="000A152B" w:rsidRPr="00901194" w:rsidRDefault="000A152B" w:rsidP="000A152B">
            <w:pPr>
              <w:spacing w:line="240" w:lineRule="auto"/>
              <w:rPr>
                <w:rFonts w:cs="Times New Roman"/>
              </w:rPr>
            </w:pPr>
            <w:r w:rsidRPr="00901194">
              <w:rPr>
                <w:rFonts w:cs="Times New Roman"/>
              </w:rPr>
              <w:t xml:space="preserve">Fruit </w:t>
            </w:r>
          </w:p>
        </w:tc>
        <w:tc>
          <w:tcPr>
            <w:tcW w:w="1463" w:type="dxa"/>
            <w:hideMark/>
          </w:tcPr>
          <w:p w14:paraId="096D09F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8BEB90A" w14:textId="77777777" w:rsidTr="00391854">
        <w:trPr>
          <w:trHeight w:val="300"/>
        </w:trPr>
        <w:tc>
          <w:tcPr>
            <w:tcW w:w="1697" w:type="dxa"/>
            <w:hideMark/>
          </w:tcPr>
          <w:p w14:paraId="7CC87551" w14:textId="77777777" w:rsidR="000A152B" w:rsidRPr="00901194" w:rsidRDefault="000A152B" w:rsidP="000A152B">
            <w:pPr>
              <w:spacing w:line="240" w:lineRule="auto"/>
              <w:rPr>
                <w:rFonts w:cs="Times New Roman"/>
              </w:rPr>
            </w:pPr>
            <w:r w:rsidRPr="00901194">
              <w:rPr>
                <w:rFonts w:cs="Times New Roman"/>
              </w:rPr>
              <w:t>SV26</w:t>
            </w:r>
          </w:p>
        </w:tc>
        <w:tc>
          <w:tcPr>
            <w:tcW w:w="1530" w:type="dxa"/>
            <w:hideMark/>
          </w:tcPr>
          <w:p w14:paraId="314999D7" w14:textId="77777777" w:rsidR="000A152B" w:rsidRPr="00901194" w:rsidRDefault="000A152B" w:rsidP="000A152B">
            <w:pPr>
              <w:spacing w:line="240" w:lineRule="auto"/>
              <w:rPr>
                <w:rFonts w:cs="Times New Roman"/>
              </w:rPr>
            </w:pPr>
            <w:r w:rsidRPr="00901194">
              <w:rPr>
                <w:rFonts w:cs="Times New Roman"/>
              </w:rPr>
              <w:t>Chile</w:t>
            </w:r>
          </w:p>
        </w:tc>
        <w:tc>
          <w:tcPr>
            <w:tcW w:w="2438" w:type="dxa"/>
            <w:hideMark/>
          </w:tcPr>
          <w:p w14:paraId="6F9F98DB"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58B7FBE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5478797"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442967F3"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385A2AF"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742E6C7" w14:textId="77777777" w:rsidTr="00391854">
        <w:trPr>
          <w:trHeight w:val="300"/>
        </w:trPr>
        <w:tc>
          <w:tcPr>
            <w:tcW w:w="1697" w:type="dxa"/>
            <w:hideMark/>
          </w:tcPr>
          <w:p w14:paraId="07CD8795" w14:textId="77777777" w:rsidR="000A152B" w:rsidRPr="00901194" w:rsidRDefault="000A152B" w:rsidP="000A152B">
            <w:pPr>
              <w:spacing w:line="240" w:lineRule="auto"/>
              <w:rPr>
                <w:rFonts w:cs="Times New Roman"/>
              </w:rPr>
            </w:pPr>
            <w:r w:rsidRPr="00901194">
              <w:rPr>
                <w:rFonts w:cs="Times New Roman"/>
              </w:rPr>
              <w:t>SV28</w:t>
            </w:r>
          </w:p>
        </w:tc>
        <w:tc>
          <w:tcPr>
            <w:tcW w:w="1530" w:type="dxa"/>
            <w:hideMark/>
          </w:tcPr>
          <w:p w14:paraId="72D71586" w14:textId="77777777" w:rsidR="000A152B" w:rsidRPr="00901194" w:rsidRDefault="000A152B" w:rsidP="000A152B">
            <w:pPr>
              <w:spacing w:line="240" w:lineRule="auto"/>
              <w:rPr>
                <w:rFonts w:cs="Times New Roman"/>
              </w:rPr>
            </w:pPr>
            <w:r w:rsidRPr="00901194">
              <w:rPr>
                <w:rFonts w:cs="Times New Roman"/>
              </w:rPr>
              <w:t>Shrimp</w:t>
            </w:r>
          </w:p>
        </w:tc>
        <w:tc>
          <w:tcPr>
            <w:tcW w:w="2438" w:type="dxa"/>
            <w:hideMark/>
          </w:tcPr>
          <w:p w14:paraId="4061B0F0" w14:textId="77777777" w:rsidR="000A152B" w:rsidRPr="00901194" w:rsidRDefault="000A152B" w:rsidP="000A152B">
            <w:pPr>
              <w:spacing w:line="240" w:lineRule="auto"/>
              <w:rPr>
                <w:rFonts w:cs="Times New Roman"/>
                <w:i/>
                <w:iCs/>
              </w:rPr>
            </w:pPr>
            <w:r w:rsidRPr="00901194">
              <w:rPr>
                <w:rFonts w:cs="Times New Roman"/>
                <w:i/>
                <w:iCs/>
              </w:rPr>
              <w:t>NA</w:t>
            </w:r>
          </w:p>
        </w:tc>
        <w:tc>
          <w:tcPr>
            <w:tcW w:w="1108" w:type="dxa"/>
            <w:hideMark/>
          </w:tcPr>
          <w:p w14:paraId="7ECDB961"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54DC868"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040E1587" w14:textId="77777777" w:rsidR="000A152B" w:rsidRPr="00901194" w:rsidRDefault="000A152B" w:rsidP="000A152B">
            <w:pPr>
              <w:spacing w:line="240" w:lineRule="auto"/>
              <w:rPr>
                <w:rFonts w:cs="Times New Roman"/>
              </w:rPr>
            </w:pPr>
            <w:r w:rsidRPr="00901194">
              <w:rPr>
                <w:rFonts w:cs="Times New Roman"/>
              </w:rPr>
              <w:t>Shrimp</w:t>
            </w:r>
          </w:p>
        </w:tc>
        <w:tc>
          <w:tcPr>
            <w:tcW w:w="1463" w:type="dxa"/>
            <w:hideMark/>
          </w:tcPr>
          <w:p w14:paraId="2B5C840E"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BA00F32" w14:textId="77777777" w:rsidTr="00391854">
        <w:trPr>
          <w:trHeight w:val="300"/>
        </w:trPr>
        <w:tc>
          <w:tcPr>
            <w:tcW w:w="1697" w:type="dxa"/>
            <w:hideMark/>
          </w:tcPr>
          <w:p w14:paraId="7C9C2406" w14:textId="77777777" w:rsidR="000A152B" w:rsidRPr="00901194" w:rsidRDefault="000A152B" w:rsidP="000A152B">
            <w:pPr>
              <w:spacing w:line="240" w:lineRule="auto"/>
              <w:rPr>
                <w:rFonts w:cs="Times New Roman"/>
              </w:rPr>
            </w:pPr>
            <w:r w:rsidRPr="00901194">
              <w:rPr>
                <w:rFonts w:cs="Times New Roman"/>
              </w:rPr>
              <w:t>SV30</w:t>
            </w:r>
          </w:p>
        </w:tc>
        <w:tc>
          <w:tcPr>
            <w:tcW w:w="1530" w:type="dxa"/>
            <w:hideMark/>
          </w:tcPr>
          <w:p w14:paraId="0D1F022E" w14:textId="77777777" w:rsidR="000A152B" w:rsidRPr="00901194" w:rsidRDefault="000A152B" w:rsidP="000A152B">
            <w:pPr>
              <w:spacing w:line="240" w:lineRule="auto"/>
              <w:rPr>
                <w:rFonts w:cs="Times New Roman"/>
              </w:rPr>
            </w:pPr>
            <w:r w:rsidRPr="00901194">
              <w:rPr>
                <w:rFonts w:cs="Times New Roman"/>
              </w:rPr>
              <w:t>Chiquijul</w:t>
            </w:r>
          </w:p>
        </w:tc>
        <w:tc>
          <w:tcPr>
            <w:tcW w:w="2438" w:type="dxa"/>
            <w:hideMark/>
          </w:tcPr>
          <w:p w14:paraId="79A345E5" w14:textId="77777777" w:rsidR="000A152B" w:rsidRPr="00901194" w:rsidRDefault="000A152B" w:rsidP="000A152B">
            <w:pPr>
              <w:spacing w:line="240" w:lineRule="auto"/>
              <w:rPr>
                <w:rFonts w:cs="Times New Roman"/>
                <w:i/>
                <w:iCs/>
              </w:rPr>
            </w:pPr>
            <w:r w:rsidRPr="00901194">
              <w:rPr>
                <w:rFonts w:cs="Times New Roman"/>
                <w:i/>
                <w:iCs/>
              </w:rPr>
              <w:t xml:space="preserve">Bactris sp. </w:t>
            </w:r>
          </w:p>
        </w:tc>
        <w:tc>
          <w:tcPr>
            <w:tcW w:w="1108" w:type="dxa"/>
            <w:hideMark/>
          </w:tcPr>
          <w:p w14:paraId="07BD625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771AEA5"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F45B507"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03E932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4E9BED0" w14:textId="77777777" w:rsidTr="00391854">
        <w:trPr>
          <w:trHeight w:val="300"/>
        </w:trPr>
        <w:tc>
          <w:tcPr>
            <w:tcW w:w="1697" w:type="dxa"/>
            <w:hideMark/>
          </w:tcPr>
          <w:p w14:paraId="6673A457" w14:textId="77777777" w:rsidR="000A152B" w:rsidRPr="00901194" w:rsidRDefault="000A152B" w:rsidP="000A152B">
            <w:pPr>
              <w:spacing w:line="240" w:lineRule="auto"/>
              <w:rPr>
                <w:rFonts w:cs="Times New Roman"/>
              </w:rPr>
            </w:pPr>
            <w:r w:rsidRPr="00901194">
              <w:rPr>
                <w:rFonts w:cs="Times New Roman"/>
              </w:rPr>
              <w:t>SV31</w:t>
            </w:r>
          </w:p>
        </w:tc>
        <w:tc>
          <w:tcPr>
            <w:tcW w:w="1530" w:type="dxa"/>
            <w:hideMark/>
          </w:tcPr>
          <w:p w14:paraId="7D7479C4" w14:textId="77777777" w:rsidR="000A152B" w:rsidRPr="00901194" w:rsidRDefault="000A152B" w:rsidP="000A152B">
            <w:pPr>
              <w:spacing w:line="240" w:lineRule="auto"/>
              <w:rPr>
                <w:rFonts w:cs="Times New Roman"/>
              </w:rPr>
            </w:pPr>
            <w:r w:rsidRPr="00901194">
              <w:rPr>
                <w:rFonts w:cs="Times New Roman"/>
              </w:rPr>
              <w:t>Maize</w:t>
            </w:r>
          </w:p>
        </w:tc>
        <w:tc>
          <w:tcPr>
            <w:tcW w:w="2438" w:type="dxa"/>
            <w:hideMark/>
          </w:tcPr>
          <w:p w14:paraId="78703E13" w14:textId="77777777" w:rsidR="000A152B" w:rsidRPr="00901194" w:rsidRDefault="000A152B" w:rsidP="000A152B">
            <w:pPr>
              <w:spacing w:line="240" w:lineRule="auto"/>
              <w:rPr>
                <w:rFonts w:cs="Times New Roman"/>
                <w:i/>
                <w:iCs/>
              </w:rPr>
            </w:pPr>
            <w:r w:rsidRPr="00901194">
              <w:rPr>
                <w:rFonts w:cs="Times New Roman"/>
                <w:i/>
                <w:iCs/>
              </w:rPr>
              <w:t>Zea mays</w:t>
            </w:r>
          </w:p>
        </w:tc>
        <w:tc>
          <w:tcPr>
            <w:tcW w:w="1108" w:type="dxa"/>
            <w:hideMark/>
          </w:tcPr>
          <w:p w14:paraId="050A5212"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7FB370E"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7B7C0EF7"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15715BC"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B85BE59" w14:textId="77777777" w:rsidTr="00391854">
        <w:trPr>
          <w:trHeight w:val="300"/>
        </w:trPr>
        <w:tc>
          <w:tcPr>
            <w:tcW w:w="1697" w:type="dxa"/>
            <w:hideMark/>
          </w:tcPr>
          <w:p w14:paraId="764A1284" w14:textId="77777777" w:rsidR="000A152B" w:rsidRPr="00901194" w:rsidRDefault="000A152B" w:rsidP="000A152B">
            <w:pPr>
              <w:spacing w:line="240" w:lineRule="auto"/>
              <w:rPr>
                <w:rFonts w:cs="Times New Roman"/>
              </w:rPr>
            </w:pPr>
            <w:r w:rsidRPr="00901194">
              <w:rPr>
                <w:rFonts w:cs="Times New Roman"/>
              </w:rPr>
              <w:t>SV32</w:t>
            </w:r>
          </w:p>
        </w:tc>
        <w:tc>
          <w:tcPr>
            <w:tcW w:w="1530" w:type="dxa"/>
            <w:hideMark/>
          </w:tcPr>
          <w:p w14:paraId="12B553CF" w14:textId="77777777" w:rsidR="000A152B" w:rsidRPr="00901194" w:rsidRDefault="000A152B" w:rsidP="000A152B">
            <w:pPr>
              <w:spacing w:line="240" w:lineRule="auto"/>
              <w:rPr>
                <w:rFonts w:cs="Times New Roman"/>
              </w:rPr>
            </w:pPr>
            <w:r w:rsidRPr="00901194">
              <w:rPr>
                <w:rFonts w:cs="Times New Roman"/>
              </w:rPr>
              <w:t>Pineapple</w:t>
            </w:r>
          </w:p>
        </w:tc>
        <w:tc>
          <w:tcPr>
            <w:tcW w:w="2438" w:type="dxa"/>
            <w:hideMark/>
          </w:tcPr>
          <w:p w14:paraId="515CD76F" w14:textId="77777777" w:rsidR="000A152B" w:rsidRPr="00901194" w:rsidRDefault="000A152B" w:rsidP="000A152B">
            <w:pPr>
              <w:spacing w:line="240" w:lineRule="auto"/>
              <w:rPr>
                <w:rFonts w:cs="Times New Roman"/>
                <w:i/>
                <w:iCs/>
              </w:rPr>
            </w:pPr>
            <w:r w:rsidRPr="00901194">
              <w:rPr>
                <w:rFonts w:cs="Times New Roman"/>
                <w:i/>
                <w:iCs/>
              </w:rPr>
              <w:t>Ananas cosmosus</w:t>
            </w:r>
          </w:p>
        </w:tc>
        <w:tc>
          <w:tcPr>
            <w:tcW w:w="1108" w:type="dxa"/>
            <w:hideMark/>
          </w:tcPr>
          <w:p w14:paraId="71C18FBE"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9B464BC"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08894BC1"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162BDB38"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374C2BD" w14:textId="77777777" w:rsidTr="00391854">
        <w:trPr>
          <w:trHeight w:val="300"/>
        </w:trPr>
        <w:tc>
          <w:tcPr>
            <w:tcW w:w="1697" w:type="dxa"/>
            <w:hideMark/>
          </w:tcPr>
          <w:p w14:paraId="44E42F5A" w14:textId="77777777" w:rsidR="000A152B" w:rsidRPr="00901194" w:rsidRDefault="000A152B" w:rsidP="000A152B">
            <w:pPr>
              <w:spacing w:line="240" w:lineRule="auto"/>
              <w:rPr>
                <w:rFonts w:cs="Times New Roman"/>
              </w:rPr>
            </w:pPr>
            <w:r w:rsidRPr="00901194">
              <w:rPr>
                <w:rFonts w:cs="Times New Roman"/>
              </w:rPr>
              <w:t>SV37</w:t>
            </w:r>
          </w:p>
        </w:tc>
        <w:tc>
          <w:tcPr>
            <w:tcW w:w="1530" w:type="dxa"/>
            <w:hideMark/>
          </w:tcPr>
          <w:p w14:paraId="00F9736E" w14:textId="77777777" w:rsidR="000A152B" w:rsidRPr="00901194" w:rsidRDefault="000A152B" w:rsidP="000A152B">
            <w:pPr>
              <w:spacing w:line="240" w:lineRule="auto"/>
              <w:rPr>
                <w:rFonts w:cs="Times New Roman"/>
              </w:rPr>
            </w:pPr>
            <w:r w:rsidRPr="00901194">
              <w:rPr>
                <w:rFonts w:cs="Times New Roman"/>
              </w:rPr>
              <w:t>Cancerillo</w:t>
            </w:r>
          </w:p>
        </w:tc>
        <w:tc>
          <w:tcPr>
            <w:tcW w:w="2438" w:type="dxa"/>
            <w:hideMark/>
          </w:tcPr>
          <w:p w14:paraId="7CCDED5E" w14:textId="77777777" w:rsidR="000A152B" w:rsidRPr="00901194" w:rsidRDefault="000A152B" w:rsidP="000A152B">
            <w:pPr>
              <w:spacing w:line="240" w:lineRule="auto"/>
              <w:rPr>
                <w:rFonts w:cs="Times New Roman"/>
                <w:i/>
                <w:iCs/>
              </w:rPr>
            </w:pPr>
            <w:r w:rsidRPr="00901194">
              <w:rPr>
                <w:rFonts w:cs="Times New Roman"/>
                <w:i/>
                <w:iCs/>
              </w:rPr>
              <w:t>Asclepias curassavica</w:t>
            </w:r>
          </w:p>
        </w:tc>
        <w:tc>
          <w:tcPr>
            <w:tcW w:w="1108" w:type="dxa"/>
            <w:hideMark/>
          </w:tcPr>
          <w:p w14:paraId="0318280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0C3B9A7"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7FB62F35"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0B3DF88C"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E4EFA37" w14:textId="77777777" w:rsidTr="00391854">
        <w:trPr>
          <w:trHeight w:val="300"/>
        </w:trPr>
        <w:tc>
          <w:tcPr>
            <w:tcW w:w="1697" w:type="dxa"/>
            <w:hideMark/>
          </w:tcPr>
          <w:p w14:paraId="115FA920" w14:textId="77777777" w:rsidR="000A152B" w:rsidRPr="00901194" w:rsidRDefault="000A152B" w:rsidP="000A152B">
            <w:pPr>
              <w:spacing w:line="240" w:lineRule="auto"/>
              <w:rPr>
                <w:rFonts w:cs="Times New Roman"/>
              </w:rPr>
            </w:pPr>
            <w:r w:rsidRPr="00901194">
              <w:rPr>
                <w:rFonts w:cs="Times New Roman"/>
              </w:rPr>
              <w:t>SV38</w:t>
            </w:r>
          </w:p>
        </w:tc>
        <w:tc>
          <w:tcPr>
            <w:tcW w:w="1530" w:type="dxa"/>
            <w:hideMark/>
          </w:tcPr>
          <w:p w14:paraId="1DE7E9A6" w14:textId="77777777" w:rsidR="000A152B" w:rsidRPr="00901194" w:rsidRDefault="000A152B" w:rsidP="000A152B">
            <w:pPr>
              <w:spacing w:line="240" w:lineRule="auto"/>
              <w:rPr>
                <w:rFonts w:cs="Times New Roman"/>
              </w:rPr>
            </w:pPr>
            <w:r w:rsidRPr="00901194">
              <w:rPr>
                <w:rFonts w:cs="Times New Roman"/>
              </w:rPr>
              <w:t>Maize (blanco)</w:t>
            </w:r>
          </w:p>
        </w:tc>
        <w:tc>
          <w:tcPr>
            <w:tcW w:w="2438" w:type="dxa"/>
            <w:hideMark/>
          </w:tcPr>
          <w:p w14:paraId="64FB418C" w14:textId="77777777" w:rsidR="000A152B" w:rsidRPr="00901194" w:rsidRDefault="000A152B" w:rsidP="000A152B">
            <w:pPr>
              <w:spacing w:line="240" w:lineRule="auto"/>
              <w:rPr>
                <w:rFonts w:cs="Times New Roman"/>
                <w:i/>
                <w:iCs/>
              </w:rPr>
            </w:pPr>
            <w:r w:rsidRPr="00901194">
              <w:rPr>
                <w:rFonts w:cs="Times New Roman"/>
                <w:i/>
                <w:iCs/>
              </w:rPr>
              <w:t>Zea mays</w:t>
            </w:r>
          </w:p>
        </w:tc>
        <w:tc>
          <w:tcPr>
            <w:tcW w:w="1108" w:type="dxa"/>
            <w:hideMark/>
          </w:tcPr>
          <w:p w14:paraId="160E733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3662F1D"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422A3F3B"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9C89026"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5ADACE9" w14:textId="77777777" w:rsidTr="00391854">
        <w:trPr>
          <w:trHeight w:val="300"/>
        </w:trPr>
        <w:tc>
          <w:tcPr>
            <w:tcW w:w="1697" w:type="dxa"/>
            <w:hideMark/>
          </w:tcPr>
          <w:p w14:paraId="46E1E5D9" w14:textId="77777777" w:rsidR="000A152B" w:rsidRPr="00901194" w:rsidRDefault="000A152B" w:rsidP="000A152B">
            <w:pPr>
              <w:spacing w:line="240" w:lineRule="auto"/>
              <w:rPr>
                <w:rFonts w:cs="Times New Roman"/>
              </w:rPr>
            </w:pPr>
            <w:r w:rsidRPr="00901194">
              <w:rPr>
                <w:rFonts w:cs="Times New Roman"/>
              </w:rPr>
              <w:t>SV39</w:t>
            </w:r>
          </w:p>
        </w:tc>
        <w:tc>
          <w:tcPr>
            <w:tcW w:w="1530" w:type="dxa"/>
            <w:hideMark/>
          </w:tcPr>
          <w:p w14:paraId="633B95D0" w14:textId="77777777" w:rsidR="000A152B" w:rsidRPr="00901194" w:rsidRDefault="000A152B" w:rsidP="000A152B">
            <w:pPr>
              <w:spacing w:line="240" w:lineRule="auto"/>
              <w:rPr>
                <w:rFonts w:cs="Times New Roman"/>
              </w:rPr>
            </w:pPr>
            <w:r w:rsidRPr="00901194">
              <w:rPr>
                <w:rFonts w:cs="Times New Roman"/>
              </w:rPr>
              <w:t>Bean (bayo)</w:t>
            </w:r>
          </w:p>
        </w:tc>
        <w:tc>
          <w:tcPr>
            <w:tcW w:w="2438" w:type="dxa"/>
            <w:hideMark/>
          </w:tcPr>
          <w:p w14:paraId="7FEF408C" w14:textId="77777777" w:rsidR="000A152B" w:rsidRPr="00901194" w:rsidRDefault="000A152B" w:rsidP="000A152B">
            <w:pPr>
              <w:spacing w:line="240" w:lineRule="auto"/>
              <w:rPr>
                <w:rFonts w:cs="Times New Roman"/>
                <w:i/>
                <w:iCs/>
              </w:rPr>
            </w:pPr>
            <w:r w:rsidRPr="00901194">
              <w:rPr>
                <w:rFonts w:cs="Times New Roman"/>
                <w:i/>
                <w:iCs/>
              </w:rPr>
              <w:t>Phaseolus vulgaris</w:t>
            </w:r>
          </w:p>
        </w:tc>
        <w:tc>
          <w:tcPr>
            <w:tcW w:w="1108" w:type="dxa"/>
            <w:hideMark/>
          </w:tcPr>
          <w:p w14:paraId="188C41F5"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7CB1AA9"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5CAAA40"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AF21F75"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AA181B8" w14:textId="77777777" w:rsidTr="00391854">
        <w:trPr>
          <w:trHeight w:val="300"/>
        </w:trPr>
        <w:tc>
          <w:tcPr>
            <w:tcW w:w="1697" w:type="dxa"/>
            <w:hideMark/>
          </w:tcPr>
          <w:p w14:paraId="52CF4594" w14:textId="77777777" w:rsidR="000A152B" w:rsidRPr="00901194" w:rsidRDefault="000A152B" w:rsidP="000A152B">
            <w:pPr>
              <w:spacing w:line="240" w:lineRule="auto"/>
              <w:rPr>
                <w:rFonts w:cs="Times New Roman"/>
              </w:rPr>
            </w:pPr>
            <w:r w:rsidRPr="00901194">
              <w:rPr>
                <w:rFonts w:cs="Times New Roman"/>
              </w:rPr>
              <w:t>SV40</w:t>
            </w:r>
          </w:p>
        </w:tc>
        <w:tc>
          <w:tcPr>
            <w:tcW w:w="1530" w:type="dxa"/>
            <w:hideMark/>
          </w:tcPr>
          <w:p w14:paraId="74AD1DEC" w14:textId="77777777" w:rsidR="000A152B" w:rsidRPr="00901194" w:rsidRDefault="000A152B" w:rsidP="000A152B">
            <w:pPr>
              <w:spacing w:line="240" w:lineRule="auto"/>
              <w:rPr>
                <w:rFonts w:cs="Times New Roman"/>
              </w:rPr>
            </w:pPr>
            <w:r w:rsidRPr="00901194">
              <w:rPr>
                <w:rFonts w:cs="Times New Roman"/>
              </w:rPr>
              <w:t>Bean (flor de mayo)</w:t>
            </w:r>
          </w:p>
        </w:tc>
        <w:tc>
          <w:tcPr>
            <w:tcW w:w="2438" w:type="dxa"/>
            <w:hideMark/>
          </w:tcPr>
          <w:p w14:paraId="3061DACD" w14:textId="77777777" w:rsidR="000A152B" w:rsidRPr="00901194" w:rsidRDefault="000A152B" w:rsidP="000A152B">
            <w:pPr>
              <w:spacing w:line="240" w:lineRule="auto"/>
              <w:rPr>
                <w:rFonts w:cs="Times New Roman"/>
                <w:i/>
                <w:iCs/>
              </w:rPr>
            </w:pPr>
            <w:r w:rsidRPr="00901194">
              <w:rPr>
                <w:rFonts w:cs="Times New Roman"/>
                <w:i/>
                <w:iCs/>
              </w:rPr>
              <w:t>Phaseolus vulgaris</w:t>
            </w:r>
          </w:p>
        </w:tc>
        <w:tc>
          <w:tcPr>
            <w:tcW w:w="1108" w:type="dxa"/>
            <w:hideMark/>
          </w:tcPr>
          <w:p w14:paraId="3513ABE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EB5ECE5"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44DE755"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2BB06F10"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1B2B7E1" w14:textId="77777777" w:rsidTr="00391854">
        <w:trPr>
          <w:trHeight w:val="300"/>
        </w:trPr>
        <w:tc>
          <w:tcPr>
            <w:tcW w:w="1697" w:type="dxa"/>
            <w:hideMark/>
          </w:tcPr>
          <w:p w14:paraId="10FA3F92" w14:textId="77777777" w:rsidR="000A152B" w:rsidRPr="00901194" w:rsidRDefault="000A152B" w:rsidP="000A152B">
            <w:pPr>
              <w:spacing w:line="240" w:lineRule="auto"/>
              <w:rPr>
                <w:rFonts w:cs="Times New Roman"/>
              </w:rPr>
            </w:pPr>
            <w:r w:rsidRPr="00901194">
              <w:rPr>
                <w:rFonts w:cs="Times New Roman"/>
              </w:rPr>
              <w:t>SV42</w:t>
            </w:r>
          </w:p>
        </w:tc>
        <w:tc>
          <w:tcPr>
            <w:tcW w:w="1530" w:type="dxa"/>
            <w:hideMark/>
          </w:tcPr>
          <w:p w14:paraId="6B6581B4" w14:textId="77777777" w:rsidR="000A152B" w:rsidRPr="00901194" w:rsidRDefault="000A152B" w:rsidP="000A152B">
            <w:pPr>
              <w:spacing w:line="240" w:lineRule="auto"/>
              <w:rPr>
                <w:rFonts w:cs="Times New Roman"/>
              </w:rPr>
            </w:pPr>
            <w:r w:rsidRPr="00901194">
              <w:rPr>
                <w:rFonts w:cs="Times New Roman"/>
              </w:rPr>
              <w:t>Pipian squash</w:t>
            </w:r>
          </w:p>
        </w:tc>
        <w:tc>
          <w:tcPr>
            <w:tcW w:w="2438" w:type="dxa"/>
            <w:hideMark/>
          </w:tcPr>
          <w:p w14:paraId="302DC30A" w14:textId="77777777" w:rsidR="000A152B" w:rsidRPr="00901194" w:rsidRDefault="000A152B" w:rsidP="000A152B">
            <w:pPr>
              <w:spacing w:line="240" w:lineRule="auto"/>
              <w:rPr>
                <w:rFonts w:cs="Times New Roman"/>
                <w:i/>
                <w:iCs/>
              </w:rPr>
            </w:pPr>
            <w:r w:rsidRPr="00901194">
              <w:rPr>
                <w:rFonts w:cs="Times New Roman"/>
                <w:i/>
                <w:iCs/>
              </w:rPr>
              <w:t>Cucurbita mixta</w:t>
            </w:r>
          </w:p>
        </w:tc>
        <w:tc>
          <w:tcPr>
            <w:tcW w:w="1108" w:type="dxa"/>
            <w:hideMark/>
          </w:tcPr>
          <w:p w14:paraId="66A018CB"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6E40C7F"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15C03B6E"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0AB4B5E5"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0EF322C" w14:textId="77777777" w:rsidTr="00391854">
        <w:trPr>
          <w:trHeight w:val="300"/>
        </w:trPr>
        <w:tc>
          <w:tcPr>
            <w:tcW w:w="1697" w:type="dxa"/>
            <w:hideMark/>
          </w:tcPr>
          <w:p w14:paraId="50451A97" w14:textId="77777777" w:rsidR="000A152B" w:rsidRPr="00901194" w:rsidRDefault="000A152B" w:rsidP="000A152B">
            <w:pPr>
              <w:spacing w:line="240" w:lineRule="auto"/>
              <w:rPr>
                <w:rFonts w:cs="Times New Roman"/>
              </w:rPr>
            </w:pPr>
            <w:r w:rsidRPr="00901194">
              <w:rPr>
                <w:rFonts w:cs="Times New Roman"/>
              </w:rPr>
              <w:t>SV45</w:t>
            </w:r>
          </w:p>
        </w:tc>
        <w:tc>
          <w:tcPr>
            <w:tcW w:w="1530" w:type="dxa"/>
            <w:hideMark/>
          </w:tcPr>
          <w:p w14:paraId="0619E342" w14:textId="77777777" w:rsidR="000A152B" w:rsidRPr="00901194" w:rsidRDefault="000A152B" w:rsidP="000A152B">
            <w:pPr>
              <w:spacing w:line="240" w:lineRule="auto"/>
              <w:rPr>
                <w:rFonts w:cs="Times New Roman"/>
              </w:rPr>
            </w:pPr>
            <w:r w:rsidRPr="00901194">
              <w:rPr>
                <w:rFonts w:cs="Times New Roman"/>
              </w:rPr>
              <w:t>Sunflower</w:t>
            </w:r>
          </w:p>
        </w:tc>
        <w:tc>
          <w:tcPr>
            <w:tcW w:w="2438" w:type="dxa"/>
            <w:hideMark/>
          </w:tcPr>
          <w:p w14:paraId="2A300AA2" w14:textId="77777777" w:rsidR="000A152B" w:rsidRPr="00901194" w:rsidRDefault="000A152B" w:rsidP="000A152B">
            <w:pPr>
              <w:spacing w:line="240" w:lineRule="auto"/>
              <w:rPr>
                <w:rFonts w:cs="Times New Roman"/>
                <w:i/>
                <w:iCs/>
              </w:rPr>
            </w:pPr>
            <w:r w:rsidRPr="00901194">
              <w:rPr>
                <w:rFonts w:cs="Times New Roman"/>
                <w:i/>
                <w:iCs/>
              </w:rPr>
              <w:t>Helianthus annuus</w:t>
            </w:r>
          </w:p>
        </w:tc>
        <w:tc>
          <w:tcPr>
            <w:tcW w:w="1108" w:type="dxa"/>
            <w:hideMark/>
          </w:tcPr>
          <w:p w14:paraId="1014B06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4C07188"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65D02986"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7DD5DF94"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B80BFD6" w14:textId="77777777" w:rsidTr="00391854">
        <w:trPr>
          <w:trHeight w:val="300"/>
        </w:trPr>
        <w:tc>
          <w:tcPr>
            <w:tcW w:w="1697" w:type="dxa"/>
            <w:hideMark/>
          </w:tcPr>
          <w:p w14:paraId="436469C5" w14:textId="77777777" w:rsidR="000A152B" w:rsidRPr="00901194" w:rsidRDefault="000A152B" w:rsidP="000A152B">
            <w:pPr>
              <w:spacing w:line="240" w:lineRule="auto"/>
              <w:rPr>
                <w:rFonts w:cs="Times New Roman"/>
              </w:rPr>
            </w:pPr>
            <w:r w:rsidRPr="00901194">
              <w:rPr>
                <w:rFonts w:cs="Times New Roman"/>
              </w:rPr>
              <w:t>SV55</w:t>
            </w:r>
          </w:p>
        </w:tc>
        <w:tc>
          <w:tcPr>
            <w:tcW w:w="1530" w:type="dxa"/>
            <w:hideMark/>
          </w:tcPr>
          <w:p w14:paraId="7E3A95B6" w14:textId="77777777" w:rsidR="000A152B" w:rsidRPr="00901194" w:rsidRDefault="000A152B" w:rsidP="000A152B">
            <w:pPr>
              <w:spacing w:line="240" w:lineRule="auto"/>
              <w:rPr>
                <w:rFonts w:cs="Times New Roman"/>
              </w:rPr>
            </w:pPr>
            <w:r w:rsidRPr="00901194">
              <w:rPr>
                <w:rFonts w:cs="Times New Roman"/>
              </w:rPr>
              <w:t>Pinguica</w:t>
            </w:r>
          </w:p>
        </w:tc>
        <w:tc>
          <w:tcPr>
            <w:tcW w:w="2438" w:type="dxa"/>
            <w:hideMark/>
          </w:tcPr>
          <w:p w14:paraId="288E5D95" w14:textId="77777777" w:rsidR="000A152B" w:rsidRPr="00901194" w:rsidRDefault="000A152B" w:rsidP="000A152B">
            <w:pPr>
              <w:spacing w:line="240" w:lineRule="auto"/>
              <w:rPr>
                <w:rFonts w:cs="Times New Roman"/>
                <w:i/>
                <w:iCs/>
              </w:rPr>
            </w:pPr>
            <w:r w:rsidRPr="00901194">
              <w:rPr>
                <w:rFonts w:cs="Times New Roman"/>
                <w:i/>
                <w:iCs/>
              </w:rPr>
              <w:t>Arctosaphylos pungens</w:t>
            </w:r>
          </w:p>
        </w:tc>
        <w:tc>
          <w:tcPr>
            <w:tcW w:w="1108" w:type="dxa"/>
            <w:hideMark/>
          </w:tcPr>
          <w:p w14:paraId="78A8D75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05A5058"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3C8FFBC"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10798E0"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7163D15" w14:textId="77777777" w:rsidTr="00391854">
        <w:trPr>
          <w:trHeight w:val="300"/>
        </w:trPr>
        <w:tc>
          <w:tcPr>
            <w:tcW w:w="1697" w:type="dxa"/>
            <w:hideMark/>
          </w:tcPr>
          <w:p w14:paraId="254C5554" w14:textId="77777777" w:rsidR="000A152B" w:rsidRPr="00901194" w:rsidRDefault="000A152B" w:rsidP="000A152B">
            <w:pPr>
              <w:spacing w:line="240" w:lineRule="auto"/>
              <w:rPr>
                <w:rFonts w:cs="Times New Roman"/>
              </w:rPr>
            </w:pPr>
            <w:r w:rsidRPr="00901194">
              <w:rPr>
                <w:rFonts w:cs="Times New Roman"/>
              </w:rPr>
              <w:lastRenderedPageBreak/>
              <w:t>SV56</w:t>
            </w:r>
          </w:p>
        </w:tc>
        <w:tc>
          <w:tcPr>
            <w:tcW w:w="1530" w:type="dxa"/>
            <w:hideMark/>
          </w:tcPr>
          <w:p w14:paraId="7C723028" w14:textId="77777777" w:rsidR="000A152B" w:rsidRPr="00901194" w:rsidRDefault="000A152B" w:rsidP="000A152B">
            <w:pPr>
              <w:spacing w:line="240" w:lineRule="auto"/>
              <w:rPr>
                <w:rFonts w:cs="Times New Roman"/>
              </w:rPr>
            </w:pPr>
            <w:r w:rsidRPr="00901194">
              <w:rPr>
                <w:rFonts w:cs="Times New Roman"/>
              </w:rPr>
              <w:t>Toronjil</w:t>
            </w:r>
          </w:p>
        </w:tc>
        <w:tc>
          <w:tcPr>
            <w:tcW w:w="2438" w:type="dxa"/>
            <w:hideMark/>
          </w:tcPr>
          <w:p w14:paraId="43AE7B06" w14:textId="77777777" w:rsidR="000A152B" w:rsidRPr="00901194" w:rsidRDefault="000A152B" w:rsidP="000A152B">
            <w:pPr>
              <w:spacing w:line="240" w:lineRule="auto"/>
              <w:rPr>
                <w:rFonts w:cs="Times New Roman"/>
                <w:i/>
                <w:iCs/>
              </w:rPr>
            </w:pPr>
            <w:r w:rsidRPr="00901194">
              <w:rPr>
                <w:rFonts w:cs="Times New Roman"/>
                <w:i/>
                <w:iCs/>
              </w:rPr>
              <w:t>Agastache mexicana</w:t>
            </w:r>
          </w:p>
        </w:tc>
        <w:tc>
          <w:tcPr>
            <w:tcW w:w="1108" w:type="dxa"/>
            <w:hideMark/>
          </w:tcPr>
          <w:p w14:paraId="17B25ED6"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0ED006D"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0F36106B"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2820A2E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6C06224" w14:textId="77777777" w:rsidTr="00391854">
        <w:trPr>
          <w:trHeight w:val="300"/>
        </w:trPr>
        <w:tc>
          <w:tcPr>
            <w:tcW w:w="1697" w:type="dxa"/>
            <w:hideMark/>
          </w:tcPr>
          <w:p w14:paraId="7B31F4D7" w14:textId="77777777" w:rsidR="000A152B" w:rsidRPr="00901194" w:rsidRDefault="000A152B" w:rsidP="000A152B">
            <w:pPr>
              <w:spacing w:line="240" w:lineRule="auto"/>
              <w:rPr>
                <w:rFonts w:cs="Times New Roman"/>
              </w:rPr>
            </w:pPr>
            <w:r w:rsidRPr="00901194">
              <w:rPr>
                <w:rFonts w:cs="Times New Roman"/>
              </w:rPr>
              <w:t>SV57</w:t>
            </w:r>
          </w:p>
        </w:tc>
        <w:tc>
          <w:tcPr>
            <w:tcW w:w="1530" w:type="dxa"/>
            <w:hideMark/>
          </w:tcPr>
          <w:p w14:paraId="468ACE5F" w14:textId="77777777" w:rsidR="000A152B" w:rsidRPr="00901194" w:rsidRDefault="000A152B" w:rsidP="000A152B">
            <w:pPr>
              <w:spacing w:line="240" w:lineRule="auto"/>
              <w:rPr>
                <w:rFonts w:cs="Times New Roman"/>
              </w:rPr>
            </w:pPr>
            <w:r w:rsidRPr="00901194">
              <w:rPr>
                <w:rFonts w:cs="Times New Roman"/>
              </w:rPr>
              <w:t>Bean (negro)</w:t>
            </w:r>
          </w:p>
        </w:tc>
        <w:tc>
          <w:tcPr>
            <w:tcW w:w="2438" w:type="dxa"/>
            <w:hideMark/>
          </w:tcPr>
          <w:p w14:paraId="561BEC80" w14:textId="77777777" w:rsidR="000A152B" w:rsidRPr="00901194" w:rsidRDefault="000A152B" w:rsidP="000A152B">
            <w:pPr>
              <w:spacing w:line="240" w:lineRule="auto"/>
              <w:rPr>
                <w:rFonts w:cs="Times New Roman"/>
                <w:i/>
                <w:iCs/>
              </w:rPr>
            </w:pPr>
            <w:r w:rsidRPr="00901194">
              <w:rPr>
                <w:rFonts w:cs="Times New Roman"/>
                <w:i/>
                <w:iCs/>
              </w:rPr>
              <w:t>Phaseolus vulgaris</w:t>
            </w:r>
          </w:p>
        </w:tc>
        <w:tc>
          <w:tcPr>
            <w:tcW w:w="1108" w:type="dxa"/>
            <w:hideMark/>
          </w:tcPr>
          <w:p w14:paraId="084CCA1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4F26553"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6225C9C3"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5EBA28E9"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97EE9FC" w14:textId="77777777" w:rsidTr="00391854">
        <w:trPr>
          <w:trHeight w:val="300"/>
        </w:trPr>
        <w:tc>
          <w:tcPr>
            <w:tcW w:w="1697" w:type="dxa"/>
            <w:hideMark/>
          </w:tcPr>
          <w:p w14:paraId="3D81BD58" w14:textId="77777777" w:rsidR="000A152B" w:rsidRPr="00901194" w:rsidRDefault="000A152B" w:rsidP="000A152B">
            <w:pPr>
              <w:spacing w:line="240" w:lineRule="auto"/>
              <w:rPr>
                <w:rFonts w:cs="Times New Roman"/>
              </w:rPr>
            </w:pPr>
            <w:r w:rsidRPr="00901194">
              <w:rPr>
                <w:rFonts w:cs="Times New Roman"/>
              </w:rPr>
              <w:t>SV58</w:t>
            </w:r>
          </w:p>
        </w:tc>
        <w:tc>
          <w:tcPr>
            <w:tcW w:w="1530" w:type="dxa"/>
            <w:hideMark/>
          </w:tcPr>
          <w:p w14:paraId="3549B0A3" w14:textId="77777777" w:rsidR="000A152B" w:rsidRPr="00901194" w:rsidRDefault="000A152B" w:rsidP="000A152B">
            <w:pPr>
              <w:spacing w:line="240" w:lineRule="auto"/>
              <w:rPr>
                <w:rFonts w:cs="Times New Roman"/>
              </w:rPr>
            </w:pPr>
            <w:r w:rsidRPr="00901194">
              <w:rPr>
                <w:rFonts w:cs="Times New Roman"/>
              </w:rPr>
              <w:t>Bean (blanco)</w:t>
            </w:r>
          </w:p>
        </w:tc>
        <w:tc>
          <w:tcPr>
            <w:tcW w:w="2438" w:type="dxa"/>
            <w:hideMark/>
          </w:tcPr>
          <w:p w14:paraId="670A249F" w14:textId="77777777" w:rsidR="000A152B" w:rsidRPr="00901194" w:rsidRDefault="000A152B" w:rsidP="000A152B">
            <w:pPr>
              <w:spacing w:line="240" w:lineRule="auto"/>
              <w:rPr>
                <w:rFonts w:cs="Times New Roman"/>
                <w:i/>
                <w:iCs/>
              </w:rPr>
            </w:pPr>
            <w:r w:rsidRPr="00901194">
              <w:rPr>
                <w:rFonts w:cs="Times New Roman"/>
                <w:i/>
                <w:iCs/>
              </w:rPr>
              <w:t>Phaseolus vulgaris</w:t>
            </w:r>
          </w:p>
        </w:tc>
        <w:tc>
          <w:tcPr>
            <w:tcW w:w="1108" w:type="dxa"/>
            <w:hideMark/>
          </w:tcPr>
          <w:p w14:paraId="0B2BC59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9475BC4"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1982CFF"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3602EE5B"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C9AC522" w14:textId="77777777" w:rsidTr="00391854">
        <w:trPr>
          <w:trHeight w:val="300"/>
        </w:trPr>
        <w:tc>
          <w:tcPr>
            <w:tcW w:w="1697" w:type="dxa"/>
            <w:hideMark/>
          </w:tcPr>
          <w:p w14:paraId="04E3229F" w14:textId="77777777" w:rsidR="000A152B" w:rsidRPr="00901194" w:rsidRDefault="000A152B" w:rsidP="000A152B">
            <w:pPr>
              <w:spacing w:line="240" w:lineRule="auto"/>
              <w:rPr>
                <w:rFonts w:cs="Times New Roman"/>
              </w:rPr>
            </w:pPr>
            <w:r w:rsidRPr="00901194">
              <w:rPr>
                <w:rFonts w:cs="Times New Roman"/>
              </w:rPr>
              <w:t>SV59</w:t>
            </w:r>
          </w:p>
        </w:tc>
        <w:tc>
          <w:tcPr>
            <w:tcW w:w="1530" w:type="dxa"/>
            <w:hideMark/>
          </w:tcPr>
          <w:p w14:paraId="18B3D879" w14:textId="77777777" w:rsidR="000A152B" w:rsidRPr="00901194" w:rsidRDefault="000A152B" w:rsidP="000A152B">
            <w:pPr>
              <w:spacing w:line="240" w:lineRule="auto"/>
              <w:rPr>
                <w:rFonts w:cs="Times New Roman"/>
              </w:rPr>
            </w:pPr>
            <w:r w:rsidRPr="00901194">
              <w:rPr>
                <w:rFonts w:cs="Times New Roman"/>
              </w:rPr>
              <w:t>Squash</w:t>
            </w:r>
          </w:p>
        </w:tc>
        <w:tc>
          <w:tcPr>
            <w:tcW w:w="2438" w:type="dxa"/>
            <w:hideMark/>
          </w:tcPr>
          <w:p w14:paraId="468461F7" w14:textId="77777777" w:rsidR="000A152B" w:rsidRPr="00901194" w:rsidRDefault="000A152B" w:rsidP="000A152B">
            <w:pPr>
              <w:spacing w:line="240" w:lineRule="auto"/>
              <w:rPr>
                <w:rFonts w:cs="Times New Roman"/>
                <w:i/>
                <w:iCs/>
              </w:rPr>
            </w:pPr>
            <w:r w:rsidRPr="00901194">
              <w:rPr>
                <w:rFonts w:cs="Times New Roman"/>
                <w:i/>
                <w:iCs/>
              </w:rPr>
              <w:t>Cucurbita sp.</w:t>
            </w:r>
          </w:p>
        </w:tc>
        <w:tc>
          <w:tcPr>
            <w:tcW w:w="1108" w:type="dxa"/>
            <w:hideMark/>
          </w:tcPr>
          <w:p w14:paraId="5FAF098F"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90EA211"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16C4E54"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5305B26C"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1495D78" w14:textId="77777777" w:rsidTr="00391854">
        <w:trPr>
          <w:trHeight w:val="300"/>
        </w:trPr>
        <w:tc>
          <w:tcPr>
            <w:tcW w:w="1697" w:type="dxa"/>
            <w:hideMark/>
          </w:tcPr>
          <w:p w14:paraId="78897267" w14:textId="77777777" w:rsidR="000A152B" w:rsidRPr="00901194" w:rsidRDefault="000A152B" w:rsidP="000A152B">
            <w:pPr>
              <w:spacing w:line="240" w:lineRule="auto"/>
              <w:rPr>
                <w:rFonts w:cs="Times New Roman"/>
              </w:rPr>
            </w:pPr>
            <w:r w:rsidRPr="00901194">
              <w:rPr>
                <w:rFonts w:cs="Times New Roman"/>
              </w:rPr>
              <w:t>SV60</w:t>
            </w:r>
          </w:p>
        </w:tc>
        <w:tc>
          <w:tcPr>
            <w:tcW w:w="1530" w:type="dxa"/>
            <w:hideMark/>
          </w:tcPr>
          <w:p w14:paraId="4BF6DD71" w14:textId="77777777" w:rsidR="000A152B" w:rsidRPr="00901194" w:rsidRDefault="000A152B" w:rsidP="000A152B">
            <w:pPr>
              <w:spacing w:line="240" w:lineRule="auto"/>
              <w:rPr>
                <w:rFonts w:cs="Times New Roman"/>
              </w:rPr>
            </w:pPr>
            <w:r w:rsidRPr="00901194">
              <w:rPr>
                <w:rFonts w:cs="Times New Roman"/>
              </w:rPr>
              <w:t>Turkey (cooked)</w:t>
            </w:r>
          </w:p>
        </w:tc>
        <w:tc>
          <w:tcPr>
            <w:tcW w:w="2438" w:type="dxa"/>
            <w:hideMark/>
          </w:tcPr>
          <w:p w14:paraId="589A13FD" w14:textId="77777777" w:rsidR="000A152B" w:rsidRPr="00901194" w:rsidRDefault="000A152B" w:rsidP="000A152B">
            <w:pPr>
              <w:spacing w:line="240" w:lineRule="auto"/>
              <w:rPr>
                <w:rFonts w:cs="Times New Roman"/>
                <w:i/>
                <w:iCs/>
              </w:rPr>
            </w:pPr>
            <w:r w:rsidRPr="00901194">
              <w:rPr>
                <w:rFonts w:cs="Times New Roman"/>
                <w:i/>
                <w:iCs/>
              </w:rPr>
              <w:t>Meleagris gallopavo</w:t>
            </w:r>
          </w:p>
        </w:tc>
        <w:tc>
          <w:tcPr>
            <w:tcW w:w="1108" w:type="dxa"/>
            <w:hideMark/>
          </w:tcPr>
          <w:p w14:paraId="29FDA5E1"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2D181D5"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A6E7ABB" w14:textId="77777777" w:rsidR="000A152B" w:rsidRPr="00901194" w:rsidRDefault="000A152B" w:rsidP="000A152B">
            <w:pPr>
              <w:spacing w:line="240" w:lineRule="auto"/>
              <w:rPr>
                <w:rFonts w:cs="Times New Roman"/>
              </w:rPr>
            </w:pPr>
            <w:r w:rsidRPr="00901194">
              <w:rPr>
                <w:rFonts w:cs="Times New Roman"/>
              </w:rPr>
              <w:t>Bird</w:t>
            </w:r>
          </w:p>
        </w:tc>
        <w:tc>
          <w:tcPr>
            <w:tcW w:w="1463" w:type="dxa"/>
            <w:hideMark/>
          </w:tcPr>
          <w:p w14:paraId="3B67342C"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0BE297BF" w14:textId="77777777" w:rsidTr="00391854">
        <w:trPr>
          <w:trHeight w:val="300"/>
        </w:trPr>
        <w:tc>
          <w:tcPr>
            <w:tcW w:w="1697" w:type="dxa"/>
            <w:hideMark/>
          </w:tcPr>
          <w:p w14:paraId="76938421" w14:textId="77777777" w:rsidR="000A152B" w:rsidRPr="00901194" w:rsidRDefault="000A152B" w:rsidP="000A152B">
            <w:pPr>
              <w:spacing w:line="240" w:lineRule="auto"/>
              <w:rPr>
                <w:rFonts w:cs="Times New Roman"/>
              </w:rPr>
            </w:pPr>
            <w:r w:rsidRPr="00901194">
              <w:rPr>
                <w:rFonts w:cs="Times New Roman"/>
              </w:rPr>
              <w:t>SV61</w:t>
            </w:r>
          </w:p>
        </w:tc>
        <w:tc>
          <w:tcPr>
            <w:tcW w:w="1530" w:type="dxa"/>
            <w:hideMark/>
          </w:tcPr>
          <w:p w14:paraId="1440E765" w14:textId="77777777" w:rsidR="000A152B" w:rsidRPr="00901194" w:rsidRDefault="000A152B" w:rsidP="000A152B">
            <w:pPr>
              <w:spacing w:line="240" w:lineRule="auto"/>
              <w:rPr>
                <w:rFonts w:cs="Times New Roman"/>
              </w:rPr>
            </w:pPr>
            <w:r w:rsidRPr="00901194">
              <w:rPr>
                <w:rFonts w:cs="Times New Roman"/>
              </w:rPr>
              <w:t>Chaya</w:t>
            </w:r>
          </w:p>
        </w:tc>
        <w:tc>
          <w:tcPr>
            <w:tcW w:w="2438" w:type="dxa"/>
            <w:hideMark/>
          </w:tcPr>
          <w:p w14:paraId="18F9C105" w14:textId="77777777" w:rsidR="000A152B" w:rsidRPr="00901194" w:rsidRDefault="000A152B" w:rsidP="000A152B">
            <w:pPr>
              <w:spacing w:line="240" w:lineRule="auto"/>
              <w:rPr>
                <w:rFonts w:cs="Times New Roman"/>
                <w:i/>
                <w:iCs/>
              </w:rPr>
            </w:pPr>
            <w:r w:rsidRPr="00901194">
              <w:rPr>
                <w:rFonts w:cs="Times New Roman"/>
                <w:i/>
                <w:iCs/>
              </w:rPr>
              <w:t>Cnidoscolus chayamansa</w:t>
            </w:r>
          </w:p>
        </w:tc>
        <w:tc>
          <w:tcPr>
            <w:tcW w:w="1108" w:type="dxa"/>
            <w:hideMark/>
          </w:tcPr>
          <w:p w14:paraId="406EA08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F1222DA"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5CFF909"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3691A137"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6448E9B" w14:textId="77777777" w:rsidTr="00391854">
        <w:trPr>
          <w:trHeight w:val="300"/>
        </w:trPr>
        <w:tc>
          <w:tcPr>
            <w:tcW w:w="1697" w:type="dxa"/>
            <w:hideMark/>
          </w:tcPr>
          <w:p w14:paraId="0EE428EC" w14:textId="77777777" w:rsidR="000A152B" w:rsidRPr="00901194" w:rsidRDefault="000A152B" w:rsidP="000A152B">
            <w:pPr>
              <w:spacing w:line="240" w:lineRule="auto"/>
              <w:rPr>
                <w:rFonts w:cs="Times New Roman"/>
              </w:rPr>
            </w:pPr>
            <w:r w:rsidRPr="00901194">
              <w:rPr>
                <w:rFonts w:cs="Times New Roman"/>
              </w:rPr>
              <w:t>SV62</w:t>
            </w:r>
          </w:p>
        </w:tc>
        <w:tc>
          <w:tcPr>
            <w:tcW w:w="1530" w:type="dxa"/>
            <w:hideMark/>
          </w:tcPr>
          <w:p w14:paraId="6202917E" w14:textId="77777777" w:rsidR="000A152B" w:rsidRPr="00901194" w:rsidRDefault="000A152B" w:rsidP="000A152B">
            <w:pPr>
              <w:spacing w:line="240" w:lineRule="auto"/>
              <w:rPr>
                <w:rFonts w:cs="Times New Roman"/>
              </w:rPr>
            </w:pPr>
            <w:r w:rsidRPr="00901194">
              <w:rPr>
                <w:rFonts w:cs="Times New Roman"/>
              </w:rPr>
              <w:t>Chile anachito</w:t>
            </w:r>
          </w:p>
        </w:tc>
        <w:tc>
          <w:tcPr>
            <w:tcW w:w="2438" w:type="dxa"/>
            <w:hideMark/>
          </w:tcPr>
          <w:p w14:paraId="17946B9D" w14:textId="77777777" w:rsidR="000A152B" w:rsidRPr="00901194" w:rsidRDefault="000A152B" w:rsidP="000A152B">
            <w:pPr>
              <w:spacing w:line="240" w:lineRule="auto"/>
              <w:rPr>
                <w:rFonts w:cs="Times New Roman"/>
                <w:i/>
                <w:iCs/>
              </w:rPr>
            </w:pPr>
            <w:r w:rsidRPr="00901194">
              <w:rPr>
                <w:rFonts w:cs="Times New Roman"/>
                <w:i/>
                <w:iCs/>
              </w:rPr>
              <w:t>Capsicum annuum</w:t>
            </w:r>
          </w:p>
        </w:tc>
        <w:tc>
          <w:tcPr>
            <w:tcW w:w="1108" w:type="dxa"/>
            <w:hideMark/>
          </w:tcPr>
          <w:p w14:paraId="33F11B8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3BA24C5"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572176C7"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9D688A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6C2BDED" w14:textId="77777777" w:rsidTr="00391854">
        <w:trPr>
          <w:trHeight w:val="300"/>
        </w:trPr>
        <w:tc>
          <w:tcPr>
            <w:tcW w:w="1697" w:type="dxa"/>
            <w:hideMark/>
          </w:tcPr>
          <w:p w14:paraId="3F1FD5C2" w14:textId="77777777" w:rsidR="000A152B" w:rsidRPr="00901194" w:rsidRDefault="000A152B" w:rsidP="000A152B">
            <w:pPr>
              <w:spacing w:line="240" w:lineRule="auto"/>
              <w:rPr>
                <w:rFonts w:cs="Times New Roman"/>
              </w:rPr>
            </w:pPr>
            <w:r w:rsidRPr="00901194">
              <w:rPr>
                <w:rFonts w:cs="Times New Roman"/>
              </w:rPr>
              <w:t>SV65</w:t>
            </w:r>
          </w:p>
        </w:tc>
        <w:tc>
          <w:tcPr>
            <w:tcW w:w="1530" w:type="dxa"/>
            <w:hideMark/>
          </w:tcPr>
          <w:p w14:paraId="43583A49" w14:textId="77777777" w:rsidR="000A152B" w:rsidRPr="00901194" w:rsidRDefault="000A152B" w:rsidP="000A152B">
            <w:pPr>
              <w:spacing w:line="240" w:lineRule="auto"/>
              <w:rPr>
                <w:rFonts w:cs="Times New Roman"/>
              </w:rPr>
            </w:pPr>
            <w:r w:rsidRPr="00901194">
              <w:rPr>
                <w:rFonts w:cs="Times New Roman"/>
              </w:rPr>
              <w:t>Chipil</w:t>
            </w:r>
          </w:p>
        </w:tc>
        <w:tc>
          <w:tcPr>
            <w:tcW w:w="2438" w:type="dxa"/>
            <w:hideMark/>
          </w:tcPr>
          <w:p w14:paraId="2AC0CEF3" w14:textId="77777777" w:rsidR="000A152B" w:rsidRPr="00901194" w:rsidRDefault="000A152B" w:rsidP="000A152B">
            <w:pPr>
              <w:spacing w:line="240" w:lineRule="auto"/>
              <w:rPr>
                <w:rFonts w:cs="Times New Roman"/>
                <w:i/>
                <w:iCs/>
              </w:rPr>
            </w:pPr>
            <w:r w:rsidRPr="00901194">
              <w:rPr>
                <w:rFonts w:cs="Times New Roman"/>
                <w:i/>
                <w:iCs/>
              </w:rPr>
              <w:t>Crotelaria sp.</w:t>
            </w:r>
          </w:p>
        </w:tc>
        <w:tc>
          <w:tcPr>
            <w:tcW w:w="1108" w:type="dxa"/>
            <w:hideMark/>
          </w:tcPr>
          <w:p w14:paraId="41CFFE3E"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35972AD"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79915519"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577AA2C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E624C03" w14:textId="77777777" w:rsidTr="00391854">
        <w:trPr>
          <w:trHeight w:val="600"/>
        </w:trPr>
        <w:tc>
          <w:tcPr>
            <w:tcW w:w="1697" w:type="dxa"/>
            <w:hideMark/>
          </w:tcPr>
          <w:p w14:paraId="47FCF195" w14:textId="77777777" w:rsidR="000A152B" w:rsidRPr="00901194" w:rsidRDefault="000A152B" w:rsidP="000A152B">
            <w:pPr>
              <w:spacing w:line="240" w:lineRule="auto"/>
              <w:rPr>
                <w:rFonts w:cs="Times New Roman"/>
              </w:rPr>
            </w:pPr>
            <w:r w:rsidRPr="00901194">
              <w:rPr>
                <w:rFonts w:cs="Times New Roman"/>
              </w:rPr>
              <w:t>SV67</w:t>
            </w:r>
          </w:p>
        </w:tc>
        <w:tc>
          <w:tcPr>
            <w:tcW w:w="1530" w:type="dxa"/>
            <w:hideMark/>
          </w:tcPr>
          <w:p w14:paraId="4DCCBBB7" w14:textId="77777777" w:rsidR="000A152B" w:rsidRPr="00901194" w:rsidRDefault="000A152B" w:rsidP="000A152B">
            <w:pPr>
              <w:spacing w:line="240" w:lineRule="auto"/>
              <w:rPr>
                <w:rFonts w:cs="Times New Roman"/>
              </w:rPr>
            </w:pPr>
            <w:r w:rsidRPr="00901194">
              <w:rPr>
                <w:rFonts w:cs="Times New Roman"/>
              </w:rPr>
              <w:t>Epazote</w:t>
            </w:r>
          </w:p>
        </w:tc>
        <w:tc>
          <w:tcPr>
            <w:tcW w:w="2438" w:type="dxa"/>
            <w:hideMark/>
          </w:tcPr>
          <w:p w14:paraId="424A4C79" w14:textId="77777777" w:rsidR="000A152B" w:rsidRPr="00901194" w:rsidRDefault="000A152B" w:rsidP="000A152B">
            <w:pPr>
              <w:spacing w:line="240" w:lineRule="auto"/>
              <w:rPr>
                <w:rFonts w:cs="Times New Roman"/>
                <w:i/>
                <w:iCs/>
              </w:rPr>
            </w:pPr>
            <w:r w:rsidRPr="00901194">
              <w:rPr>
                <w:rFonts w:cs="Times New Roman"/>
                <w:i/>
                <w:iCs/>
              </w:rPr>
              <w:t>Chenopodium ambrosioides</w:t>
            </w:r>
          </w:p>
        </w:tc>
        <w:tc>
          <w:tcPr>
            <w:tcW w:w="1108" w:type="dxa"/>
            <w:hideMark/>
          </w:tcPr>
          <w:p w14:paraId="37649480"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28A1C479"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60FB24DB"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1DC1C9AA"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86C9A65" w14:textId="77777777" w:rsidTr="00391854">
        <w:trPr>
          <w:trHeight w:val="300"/>
        </w:trPr>
        <w:tc>
          <w:tcPr>
            <w:tcW w:w="1697" w:type="dxa"/>
            <w:hideMark/>
          </w:tcPr>
          <w:p w14:paraId="0C0ACCFC" w14:textId="77777777" w:rsidR="000A152B" w:rsidRPr="00901194" w:rsidRDefault="000A152B" w:rsidP="000A152B">
            <w:pPr>
              <w:spacing w:line="240" w:lineRule="auto"/>
              <w:rPr>
                <w:rFonts w:cs="Times New Roman"/>
              </w:rPr>
            </w:pPr>
            <w:r w:rsidRPr="00901194">
              <w:rPr>
                <w:rFonts w:cs="Times New Roman"/>
              </w:rPr>
              <w:t>SV68</w:t>
            </w:r>
          </w:p>
        </w:tc>
        <w:tc>
          <w:tcPr>
            <w:tcW w:w="1530" w:type="dxa"/>
            <w:hideMark/>
          </w:tcPr>
          <w:p w14:paraId="15669460" w14:textId="77777777" w:rsidR="000A152B" w:rsidRPr="00901194" w:rsidRDefault="000A152B" w:rsidP="000A152B">
            <w:pPr>
              <w:spacing w:line="240" w:lineRule="auto"/>
              <w:rPr>
                <w:rFonts w:cs="Times New Roman"/>
              </w:rPr>
            </w:pPr>
            <w:r w:rsidRPr="00901194">
              <w:rPr>
                <w:rFonts w:cs="Times New Roman"/>
              </w:rPr>
              <w:t>Melocoton, cassabanana</w:t>
            </w:r>
          </w:p>
        </w:tc>
        <w:tc>
          <w:tcPr>
            <w:tcW w:w="2438" w:type="dxa"/>
            <w:hideMark/>
          </w:tcPr>
          <w:p w14:paraId="1B56DC87" w14:textId="77777777" w:rsidR="000A152B" w:rsidRPr="00901194" w:rsidRDefault="000A152B" w:rsidP="000A152B">
            <w:pPr>
              <w:spacing w:line="240" w:lineRule="auto"/>
              <w:rPr>
                <w:rFonts w:cs="Times New Roman"/>
                <w:i/>
                <w:iCs/>
              </w:rPr>
            </w:pPr>
            <w:r w:rsidRPr="00901194">
              <w:rPr>
                <w:rFonts w:cs="Times New Roman"/>
                <w:i/>
                <w:iCs/>
              </w:rPr>
              <w:t>Sicana odorifera</w:t>
            </w:r>
          </w:p>
        </w:tc>
        <w:tc>
          <w:tcPr>
            <w:tcW w:w="1108" w:type="dxa"/>
            <w:hideMark/>
          </w:tcPr>
          <w:p w14:paraId="6E56DC9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55A6E5F"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4948E563"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C94ED9F"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4D75FE8E" w14:textId="77777777" w:rsidTr="00391854">
        <w:trPr>
          <w:trHeight w:val="300"/>
        </w:trPr>
        <w:tc>
          <w:tcPr>
            <w:tcW w:w="1697" w:type="dxa"/>
            <w:hideMark/>
          </w:tcPr>
          <w:p w14:paraId="096BDFEC" w14:textId="77777777" w:rsidR="000A152B" w:rsidRPr="00901194" w:rsidRDefault="000A152B" w:rsidP="000A152B">
            <w:pPr>
              <w:spacing w:line="240" w:lineRule="auto"/>
              <w:rPr>
                <w:rFonts w:cs="Times New Roman"/>
              </w:rPr>
            </w:pPr>
            <w:r w:rsidRPr="00901194">
              <w:rPr>
                <w:rFonts w:cs="Times New Roman"/>
              </w:rPr>
              <w:t>SV70</w:t>
            </w:r>
          </w:p>
        </w:tc>
        <w:tc>
          <w:tcPr>
            <w:tcW w:w="1530" w:type="dxa"/>
            <w:hideMark/>
          </w:tcPr>
          <w:p w14:paraId="0A7A224D" w14:textId="77777777" w:rsidR="000A152B" w:rsidRPr="00901194" w:rsidRDefault="000A152B" w:rsidP="000A152B">
            <w:pPr>
              <w:spacing w:line="240" w:lineRule="auto"/>
              <w:rPr>
                <w:rFonts w:cs="Times New Roman"/>
              </w:rPr>
            </w:pPr>
            <w:r w:rsidRPr="00901194">
              <w:rPr>
                <w:rFonts w:cs="Times New Roman"/>
              </w:rPr>
              <w:t>Bandesopa, poshte</w:t>
            </w:r>
          </w:p>
        </w:tc>
        <w:tc>
          <w:tcPr>
            <w:tcW w:w="2438" w:type="dxa"/>
            <w:hideMark/>
          </w:tcPr>
          <w:p w14:paraId="0A8294FB" w14:textId="77777777" w:rsidR="000A152B" w:rsidRPr="00901194" w:rsidRDefault="000A152B" w:rsidP="000A152B">
            <w:pPr>
              <w:spacing w:line="240" w:lineRule="auto"/>
              <w:rPr>
                <w:rFonts w:cs="Times New Roman"/>
                <w:i/>
                <w:iCs/>
              </w:rPr>
            </w:pPr>
            <w:r w:rsidRPr="00901194">
              <w:rPr>
                <w:rFonts w:cs="Times New Roman"/>
                <w:i/>
                <w:iCs/>
              </w:rPr>
              <w:t>Annona scleroderma</w:t>
            </w:r>
          </w:p>
        </w:tc>
        <w:tc>
          <w:tcPr>
            <w:tcW w:w="1108" w:type="dxa"/>
            <w:hideMark/>
          </w:tcPr>
          <w:p w14:paraId="4E9A0CB7"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6E6B6C7"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5BFEB227"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55057568"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2DD1B956" w14:textId="77777777" w:rsidTr="00391854">
        <w:trPr>
          <w:trHeight w:val="300"/>
        </w:trPr>
        <w:tc>
          <w:tcPr>
            <w:tcW w:w="1697" w:type="dxa"/>
            <w:hideMark/>
          </w:tcPr>
          <w:p w14:paraId="42B37D61" w14:textId="77777777" w:rsidR="000A152B" w:rsidRPr="00901194" w:rsidRDefault="000A152B" w:rsidP="000A152B">
            <w:pPr>
              <w:spacing w:line="240" w:lineRule="auto"/>
              <w:rPr>
                <w:rFonts w:cs="Times New Roman"/>
              </w:rPr>
            </w:pPr>
            <w:r w:rsidRPr="00901194">
              <w:rPr>
                <w:rFonts w:cs="Times New Roman"/>
              </w:rPr>
              <w:t>SV71</w:t>
            </w:r>
          </w:p>
        </w:tc>
        <w:tc>
          <w:tcPr>
            <w:tcW w:w="1530" w:type="dxa"/>
            <w:hideMark/>
          </w:tcPr>
          <w:p w14:paraId="7ADDCC60" w14:textId="77777777" w:rsidR="000A152B" w:rsidRPr="00901194" w:rsidRDefault="000A152B" w:rsidP="000A152B">
            <w:pPr>
              <w:spacing w:line="240" w:lineRule="auto"/>
              <w:rPr>
                <w:rFonts w:cs="Times New Roman"/>
              </w:rPr>
            </w:pPr>
            <w:r w:rsidRPr="00901194">
              <w:rPr>
                <w:rFonts w:cs="Times New Roman"/>
              </w:rPr>
              <w:t>Macal/Cocoyam</w:t>
            </w:r>
          </w:p>
        </w:tc>
        <w:tc>
          <w:tcPr>
            <w:tcW w:w="2438" w:type="dxa"/>
            <w:hideMark/>
          </w:tcPr>
          <w:p w14:paraId="29F66C6C" w14:textId="77777777" w:rsidR="000A152B" w:rsidRPr="00901194" w:rsidRDefault="000A152B" w:rsidP="000A152B">
            <w:pPr>
              <w:spacing w:line="240" w:lineRule="auto"/>
              <w:rPr>
                <w:rFonts w:cs="Times New Roman"/>
                <w:i/>
                <w:iCs/>
              </w:rPr>
            </w:pPr>
            <w:r w:rsidRPr="00901194">
              <w:rPr>
                <w:rFonts w:cs="Times New Roman"/>
                <w:i/>
                <w:iCs/>
              </w:rPr>
              <w:t>Xanthosoma sagittifolium</w:t>
            </w:r>
          </w:p>
        </w:tc>
        <w:tc>
          <w:tcPr>
            <w:tcW w:w="1108" w:type="dxa"/>
            <w:hideMark/>
          </w:tcPr>
          <w:p w14:paraId="6DAA3449"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35A4D88B"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10142870" w14:textId="77777777" w:rsidR="000A152B" w:rsidRPr="00901194" w:rsidRDefault="000A152B" w:rsidP="000A152B">
            <w:pPr>
              <w:spacing w:line="240" w:lineRule="auto"/>
              <w:rPr>
                <w:rFonts w:cs="Times New Roman"/>
              </w:rPr>
            </w:pPr>
            <w:r w:rsidRPr="00901194">
              <w:rPr>
                <w:rFonts w:cs="Times New Roman"/>
              </w:rPr>
              <w:t>Tuber</w:t>
            </w:r>
          </w:p>
        </w:tc>
        <w:tc>
          <w:tcPr>
            <w:tcW w:w="1463" w:type="dxa"/>
            <w:hideMark/>
          </w:tcPr>
          <w:p w14:paraId="705FFF4A"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67080F34" w14:textId="77777777" w:rsidTr="00391854">
        <w:trPr>
          <w:trHeight w:val="300"/>
        </w:trPr>
        <w:tc>
          <w:tcPr>
            <w:tcW w:w="1697" w:type="dxa"/>
            <w:hideMark/>
          </w:tcPr>
          <w:p w14:paraId="61BFF108" w14:textId="77777777" w:rsidR="000A152B" w:rsidRPr="00901194" w:rsidRDefault="000A152B" w:rsidP="000A152B">
            <w:pPr>
              <w:spacing w:line="240" w:lineRule="auto"/>
              <w:rPr>
                <w:rFonts w:cs="Times New Roman"/>
              </w:rPr>
            </w:pPr>
            <w:r w:rsidRPr="00901194">
              <w:rPr>
                <w:rFonts w:cs="Times New Roman"/>
              </w:rPr>
              <w:t>SV73</w:t>
            </w:r>
          </w:p>
        </w:tc>
        <w:tc>
          <w:tcPr>
            <w:tcW w:w="1530" w:type="dxa"/>
            <w:hideMark/>
          </w:tcPr>
          <w:p w14:paraId="1B8EA31D" w14:textId="77777777" w:rsidR="000A152B" w:rsidRPr="00901194" w:rsidRDefault="000A152B" w:rsidP="000A152B">
            <w:pPr>
              <w:spacing w:line="240" w:lineRule="auto"/>
              <w:rPr>
                <w:rFonts w:cs="Times New Roman"/>
              </w:rPr>
            </w:pPr>
            <w:r w:rsidRPr="00901194">
              <w:rPr>
                <w:rFonts w:cs="Times New Roman"/>
              </w:rPr>
              <w:t>Sweet potato</w:t>
            </w:r>
          </w:p>
        </w:tc>
        <w:tc>
          <w:tcPr>
            <w:tcW w:w="2438" w:type="dxa"/>
            <w:hideMark/>
          </w:tcPr>
          <w:p w14:paraId="4A1455E4" w14:textId="77777777" w:rsidR="000A152B" w:rsidRPr="00901194" w:rsidRDefault="000A152B" w:rsidP="000A152B">
            <w:pPr>
              <w:spacing w:line="240" w:lineRule="auto"/>
              <w:rPr>
                <w:rFonts w:cs="Times New Roman"/>
                <w:i/>
                <w:iCs/>
              </w:rPr>
            </w:pPr>
            <w:r w:rsidRPr="00901194">
              <w:rPr>
                <w:rFonts w:cs="Times New Roman"/>
                <w:i/>
                <w:iCs/>
              </w:rPr>
              <w:t>Ipomaea batatas</w:t>
            </w:r>
          </w:p>
        </w:tc>
        <w:tc>
          <w:tcPr>
            <w:tcW w:w="1108" w:type="dxa"/>
            <w:hideMark/>
          </w:tcPr>
          <w:p w14:paraId="092FFB2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10C39DAE"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B84D5C2" w14:textId="77777777" w:rsidR="000A152B" w:rsidRPr="00901194" w:rsidRDefault="000A152B" w:rsidP="000A152B">
            <w:pPr>
              <w:spacing w:line="240" w:lineRule="auto"/>
              <w:rPr>
                <w:rFonts w:cs="Times New Roman"/>
              </w:rPr>
            </w:pPr>
            <w:r w:rsidRPr="00901194">
              <w:rPr>
                <w:rFonts w:cs="Times New Roman"/>
              </w:rPr>
              <w:t>Tuber</w:t>
            </w:r>
          </w:p>
        </w:tc>
        <w:tc>
          <w:tcPr>
            <w:tcW w:w="1463" w:type="dxa"/>
            <w:hideMark/>
          </w:tcPr>
          <w:p w14:paraId="72093A22"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89129A6" w14:textId="77777777" w:rsidTr="00391854">
        <w:trPr>
          <w:trHeight w:val="300"/>
        </w:trPr>
        <w:tc>
          <w:tcPr>
            <w:tcW w:w="1697" w:type="dxa"/>
            <w:hideMark/>
          </w:tcPr>
          <w:p w14:paraId="3B3C2A9D" w14:textId="77777777" w:rsidR="000A152B" w:rsidRPr="00901194" w:rsidRDefault="000A152B" w:rsidP="000A152B">
            <w:pPr>
              <w:spacing w:line="240" w:lineRule="auto"/>
              <w:rPr>
                <w:rFonts w:cs="Times New Roman"/>
              </w:rPr>
            </w:pPr>
            <w:r w:rsidRPr="00901194">
              <w:rPr>
                <w:rFonts w:cs="Times New Roman"/>
              </w:rPr>
              <w:t>SV74</w:t>
            </w:r>
          </w:p>
        </w:tc>
        <w:tc>
          <w:tcPr>
            <w:tcW w:w="1530" w:type="dxa"/>
            <w:hideMark/>
          </w:tcPr>
          <w:p w14:paraId="0E3B9205" w14:textId="77777777" w:rsidR="000A152B" w:rsidRPr="00901194" w:rsidRDefault="000A152B" w:rsidP="000A152B">
            <w:pPr>
              <w:spacing w:line="240" w:lineRule="auto"/>
              <w:rPr>
                <w:rFonts w:cs="Times New Roman"/>
              </w:rPr>
            </w:pPr>
            <w:r w:rsidRPr="00901194">
              <w:rPr>
                <w:rFonts w:cs="Times New Roman"/>
              </w:rPr>
              <w:t xml:space="preserve">Maracuya </w:t>
            </w:r>
          </w:p>
        </w:tc>
        <w:tc>
          <w:tcPr>
            <w:tcW w:w="2438" w:type="dxa"/>
            <w:hideMark/>
          </w:tcPr>
          <w:p w14:paraId="1E5D7A26" w14:textId="77777777" w:rsidR="000A152B" w:rsidRPr="00901194" w:rsidRDefault="000A152B" w:rsidP="000A152B">
            <w:pPr>
              <w:spacing w:line="240" w:lineRule="auto"/>
              <w:rPr>
                <w:rFonts w:cs="Times New Roman"/>
                <w:i/>
                <w:iCs/>
              </w:rPr>
            </w:pPr>
            <w:r w:rsidRPr="00901194">
              <w:rPr>
                <w:rFonts w:cs="Times New Roman"/>
                <w:i/>
                <w:iCs/>
              </w:rPr>
              <w:t>Passiflora edulis</w:t>
            </w:r>
          </w:p>
        </w:tc>
        <w:tc>
          <w:tcPr>
            <w:tcW w:w="1108" w:type="dxa"/>
            <w:hideMark/>
          </w:tcPr>
          <w:p w14:paraId="0323BD5B"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0D23EC5B"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362F1D8D"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488D876D"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8E5B571" w14:textId="77777777" w:rsidTr="00391854">
        <w:trPr>
          <w:trHeight w:val="300"/>
        </w:trPr>
        <w:tc>
          <w:tcPr>
            <w:tcW w:w="1697" w:type="dxa"/>
            <w:hideMark/>
          </w:tcPr>
          <w:p w14:paraId="73F7C953" w14:textId="77777777" w:rsidR="000A152B" w:rsidRPr="00901194" w:rsidRDefault="000A152B" w:rsidP="000A152B">
            <w:pPr>
              <w:spacing w:line="240" w:lineRule="auto"/>
              <w:rPr>
                <w:rFonts w:cs="Times New Roman"/>
              </w:rPr>
            </w:pPr>
            <w:r w:rsidRPr="00901194">
              <w:rPr>
                <w:rFonts w:cs="Times New Roman"/>
              </w:rPr>
              <w:t>SV75</w:t>
            </w:r>
          </w:p>
        </w:tc>
        <w:tc>
          <w:tcPr>
            <w:tcW w:w="1530" w:type="dxa"/>
            <w:hideMark/>
          </w:tcPr>
          <w:p w14:paraId="03F37775" w14:textId="77777777" w:rsidR="000A152B" w:rsidRPr="00901194" w:rsidRDefault="000A152B" w:rsidP="000A152B">
            <w:pPr>
              <w:spacing w:line="240" w:lineRule="auto"/>
              <w:rPr>
                <w:rFonts w:cs="Times New Roman"/>
              </w:rPr>
            </w:pPr>
            <w:r w:rsidRPr="00901194">
              <w:rPr>
                <w:rFonts w:cs="Times New Roman"/>
              </w:rPr>
              <w:t>Guava</w:t>
            </w:r>
          </w:p>
        </w:tc>
        <w:tc>
          <w:tcPr>
            <w:tcW w:w="2438" w:type="dxa"/>
            <w:hideMark/>
          </w:tcPr>
          <w:p w14:paraId="2E3A7230" w14:textId="77777777" w:rsidR="000A152B" w:rsidRPr="00901194" w:rsidRDefault="000A152B" w:rsidP="000A152B">
            <w:pPr>
              <w:spacing w:line="240" w:lineRule="auto"/>
              <w:rPr>
                <w:rFonts w:cs="Times New Roman"/>
                <w:i/>
                <w:iCs/>
              </w:rPr>
            </w:pPr>
            <w:r w:rsidRPr="00901194">
              <w:rPr>
                <w:rFonts w:cs="Times New Roman"/>
                <w:i/>
                <w:iCs/>
              </w:rPr>
              <w:t>Psidium guajava</w:t>
            </w:r>
          </w:p>
        </w:tc>
        <w:tc>
          <w:tcPr>
            <w:tcW w:w="1108" w:type="dxa"/>
            <w:hideMark/>
          </w:tcPr>
          <w:p w14:paraId="133B5523"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663DCDF2"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6C129986"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0989701"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11BD1606" w14:textId="77777777" w:rsidTr="00391854">
        <w:trPr>
          <w:trHeight w:val="300"/>
        </w:trPr>
        <w:tc>
          <w:tcPr>
            <w:tcW w:w="1697" w:type="dxa"/>
            <w:hideMark/>
          </w:tcPr>
          <w:p w14:paraId="3F6E6CBE" w14:textId="77777777" w:rsidR="000A152B" w:rsidRPr="00901194" w:rsidRDefault="000A152B" w:rsidP="000A152B">
            <w:pPr>
              <w:spacing w:line="240" w:lineRule="auto"/>
              <w:rPr>
                <w:rFonts w:cs="Times New Roman"/>
              </w:rPr>
            </w:pPr>
            <w:r w:rsidRPr="00901194">
              <w:rPr>
                <w:rFonts w:cs="Times New Roman"/>
              </w:rPr>
              <w:t>SV76</w:t>
            </w:r>
          </w:p>
        </w:tc>
        <w:tc>
          <w:tcPr>
            <w:tcW w:w="1530" w:type="dxa"/>
            <w:hideMark/>
          </w:tcPr>
          <w:p w14:paraId="0A4E93D0" w14:textId="77777777" w:rsidR="000A152B" w:rsidRPr="00901194" w:rsidRDefault="000A152B" w:rsidP="000A152B">
            <w:pPr>
              <w:spacing w:line="240" w:lineRule="auto"/>
              <w:rPr>
                <w:rFonts w:cs="Times New Roman"/>
              </w:rPr>
            </w:pPr>
            <w:r w:rsidRPr="00901194">
              <w:rPr>
                <w:rFonts w:cs="Times New Roman"/>
              </w:rPr>
              <w:t>Mamey</w:t>
            </w:r>
          </w:p>
        </w:tc>
        <w:tc>
          <w:tcPr>
            <w:tcW w:w="2438" w:type="dxa"/>
            <w:hideMark/>
          </w:tcPr>
          <w:p w14:paraId="03893D6D" w14:textId="77777777" w:rsidR="000A152B" w:rsidRPr="00901194" w:rsidRDefault="000A152B" w:rsidP="000A152B">
            <w:pPr>
              <w:spacing w:line="240" w:lineRule="auto"/>
              <w:rPr>
                <w:rFonts w:cs="Times New Roman"/>
                <w:i/>
                <w:iCs/>
              </w:rPr>
            </w:pPr>
            <w:r w:rsidRPr="00901194">
              <w:rPr>
                <w:rFonts w:cs="Times New Roman"/>
                <w:i/>
                <w:iCs/>
              </w:rPr>
              <w:t>Pouteria sapota</w:t>
            </w:r>
          </w:p>
        </w:tc>
        <w:tc>
          <w:tcPr>
            <w:tcW w:w="1108" w:type="dxa"/>
            <w:hideMark/>
          </w:tcPr>
          <w:p w14:paraId="43062E2D"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F265B4C"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5D89627A"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7A93C36D"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6D4B3BB" w14:textId="77777777" w:rsidTr="00391854">
        <w:trPr>
          <w:trHeight w:val="300"/>
        </w:trPr>
        <w:tc>
          <w:tcPr>
            <w:tcW w:w="1697" w:type="dxa"/>
            <w:hideMark/>
          </w:tcPr>
          <w:p w14:paraId="1E02AD89" w14:textId="77777777" w:rsidR="000A152B" w:rsidRPr="00901194" w:rsidRDefault="000A152B" w:rsidP="000A152B">
            <w:pPr>
              <w:spacing w:line="240" w:lineRule="auto"/>
              <w:rPr>
                <w:rFonts w:cs="Times New Roman"/>
              </w:rPr>
            </w:pPr>
            <w:r w:rsidRPr="00901194">
              <w:rPr>
                <w:rFonts w:cs="Times New Roman"/>
              </w:rPr>
              <w:t>SV77</w:t>
            </w:r>
          </w:p>
        </w:tc>
        <w:tc>
          <w:tcPr>
            <w:tcW w:w="1530" w:type="dxa"/>
            <w:hideMark/>
          </w:tcPr>
          <w:p w14:paraId="67C833F0" w14:textId="77777777" w:rsidR="000A152B" w:rsidRPr="00901194" w:rsidRDefault="000A152B" w:rsidP="000A152B">
            <w:pPr>
              <w:spacing w:line="240" w:lineRule="auto"/>
              <w:rPr>
                <w:rFonts w:cs="Times New Roman"/>
              </w:rPr>
            </w:pPr>
            <w:r w:rsidRPr="00901194">
              <w:rPr>
                <w:rFonts w:cs="Times New Roman"/>
              </w:rPr>
              <w:t>Chicozapote</w:t>
            </w:r>
          </w:p>
        </w:tc>
        <w:tc>
          <w:tcPr>
            <w:tcW w:w="2438" w:type="dxa"/>
            <w:hideMark/>
          </w:tcPr>
          <w:p w14:paraId="067D6FDC" w14:textId="77777777" w:rsidR="000A152B" w:rsidRPr="00901194" w:rsidRDefault="000A152B" w:rsidP="000A152B">
            <w:pPr>
              <w:spacing w:line="240" w:lineRule="auto"/>
              <w:rPr>
                <w:rFonts w:cs="Times New Roman"/>
                <w:i/>
                <w:iCs/>
              </w:rPr>
            </w:pPr>
            <w:r w:rsidRPr="00901194">
              <w:rPr>
                <w:rFonts w:cs="Times New Roman"/>
                <w:i/>
                <w:iCs/>
              </w:rPr>
              <w:t>Manilkara zapotilla</w:t>
            </w:r>
          </w:p>
        </w:tc>
        <w:tc>
          <w:tcPr>
            <w:tcW w:w="1108" w:type="dxa"/>
            <w:hideMark/>
          </w:tcPr>
          <w:p w14:paraId="1538ED18"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43EC5E9A"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5DF60C37"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433F84C1"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7E17947E" w14:textId="77777777" w:rsidTr="00391854">
        <w:trPr>
          <w:trHeight w:val="300"/>
        </w:trPr>
        <w:tc>
          <w:tcPr>
            <w:tcW w:w="1697" w:type="dxa"/>
            <w:hideMark/>
          </w:tcPr>
          <w:p w14:paraId="5900020C" w14:textId="77777777" w:rsidR="000A152B" w:rsidRPr="00901194" w:rsidRDefault="000A152B" w:rsidP="000A152B">
            <w:pPr>
              <w:spacing w:line="240" w:lineRule="auto"/>
              <w:rPr>
                <w:rFonts w:cs="Times New Roman"/>
              </w:rPr>
            </w:pPr>
            <w:r w:rsidRPr="00901194">
              <w:rPr>
                <w:rFonts w:cs="Times New Roman"/>
              </w:rPr>
              <w:t>SV78</w:t>
            </w:r>
          </w:p>
        </w:tc>
        <w:tc>
          <w:tcPr>
            <w:tcW w:w="1530" w:type="dxa"/>
            <w:hideMark/>
          </w:tcPr>
          <w:p w14:paraId="705B5C99" w14:textId="77777777" w:rsidR="000A152B" w:rsidRPr="00901194" w:rsidRDefault="000A152B" w:rsidP="000A152B">
            <w:pPr>
              <w:spacing w:line="240" w:lineRule="auto"/>
              <w:rPr>
                <w:rFonts w:cs="Times New Roman"/>
              </w:rPr>
            </w:pPr>
            <w:r w:rsidRPr="00901194">
              <w:rPr>
                <w:rFonts w:cs="Times New Roman"/>
              </w:rPr>
              <w:t>Honey (bee)</w:t>
            </w:r>
          </w:p>
        </w:tc>
        <w:tc>
          <w:tcPr>
            <w:tcW w:w="2438" w:type="dxa"/>
            <w:hideMark/>
          </w:tcPr>
          <w:p w14:paraId="7BFC5C6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B71E151"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ADDAAAD"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4E9AF47" w14:textId="77777777" w:rsidR="000A152B" w:rsidRPr="00901194" w:rsidRDefault="000A152B" w:rsidP="000A152B">
            <w:pPr>
              <w:spacing w:line="240" w:lineRule="auto"/>
              <w:rPr>
                <w:rFonts w:cs="Times New Roman"/>
              </w:rPr>
            </w:pPr>
            <w:r w:rsidRPr="00901194">
              <w:rPr>
                <w:rFonts w:cs="Times New Roman"/>
              </w:rPr>
              <w:t>Honey</w:t>
            </w:r>
          </w:p>
        </w:tc>
        <w:tc>
          <w:tcPr>
            <w:tcW w:w="1463" w:type="dxa"/>
            <w:hideMark/>
          </w:tcPr>
          <w:p w14:paraId="33F5F728"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948008B" w14:textId="77777777" w:rsidTr="00391854">
        <w:trPr>
          <w:trHeight w:val="300"/>
        </w:trPr>
        <w:tc>
          <w:tcPr>
            <w:tcW w:w="1697" w:type="dxa"/>
            <w:hideMark/>
          </w:tcPr>
          <w:p w14:paraId="69A8933E" w14:textId="77777777" w:rsidR="000A152B" w:rsidRPr="00901194" w:rsidRDefault="000A152B" w:rsidP="000A152B">
            <w:pPr>
              <w:spacing w:line="240" w:lineRule="auto"/>
              <w:rPr>
                <w:rFonts w:cs="Times New Roman"/>
              </w:rPr>
            </w:pPr>
            <w:r w:rsidRPr="00901194">
              <w:rPr>
                <w:rFonts w:cs="Times New Roman"/>
              </w:rPr>
              <w:t>SV79</w:t>
            </w:r>
          </w:p>
        </w:tc>
        <w:tc>
          <w:tcPr>
            <w:tcW w:w="1530" w:type="dxa"/>
            <w:hideMark/>
          </w:tcPr>
          <w:p w14:paraId="032599E7" w14:textId="77777777" w:rsidR="000A152B" w:rsidRPr="00901194" w:rsidRDefault="000A152B" w:rsidP="000A152B">
            <w:pPr>
              <w:spacing w:line="240" w:lineRule="auto"/>
              <w:rPr>
                <w:rFonts w:cs="Times New Roman"/>
              </w:rPr>
            </w:pPr>
            <w:r w:rsidRPr="00901194">
              <w:rPr>
                <w:rFonts w:cs="Times New Roman"/>
              </w:rPr>
              <w:t>Crab</w:t>
            </w:r>
          </w:p>
        </w:tc>
        <w:tc>
          <w:tcPr>
            <w:tcW w:w="2438" w:type="dxa"/>
            <w:hideMark/>
          </w:tcPr>
          <w:p w14:paraId="548DE75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2F1E0AF"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4457AC1"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28832E82" w14:textId="77777777" w:rsidR="000A152B" w:rsidRPr="00901194" w:rsidRDefault="000A152B" w:rsidP="000A152B">
            <w:pPr>
              <w:spacing w:line="240" w:lineRule="auto"/>
              <w:rPr>
                <w:rFonts w:cs="Times New Roman"/>
              </w:rPr>
            </w:pPr>
            <w:r w:rsidRPr="00901194">
              <w:rPr>
                <w:rFonts w:cs="Times New Roman"/>
              </w:rPr>
              <w:t>Meat</w:t>
            </w:r>
          </w:p>
        </w:tc>
        <w:tc>
          <w:tcPr>
            <w:tcW w:w="1463" w:type="dxa"/>
            <w:hideMark/>
          </w:tcPr>
          <w:p w14:paraId="4B9BF663"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5B33CBC5" w14:textId="77777777" w:rsidTr="00391854">
        <w:trPr>
          <w:trHeight w:val="300"/>
        </w:trPr>
        <w:tc>
          <w:tcPr>
            <w:tcW w:w="1697" w:type="dxa"/>
            <w:hideMark/>
          </w:tcPr>
          <w:p w14:paraId="1A49A067" w14:textId="77777777" w:rsidR="000A152B" w:rsidRPr="00901194" w:rsidRDefault="000A152B" w:rsidP="000A152B">
            <w:pPr>
              <w:spacing w:line="240" w:lineRule="auto"/>
              <w:rPr>
                <w:rFonts w:cs="Times New Roman"/>
              </w:rPr>
            </w:pPr>
            <w:r w:rsidRPr="00901194">
              <w:rPr>
                <w:rFonts w:cs="Times New Roman"/>
              </w:rPr>
              <w:t>SV80</w:t>
            </w:r>
          </w:p>
        </w:tc>
        <w:tc>
          <w:tcPr>
            <w:tcW w:w="1530" w:type="dxa"/>
            <w:hideMark/>
          </w:tcPr>
          <w:p w14:paraId="159B42F9" w14:textId="77777777" w:rsidR="000A152B" w:rsidRPr="00901194" w:rsidRDefault="000A152B" w:rsidP="000A152B">
            <w:pPr>
              <w:spacing w:line="240" w:lineRule="auto"/>
              <w:rPr>
                <w:rFonts w:cs="Times New Roman"/>
              </w:rPr>
            </w:pPr>
            <w:r w:rsidRPr="00901194">
              <w:rPr>
                <w:rFonts w:cs="Times New Roman"/>
              </w:rPr>
              <w:t>Shrimp</w:t>
            </w:r>
          </w:p>
        </w:tc>
        <w:tc>
          <w:tcPr>
            <w:tcW w:w="2438" w:type="dxa"/>
            <w:hideMark/>
          </w:tcPr>
          <w:p w14:paraId="0064FCB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D408D91"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7083C246"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09C0F46A" w14:textId="77777777" w:rsidR="000A152B" w:rsidRPr="00901194" w:rsidRDefault="000A152B" w:rsidP="000A152B">
            <w:pPr>
              <w:spacing w:line="240" w:lineRule="auto"/>
              <w:rPr>
                <w:rFonts w:cs="Times New Roman"/>
              </w:rPr>
            </w:pPr>
            <w:r w:rsidRPr="00901194">
              <w:rPr>
                <w:rFonts w:cs="Times New Roman"/>
              </w:rPr>
              <w:t>Meat</w:t>
            </w:r>
          </w:p>
        </w:tc>
        <w:tc>
          <w:tcPr>
            <w:tcW w:w="1463" w:type="dxa"/>
            <w:hideMark/>
          </w:tcPr>
          <w:p w14:paraId="4A6D3916"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6AE18E9" w14:textId="77777777" w:rsidTr="00391854">
        <w:trPr>
          <w:trHeight w:val="300"/>
        </w:trPr>
        <w:tc>
          <w:tcPr>
            <w:tcW w:w="1697" w:type="dxa"/>
            <w:hideMark/>
          </w:tcPr>
          <w:p w14:paraId="6D1D290B" w14:textId="77777777" w:rsidR="000A152B" w:rsidRPr="00901194" w:rsidRDefault="000A152B" w:rsidP="000A152B">
            <w:pPr>
              <w:spacing w:line="240" w:lineRule="auto"/>
              <w:rPr>
                <w:rFonts w:cs="Times New Roman"/>
              </w:rPr>
            </w:pPr>
            <w:r w:rsidRPr="00901194">
              <w:rPr>
                <w:rFonts w:cs="Times New Roman"/>
              </w:rPr>
              <w:t>SV81</w:t>
            </w:r>
          </w:p>
        </w:tc>
        <w:tc>
          <w:tcPr>
            <w:tcW w:w="1530" w:type="dxa"/>
            <w:hideMark/>
          </w:tcPr>
          <w:p w14:paraId="12BC7B18" w14:textId="77777777" w:rsidR="000A152B" w:rsidRPr="00901194" w:rsidRDefault="000A152B" w:rsidP="000A152B">
            <w:pPr>
              <w:spacing w:line="240" w:lineRule="auto"/>
              <w:rPr>
                <w:rFonts w:cs="Times New Roman"/>
              </w:rPr>
            </w:pPr>
            <w:r w:rsidRPr="00901194">
              <w:rPr>
                <w:rFonts w:cs="Times New Roman"/>
              </w:rPr>
              <w:t>Crayfish</w:t>
            </w:r>
          </w:p>
        </w:tc>
        <w:tc>
          <w:tcPr>
            <w:tcW w:w="2438" w:type="dxa"/>
            <w:hideMark/>
          </w:tcPr>
          <w:p w14:paraId="63CAF10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B8C906C" w14:textId="77777777" w:rsidR="000A152B" w:rsidRPr="00901194" w:rsidRDefault="000A152B" w:rsidP="000A152B">
            <w:pPr>
              <w:spacing w:line="240" w:lineRule="auto"/>
              <w:rPr>
                <w:rFonts w:cs="Times New Roman"/>
              </w:rPr>
            </w:pPr>
            <w:r w:rsidRPr="00901194">
              <w:rPr>
                <w:rFonts w:cs="Times New Roman"/>
              </w:rPr>
              <w:t>Mexico</w:t>
            </w:r>
          </w:p>
        </w:tc>
        <w:tc>
          <w:tcPr>
            <w:tcW w:w="2622" w:type="dxa"/>
            <w:hideMark/>
          </w:tcPr>
          <w:p w14:paraId="5A8D7000" w14:textId="77777777" w:rsidR="000A152B" w:rsidRPr="00901194" w:rsidRDefault="000A152B" w:rsidP="000A152B">
            <w:pPr>
              <w:spacing w:line="240" w:lineRule="auto"/>
              <w:rPr>
                <w:rFonts w:cs="Times New Roman"/>
              </w:rPr>
            </w:pPr>
            <w:r w:rsidRPr="00901194">
              <w:rPr>
                <w:rFonts w:cs="Times New Roman"/>
              </w:rPr>
              <w:t>Summer Villahermosa</w:t>
            </w:r>
          </w:p>
        </w:tc>
        <w:tc>
          <w:tcPr>
            <w:tcW w:w="1440" w:type="dxa"/>
            <w:hideMark/>
          </w:tcPr>
          <w:p w14:paraId="7F0E9812" w14:textId="77777777" w:rsidR="000A152B" w:rsidRPr="00901194" w:rsidRDefault="000A152B" w:rsidP="000A152B">
            <w:pPr>
              <w:spacing w:line="240" w:lineRule="auto"/>
              <w:rPr>
                <w:rFonts w:cs="Times New Roman"/>
              </w:rPr>
            </w:pPr>
            <w:r w:rsidRPr="00901194">
              <w:rPr>
                <w:rFonts w:cs="Times New Roman"/>
              </w:rPr>
              <w:t>Meat</w:t>
            </w:r>
          </w:p>
        </w:tc>
        <w:tc>
          <w:tcPr>
            <w:tcW w:w="1463" w:type="dxa"/>
            <w:hideMark/>
          </w:tcPr>
          <w:p w14:paraId="6DECF634" w14:textId="77777777" w:rsidR="000A152B" w:rsidRPr="00901194" w:rsidRDefault="000A152B" w:rsidP="000A152B">
            <w:pPr>
              <w:spacing w:line="240" w:lineRule="auto"/>
              <w:rPr>
                <w:rFonts w:cs="Times New Roman"/>
              </w:rPr>
            </w:pPr>
            <w:r w:rsidRPr="00901194">
              <w:rPr>
                <w:rFonts w:cs="Times New Roman"/>
              </w:rPr>
              <w:t>2006</w:t>
            </w:r>
          </w:p>
        </w:tc>
      </w:tr>
      <w:tr w:rsidR="00796762" w:rsidRPr="00901194" w14:paraId="38E57C7B" w14:textId="77777777" w:rsidTr="00391854">
        <w:trPr>
          <w:trHeight w:val="300"/>
        </w:trPr>
        <w:tc>
          <w:tcPr>
            <w:tcW w:w="1697" w:type="dxa"/>
            <w:hideMark/>
          </w:tcPr>
          <w:p w14:paraId="4FFE6B66" w14:textId="77777777" w:rsidR="000A152B" w:rsidRPr="00901194" w:rsidRDefault="000A152B" w:rsidP="000A152B">
            <w:pPr>
              <w:spacing w:line="240" w:lineRule="auto"/>
              <w:rPr>
                <w:rFonts w:cs="Times New Roman"/>
              </w:rPr>
            </w:pPr>
            <w:r w:rsidRPr="00901194">
              <w:rPr>
                <w:rFonts w:cs="Times New Roman"/>
              </w:rPr>
              <w:lastRenderedPageBreak/>
              <w:t>NM_FT01</w:t>
            </w:r>
          </w:p>
        </w:tc>
        <w:tc>
          <w:tcPr>
            <w:tcW w:w="1530" w:type="dxa"/>
            <w:hideMark/>
          </w:tcPr>
          <w:p w14:paraId="6E6B1034" w14:textId="77777777" w:rsidR="000A152B" w:rsidRPr="00901194" w:rsidRDefault="000A152B" w:rsidP="000A152B">
            <w:pPr>
              <w:spacing w:line="240" w:lineRule="auto"/>
              <w:rPr>
                <w:rFonts w:cs="Times New Roman"/>
              </w:rPr>
            </w:pPr>
            <w:r w:rsidRPr="00901194">
              <w:rPr>
                <w:rFonts w:cs="Times New Roman"/>
              </w:rPr>
              <w:t>Amaranth (red)</w:t>
            </w:r>
          </w:p>
        </w:tc>
        <w:tc>
          <w:tcPr>
            <w:tcW w:w="2438" w:type="dxa"/>
            <w:hideMark/>
          </w:tcPr>
          <w:p w14:paraId="1C59872A"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1A31BDE"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970E3AC"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5ADB1706"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220F1D58"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91E40DB" w14:textId="77777777" w:rsidTr="00391854">
        <w:trPr>
          <w:trHeight w:val="300"/>
        </w:trPr>
        <w:tc>
          <w:tcPr>
            <w:tcW w:w="1697" w:type="dxa"/>
            <w:hideMark/>
          </w:tcPr>
          <w:p w14:paraId="56E54769" w14:textId="77777777" w:rsidR="000A152B" w:rsidRPr="00901194" w:rsidRDefault="000A152B" w:rsidP="000A152B">
            <w:pPr>
              <w:spacing w:line="240" w:lineRule="auto"/>
              <w:rPr>
                <w:rFonts w:cs="Times New Roman"/>
              </w:rPr>
            </w:pPr>
            <w:r w:rsidRPr="00901194">
              <w:rPr>
                <w:rFonts w:cs="Times New Roman"/>
              </w:rPr>
              <w:t>NM_FT03</w:t>
            </w:r>
          </w:p>
        </w:tc>
        <w:tc>
          <w:tcPr>
            <w:tcW w:w="1530" w:type="dxa"/>
            <w:hideMark/>
          </w:tcPr>
          <w:p w14:paraId="34F160FC" w14:textId="77777777" w:rsidR="000A152B" w:rsidRPr="00901194" w:rsidRDefault="000A152B" w:rsidP="000A152B">
            <w:pPr>
              <w:spacing w:line="240" w:lineRule="auto"/>
              <w:rPr>
                <w:rFonts w:cs="Times New Roman"/>
              </w:rPr>
            </w:pPr>
            <w:r w:rsidRPr="00901194">
              <w:rPr>
                <w:rFonts w:cs="Times New Roman"/>
              </w:rPr>
              <w:t>Amaranth (red)</w:t>
            </w:r>
          </w:p>
        </w:tc>
        <w:tc>
          <w:tcPr>
            <w:tcW w:w="2438" w:type="dxa"/>
            <w:hideMark/>
          </w:tcPr>
          <w:p w14:paraId="2B227538"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3F7BEBB"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25D0086"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4E9E06F"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0B53CE4E"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641013D" w14:textId="77777777" w:rsidTr="00391854">
        <w:trPr>
          <w:trHeight w:val="300"/>
        </w:trPr>
        <w:tc>
          <w:tcPr>
            <w:tcW w:w="1697" w:type="dxa"/>
            <w:hideMark/>
          </w:tcPr>
          <w:p w14:paraId="08AAE615" w14:textId="77777777" w:rsidR="000A152B" w:rsidRPr="00901194" w:rsidRDefault="000A152B" w:rsidP="000A152B">
            <w:pPr>
              <w:spacing w:line="240" w:lineRule="auto"/>
              <w:rPr>
                <w:rFonts w:cs="Times New Roman"/>
              </w:rPr>
            </w:pPr>
            <w:r w:rsidRPr="00901194">
              <w:rPr>
                <w:rFonts w:cs="Times New Roman"/>
              </w:rPr>
              <w:t>NM_FT06</w:t>
            </w:r>
          </w:p>
        </w:tc>
        <w:tc>
          <w:tcPr>
            <w:tcW w:w="1530" w:type="dxa"/>
            <w:hideMark/>
          </w:tcPr>
          <w:p w14:paraId="1F4962E9" w14:textId="77777777" w:rsidR="000A152B" w:rsidRPr="00901194" w:rsidRDefault="000A152B" w:rsidP="000A152B">
            <w:pPr>
              <w:spacing w:line="240" w:lineRule="auto"/>
              <w:rPr>
                <w:rFonts w:cs="Times New Roman"/>
              </w:rPr>
            </w:pPr>
            <w:r w:rsidRPr="00901194">
              <w:rPr>
                <w:rFonts w:cs="Times New Roman"/>
              </w:rPr>
              <w:t>Amaranth (red)</w:t>
            </w:r>
          </w:p>
        </w:tc>
        <w:tc>
          <w:tcPr>
            <w:tcW w:w="2438" w:type="dxa"/>
            <w:hideMark/>
          </w:tcPr>
          <w:p w14:paraId="5D644FB9"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C534632"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1B8CBC6"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96E3C14"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55039A3D"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E247A20" w14:textId="77777777" w:rsidTr="00391854">
        <w:trPr>
          <w:trHeight w:val="300"/>
        </w:trPr>
        <w:tc>
          <w:tcPr>
            <w:tcW w:w="1697" w:type="dxa"/>
            <w:hideMark/>
          </w:tcPr>
          <w:p w14:paraId="06D923EE" w14:textId="77777777" w:rsidR="000A152B" w:rsidRPr="00901194" w:rsidRDefault="000A152B" w:rsidP="000A152B">
            <w:pPr>
              <w:spacing w:line="240" w:lineRule="auto"/>
              <w:rPr>
                <w:rFonts w:cs="Times New Roman"/>
              </w:rPr>
            </w:pPr>
            <w:r w:rsidRPr="00901194">
              <w:rPr>
                <w:rFonts w:cs="Times New Roman"/>
              </w:rPr>
              <w:t>NM_FT08</w:t>
            </w:r>
          </w:p>
        </w:tc>
        <w:tc>
          <w:tcPr>
            <w:tcW w:w="1530" w:type="dxa"/>
            <w:hideMark/>
          </w:tcPr>
          <w:p w14:paraId="53441FBA" w14:textId="77777777" w:rsidR="000A152B" w:rsidRPr="00901194" w:rsidRDefault="000A152B" w:rsidP="000A152B">
            <w:pPr>
              <w:spacing w:line="240" w:lineRule="auto"/>
              <w:rPr>
                <w:rFonts w:cs="Times New Roman"/>
              </w:rPr>
            </w:pPr>
            <w:r w:rsidRPr="00901194">
              <w:rPr>
                <w:rFonts w:cs="Times New Roman"/>
              </w:rPr>
              <w:t>Wild spinach</w:t>
            </w:r>
          </w:p>
        </w:tc>
        <w:tc>
          <w:tcPr>
            <w:tcW w:w="2438" w:type="dxa"/>
            <w:hideMark/>
          </w:tcPr>
          <w:p w14:paraId="7781FA3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069BD91"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39A4191"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FD1FBA4"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45AFA39C"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663FAEB" w14:textId="77777777" w:rsidTr="00391854">
        <w:trPr>
          <w:trHeight w:val="300"/>
        </w:trPr>
        <w:tc>
          <w:tcPr>
            <w:tcW w:w="1697" w:type="dxa"/>
            <w:hideMark/>
          </w:tcPr>
          <w:p w14:paraId="586E1163" w14:textId="77777777" w:rsidR="000A152B" w:rsidRPr="00901194" w:rsidRDefault="000A152B" w:rsidP="000A152B">
            <w:pPr>
              <w:spacing w:line="240" w:lineRule="auto"/>
              <w:rPr>
                <w:rFonts w:cs="Times New Roman"/>
              </w:rPr>
            </w:pPr>
            <w:r w:rsidRPr="00901194">
              <w:rPr>
                <w:rFonts w:cs="Times New Roman"/>
              </w:rPr>
              <w:t>NM_FT15</w:t>
            </w:r>
          </w:p>
        </w:tc>
        <w:tc>
          <w:tcPr>
            <w:tcW w:w="1530" w:type="dxa"/>
            <w:hideMark/>
          </w:tcPr>
          <w:p w14:paraId="119DF53C" w14:textId="77777777" w:rsidR="000A152B" w:rsidRPr="00901194" w:rsidRDefault="000A152B" w:rsidP="000A152B">
            <w:pPr>
              <w:spacing w:line="240" w:lineRule="auto"/>
              <w:rPr>
                <w:rFonts w:cs="Times New Roman"/>
              </w:rPr>
            </w:pPr>
            <w:r w:rsidRPr="00901194">
              <w:rPr>
                <w:rFonts w:cs="Times New Roman"/>
              </w:rPr>
              <w:t>Wild spinach</w:t>
            </w:r>
          </w:p>
        </w:tc>
        <w:tc>
          <w:tcPr>
            <w:tcW w:w="2438" w:type="dxa"/>
            <w:hideMark/>
          </w:tcPr>
          <w:p w14:paraId="73D5B258"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827D8F8"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BBB9DCD"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7A1970A"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1D2C451C"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4DC9598" w14:textId="77777777" w:rsidTr="00391854">
        <w:trPr>
          <w:trHeight w:val="300"/>
        </w:trPr>
        <w:tc>
          <w:tcPr>
            <w:tcW w:w="1697" w:type="dxa"/>
            <w:hideMark/>
          </w:tcPr>
          <w:p w14:paraId="049DE89C" w14:textId="77777777" w:rsidR="000A152B" w:rsidRPr="00901194" w:rsidRDefault="000A152B" w:rsidP="000A152B">
            <w:pPr>
              <w:spacing w:line="240" w:lineRule="auto"/>
              <w:rPr>
                <w:rFonts w:cs="Times New Roman"/>
              </w:rPr>
            </w:pPr>
            <w:r w:rsidRPr="00901194">
              <w:rPr>
                <w:rFonts w:cs="Times New Roman"/>
              </w:rPr>
              <w:t>NM_FT16</w:t>
            </w:r>
          </w:p>
        </w:tc>
        <w:tc>
          <w:tcPr>
            <w:tcW w:w="1530" w:type="dxa"/>
            <w:hideMark/>
          </w:tcPr>
          <w:p w14:paraId="38F156FA" w14:textId="77777777" w:rsidR="000A152B" w:rsidRPr="00901194" w:rsidRDefault="000A152B" w:rsidP="000A152B">
            <w:pPr>
              <w:spacing w:line="240" w:lineRule="auto"/>
              <w:rPr>
                <w:rFonts w:cs="Times New Roman"/>
              </w:rPr>
            </w:pPr>
            <w:r w:rsidRPr="00901194">
              <w:rPr>
                <w:rFonts w:cs="Times New Roman"/>
              </w:rPr>
              <w:t>Mesquite</w:t>
            </w:r>
          </w:p>
        </w:tc>
        <w:tc>
          <w:tcPr>
            <w:tcW w:w="2438" w:type="dxa"/>
            <w:hideMark/>
          </w:tcPr>
          <w:p w14:paraId="1DA2986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1BD6A42"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AA21A5A"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7D9C744" w14:textId="77777777" w:rsidR="000A152B" w:rsidRPr="00901194" w:rsidRDefault="000A152B" w:rsidP="000A152B">
            <w:pPr>
              <w:spacing w:line="240" w:lineRule="auto"/>
              <w:rPr>
                <w:rFonts w:cs="Times New Roman"/>
              </w:rPr>
            </w:pPr>
            <w:r w:rsidRPr="00901194">
              <w:rPr>
                <w:rFonts w:cs="Times New Roman"/>
              </w:rPr>
              <w:t>Ground-up</w:t>
            </w:r>
          </w:p>
        </w:tc>
        <w:tc>
          <w:tcPr>
            <w:tcW w:w="1463" w:type="dxa"/>
            <w:hideMark/>
          </w:tcPr>
          <w:p w14:paraId="18BE3AA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162B6A8" w14:textId="77777777" w:rsidTr="00391854">
        <w:trPr>
          <w:trHeight w:val="300"/>
        </w:trPr>
        <w:tc>
          <w:tcPr>
            <w:tcW w:w="1697" w:type="dxa"/>
            <w:hideMark/>
          </w:tcPr>
          <w:p w14:paraId="2D63D744" w14:textId="77777777" w:rsidR="000A152B" w:rsidRPr="00901194" w:rsidRDefault="000A152B" w:rsidP="000A152B">
            <w:pPr>
              <w:spacing w:line="240" w:lineRule="auto"/>
              <w:rPr>
                <w:rFonts w:cs="Times New Roman"/>
              </w:rPr>
            </w:pPr>
            <w:r w:rsidRPr="00901194">
              <w:rPr>
                <w:rFonts w:cs="Times New Roman"/>
              </w:rPr>
              <w:t>NM_FT18</w:t>
            </w:r>
          </w:p>
        </w:tc>
        <w:tc>
          <w:tcPr>
            <w:tcW w:w="1530" w:type="dxa"/>
            <w:hideMark/>
          </w:tcPr>
          <w:p w14:paraId="6A460685" w14:textId="77777777" w:rsidR="000A152B" w:rsidRPr="00901194" w:rsidRDefault="000A152B" w:rsidP="000A152B">
            <w:pPr>
              <w:spacing w:line="240" w:lineRule="auto"/>
              <w:rPr>
                <w:rFonts w:cs="Times New Roman"/>
              </w:rPr>
            </w:pPr>
            <w:r w:rsidRPr="00901194">
              <w:rPr>
                <w:rFonts w:cs="Times New Roman"/>
              </w:rPr>
              <w:t>Indian rice</w:t>
            </w:r>
          </w:p>
        </w:tc>
        <w:tc>
          <w:tcPr>
            <w:tcW w:w="2438" w:type="dxa"/>
            <w:hideMark/>
          </w:tcPr>
          <w:p w14:paraId="1B750CB6"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4756746"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707DB5E"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3779790" w14:textId="77777777" w:rsidR="000A152B" w:rsidRPr="00901194" w:rsidRDefault="000A152B" w:rsidP="000A152B">
            <w:pPr>
              <w:spacing w:line="240" w:lineRule="auto"/>
              <w:rPr>
                <w:rFonts w:cs="Times New Roman"/>
              </w:rPr>
            </w:pPr>
            <w:r w:rsidRPr="00901194">
              <w:rPr>
                <w:rFonts w:cs="Times New Roman"/>
              </w:rPr>
              <w:t>Grain</w:t>
            </w:r>
          </w:p>
        </w:tc>
        <w:tc>
          <w:tcPr>
            <w:tcW w:w="1463" w:type="dxa"/>
            <w:hideMark/>
          </w:tcPr>
          <w:p w14:paraId="7DFE5729"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62F661D" w14:textId="77777777" w:rsidTr="00391854">
        <w:trPr>
          <w:trHeight w:val="300"/>
        </w:trPr>
        <w:tc>
          <w:tcPr>
            <w:tcW w:w="1697" w:type="dxa"/>
            <w:hideMark/>
          </w:tcPr>
          <w:p w14:paraId="6306211F" w14:textId="77777777" w:rsidR="000A152B" w:rsidRPr="00901194" w:rsidRDefault="000A152B" w:rsidP="000A152B">
            <w:pPr>
              <w:spacing w:line="240" w:lineRule="auto"/>
              <w:rPr>
                <w:rFonts w:cs="Times New Roman"/>
              </w:rPr>
            </w:pPr>
            <w:r w:rsidRPr="00901194">
              <w:rPr>
                <w:rFonts w:cs="Times New Roman"/>
              </w:rPr>
              <w:t>NM_FT20</w:t>
            </w:r>
          </w:p>
        </w:tc>
        <w:tc>
          <w:tcPr>
            <w:tcW w:w="1530" w:type="dxa"/>
            <w:hideMark/>
          </w:tcPr>
          <w:p w14:paraId="7D319725" w14:textId="77777777" w:rsidR="000A152B" w:rsidRPr="00901194" w:rsidRDefault="000A152B" w:rsidP="000A152B">
            <w:pPr>
              <w:spacing w:line="240" w:lineRule="auto"/>
              <w:rPr>
                <w:rFonts w:cs="Times New Roman"/>
              </w:rPr>
            </w:pPr>
            <w:r w:rsidRPr="00901194">
              <w:rPr>
                <w:rFonts w:cs="Times New Roman"/>
              </w:rPr>
              <w:t>Rocky mountain beeweed</w:t>
            </w:r>
          </w:p>
        </w:tc>
        <w:tc>
          <w:tcPr>
            <w:tcW w:w="2438" w:type="dxa"/>
            <w:hideMark/>
          </w:tcPr>
          <w:p w14:paraId="7280746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4FF81E4"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926F141"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60213E6"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18C2046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15AA9B10" w14:textId="77777777" w:rsidTr="00391854">
        <w:trPr>
          <w:trHeight w:val="300"/>
        </w:trPr>
        <w:tc>
          <w:tcPr>
            <w:tcW w:w="1697" w:type="dxa"/>
            <w:hideMark/>
          </w:tcPr>
          <w:p w14:paraId="436D550E" w14:textId="77777777" w:rsidR="000A152B" w:rsidRPr="00901194" w:rsidRDefault="000A152B" w:rsidP="000A152B">
            <w:pPr>
              <w:spacing w:line="240" w:lineRule="auto"/>
              <w:rPr>
                <w:rFonts w:cs="Times New Roman"/>
              </w:rPr>
            </w:pPr>
            <w:r w:rsidRPr="00901194">
              <w:rPr>
                <w:rFonts w:cs="Times New Roman"/>
              </w:rPr>
              <w:t>NM_FT23</w:t>
            </w:r>
          </w:p>
        </w:tc>
        <w:tc>
          <w:tcPr>
            <w:tcW w:w="1530" w:type="dxa"/>
            <w:hideMark/>
          </w:tcPr>
          <w:p w14:paraId="5464D0DA" w14:textId="77777777" w:rsidR="000A152B" w:rsidRPr="00901194" w:rsidRDefault="000A152B" w:rsidP="000A152B">
            <w:pPr>
              <w:spacing w:line="240" w:lineRule="auto"/>
              <w:rPr>
                <w:rFonts w:cs="Times New Roman"/>
              </w:rPr>
            </w:pPr>
            <w:r w:rsidRPr="00901194">
              <w:rPr>
                <w:rFonts w:cs="Times New Roman"/>
              </w:rPr>
              <w:t>Rocky mountain beeweed</w:t>
            </w:r>
          </w:p>
        </w:tc>
        <w:tc>
          <w:tcPr>
            <w:tcW w:w="2438" w:type="dxa"/>
            <w:hideMark/>
          </w:tcPr>
          <w:p w14:paraId="3AAD2213"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F00F571"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2D4AEEB"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447300F" w14:textId="77777777" w:rsidR="000A152B" w:rsidRPr="00901194" w:rsidRDefault="000A152B" w:rsidP="000A152B">
            <w:pPr>
              <w:spacing w:line="240" w:lineRule="auto"/>
              <w:rPr>
                <w:rFonts w:cs="Times New Roman"/>
              </w:rPr>
            </w:pPr>
            <w:r w:rsidRPr="00901194">
              <w:rPr>
                <w:rFonts w:cs="Times New Roman"/>
              </w:rPr>
              <w:t>Flower</w:t>
            </w:r>
          </w:p>
        </w:tc>
        <w:tc>
          <w:tcPr>
            <w:tcW w:w="1463" w:type="dxa"/>
            <w:hideMark/>
          </w:tcPr>
          <w:p w14:paraId="2A0B7C41"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EF4E705" w14:textId="77777777" w:rsidTr="00391854">
        <w:trPr>
          <w:trHeight w:val="300"/>
        </w:trPr>
        <w:tc>
          <w:tcPr>
            <w:tcW w:w="1697" w:type="dxa"/>
            <w:hideMark/>
          </w:tcPr>
          <w:p w14:paraId="4D0B794C" w14:textId="77777777" w:rsidR="000A152B" w:rsidRPr="00901194" w:rsidRDefault="000A152B" w:rsidP="000A152B">
            <w:pPr>
              <w:spacing w:line="240" w:lineRule="auto"/>
              <w:rPr>
                <w:rFonts w:cs="Times New Roman"/>
              </w:rPr>
            </w:pPr>
            <w:r w:rsidRPr="00901194">
              <w:rPr>
                <w:rFonts w:cs="Times New Roman"/>
              </w:rPr>
              <w:t>NM_FT24</w:t>
            </w:r>
          </w:p>
        </w:tc>
        <w:tc>
          <w:tcPr>
            <w:tcW w:w="1530" w:type="dxa"/>
            <w:hideMark/>
          </w:tcPr>
          <w:p w14:paraId="4C393332" w14:textId="77777777" w:rsidR="000A152B" w:rsidRPr="00901194" w:rsidRDefault="000A152B" w:rsidP="000A152B">
            <w:pPr>
              <w:spacing w:line="240" w:lineRule="auto"/>
              <w:rPr>
                <w:rFonts w:cs="Times New Roman"/>
              </w:rPr>
            </w:pPr>
            <w:r w:rsidRPr="00901194">
              <w:rPr>
                <w:rFonts w:cs="Times New Roman"/>
              </w:rPr>
              <w:t>Purslane</w:t>
            </w:r>
          </w:p>
        </w:tc>
        <w:tc>
          <w:tcPr>
            <w:tcW w:w="2438" w:type="dxa"/>
            <w:hideMark/>
          </w:tcPr>
          <w:p w14:paraId="496DF628"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A893313"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C7931E0"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07B2D46"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4084BA89"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BE8CB7F" w14:textId="77777777" w:rsidTr="00391854">
        <w:trPr>
          <w:trHeight w:val="300"/>
        </w:trPr>
        <w:tc>
          <w:tcPr>
            <w:tcW w:w="1697" w:type="dxa"/>
            <w:hideMark/>
          </w:tcPr>
          <w:p w14:paraId="544F8F12" w14:textId="77777777" w:rsidR="000A152B" w:rsidRPr="00901194" w:rsidRDefault="000A152B" w:rsidP="000A152B">
            <w:pPr>
              <w:spacing w:line="240" w:lineRule="auto"/>
              <w:rPr>
                <w:rFonts w:cs="Times New Roman"/>
              </w:rPr>
            </w:pPr>
            <w:r w:rsidRPr="00901194">
              <w:rPr>
                <w:rFonts w:cs="Times New Roman"/>
              </w:rPr>
              <w:t>NM_FT26</w:t>
            </w:r>
          </w:p>
        </w:tc>
        <w:tc>
          <w:tcPr>
            <w:tcW w:w="1530" w:type="dxa"/>
            <w:hideMark/>
          </w:tcPr>
          <w:p w14:paraId="0B3080BB" w14:textId="77777777" w:rsidR="000A152B" w:rsidRPr="00901194" w:rsidRDefault="000A152B" w:rsidP="000A152B">
            <w:pPr>
              <w:spacing w:line="240" w:lineRule="auto"/>
              <w:rPr>
                <w:rFonts w:cs="Times New Roman"/>
              </w:rPr>
            </w:pPr>
            <w:r w:rsidRPr="00901194">
              <w:rPr>
                <w:rFonts w:cs="Times New Roman"/>
              </w:rPr>
              <w:t>Purslane</w:t>
            </w:r>
          </w:p>
        </w:tc>
        <w:tc>
          <w:tcPr>
            <w:tcW w:w="2438" w:type="dxa"/>
            <w:hideMark/>
          </w:tcPr>
          <w:p w14:paraId="5EC73B95"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C459F12"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5F42425"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21B7887"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22EBD220"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0C8C72E" w14:textId="77777777" w:rsidTr="00391854">
        <w:trPr>
          <w:trHeight w:val="300"/>
        </w:trPr>
        <w:tc>
          <w:tcPr>
            <w:tcW w:w="1697" w:type="dxa"/>
            <w:hideMark/>
          </w:tcPr>
          <w:p w14:paraId="3CD3B7FB" w14:textId="77777777" w:rsidR="000A152B" w:rsidRPr="00901194" w:rsidRDefault="000A152B" w:rsidP="000A152B">
            <w:pPr>
              <w:spacing w:line="240" w:lineRule="auto"/>
              <w:rPr>
                <w:rFonts w:cs="Times New Roman"/>
              </w:rPr>
            </w:pPr>
            <w:r w:rsidRPr="00901194">
              <w:rPr>
                <w:rFonts w:cs="Times New Roman"/>
              </w:rPr>
              <w:t>NM_FT28</w:t>
            </w:r>
          </w:p>
        </w:tc>
        <w:tc>
          <w:tcPr>
            <w:tcW w:w="1530" w:type="dxa"/>
            <w:hideMark/>
          </w:tcPr>
          <w:p w14:paraId="2145E0CB" w14:textId="77777777" w:rsidR="000A152B" w:rsidRPr="00901194" w:rsidRDefault="000A152B" w:rsidP="000A152B">
            <w:pPr>
              <w:spacing w:line="240" w:lineRule="auto"/>
              <w:rPr>
                <w:rFonts w:cs="Times New Roman"/>
              </w:rPr>
            </w:pPr>
            <w:r w:rsidRPr="00901194">
              <w:rPr>
                <w:rFonts w:cs="Times New Roman"/>
              </w:rPr>
              <w:t>Dandelion</w:t>
            </w:r>
          </w:p>
        </w:tc>
        <w:tc>
          <w:tcPr>
            <w:tcW w:w="2438" w:type="dxa"/>
            <w:hideMark/>
          </w:tcPr>
          <w:p w14:paraId="10CD7F9A"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6A4DEBC"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E019714"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E0DD0BA" w14:textId="77777777" w:rsidR="000A152B" w:rsidRPr="00901194" w:rsidRDefault="000A152B" w:rsidP="000A152B">
            <w:pPr>
              <w:spacing w:line="240" w:lineRule="auto"/>
              <w:rPr>
                <w:rFonts w:cs="Times New Roman"/>
              </w:rPr>
            </w:pPr>
            <w:r w:rsidRPr="00901194">
              <w:rPr>
                <w:rFonts w:cs="Times New Roman"/>
              </w:rPr>
              <w:t>Flower</w:t>
            </w:r>
          </w:p>
        </w:tc>
        <w:tc>
          <w:tcPr>
            <w:tcW w:w="1463" w:type="dxa"/>
            <w:hideMark/>
          </w:tcPr>
          <w:p w14:paraId="030D5028"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B9CD726" w14:textId="77777777" w:rsidTr="00391854">
        <w:trPr>
          <w:trHeight w:val="300"/>
        </w:trPr>
        <w:tc>
          <w:tcPr>
            <w:tcW w:w="1697" w:type="dxa"/>
            <w:hideMark/>
          </w:tcPr>
          <w:p w14:paraId="218DEF7B" w14:textId="77777777" w:rsidR="000A152B" w:rsidRPr="00901194" w:rsidRDefault="000A152B" w:rsidP="000A152B">
            <w:pPr>
              <w:spacing w:line="240" w:lineRule="auto"/>
              <w:rPr>
                <w:rFonts w:cs="Times New Roman"/>
              </w:rPr>
            </w:pPr>
            <w:r w:rsidRPr="00901194">
              <w:rPr>
                <w:rFonts w:cs="Times New Roman"/>
              </w:rPr>
              <w:t>NM_FT30</w:t>
            </w:r>
          </w:p>
        </w:tc>
        <w:tc>
          <w:tcPr>
            <w:tcW w:w="1530" w:type="dxa"/>
            <w:hideMark/>
          </w:tcPr>
          <w:p w14:paraId="5D28FBE7" w14:textId="77777777" w:rsidR="000A152B" w:rsidRPr="00901194" w:rsidRDefault="000A152B" w:rsidP="000A152B">
            <w:pPr>
              <w:spacing w:line="240" w:lineRule="auto"/>
              <w:rPr>
                <w:rFonts w:cs="Times New Roman"/>
              </w:rPr>
            </w:pPr>
            <w:r w:rsidRPr="00901194">
              <w:rPr>
                <w:rFonts w:cs="Times New Roman"/>
              </w:rPr>
              <w:t>Dandelion</w:t>
            </w:r>
          </w:p>
        </w:tc>
        <w:tc>
          <w:tcPr>
            <w:tcW w:w="2438" w:type="dxa"/>
            <w:hideMark/>
          </w:tcPr>
          <w:p w14:paraId="0854ABE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354893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4D213FA6"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F93AB62"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2F228D8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76CED2E" w14:textId="77777777" w:rsidTr="00391854">
        <w:trPr>
          <w:trHeight w:val="300"/>
        </w:trPr>
        <w:tc>
          <w:tcPr>
            <w:tcW w:w="1697" w:type="dxa"/>
            <w:hideMark/>
          </w:tcPr>
          <w:p w14:paraId="2AF6BBDA" w14:textId="77777777" w:rsidR="000A152B" w:rsidRPr="00901194" w:rsidRDefault="000A152B" w:rsidP="000A152B">
            <w:pPr>
              <w:spacing w:line="240" w:lineRule="auto"/>
              <w:rPr>
                <w:rFonts w:cs="Times New Roman"/>
              </w:rPr>
            </w:pPr>
            <w:r w:rsidRPr="00901194">
              <w:rPr>
                <w:rFonts w:cs="Times New Roman"/>
              </w:rPr>
              <w:t>NM_FT31</w:t>
            </w:r>
          </w:p>
        </w:tc>
        <w:tc>
          <w:tcPr>
            <w:tcW w:w="1530" w:type="dxa"/>
            <w:hideMark/>
          </w:tcPr>
          <w:p w14:paraId="56915503" w14:textId="77777777" w:rsidR="000A152B" w:rsidRPr="00901194" w:rsidRDefault="000A152B" w:rsidP="000A152B">
            <w:pPr>
              <w:spacing w:line="240" w:lineRule="auto"/>
              <w:rPr>
                <w:rFonts w:cs="Times New Roman"/>
              </w:rPr>
            </w:pPr>
            <w:r w:rsidRPr="00901194">
              <w:rPr>
                <w:rFonts w:cs="Times New Roman"/>
              </w:rPr>
              <w:t>Dandelion</w:t>
            </w:r>
          </w:p>
        </w:tc>
        <w:tc>
          <w:tcPr>
            <w:tcW w:w="2438" w:type="dxa"/>
            <w:hideMark/>
          </w:tcPr>
          <w:p w14:paraId="2077447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A8B0E35"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3ACD3D4"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8475E47"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64F8CA11"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B992AAA" w14:textId="77777777" w:rsidTr="00391854">
        <w:trPr>
          <w:trHeight w:val="300"/>
        </w:trPr>
        <w:tc>
          <w:tcPr>
            <w:tcW w:w="1697" w:type="dxa"/>
            <w:hideMark/>
          </w:tcPr>
          <w:p w14:paraId="68D3D2FA" w14:textId="77777777" w:rsidR="000A152B" w:rsidRPr="00901194" w:rsidRDefault="000A152B" w:rsidP="000A152B">
            <w:pPr>
              <w:spacing w:line="240" w:lineRule="auto"/>
              <w:rPr>
                <w:rFonts w:cs="Times New Roman"/>
              </w:rPr>
            </w:pPr>
            <w:r w:rsidRPr="00901194">
              <w:rPr>
                <w:rFonts w:cs="Times New Roman"/>
              </w:rPr>
              <w:lastRenderedPageBreak/>
              <w:t>NM_FT32</w:t>
            </w:r>
          </w:p>
        </w:tc>
        <w:tc>
          <w:tcPr>
            <w:tcW w:w="1530" w:type="dxa"/>
            <w:hideMark/>
          </w:tcPr>
          <w:p w14:paraId="2151B5C9" w14:textId="77777777" w:rsidR="000A152B" w:rsidRPr="00901194" w:rsidRDefault="000A152B" w:rsidP="000A152B">
            <w:pPr>
              <w:spacing w:line="240" w:lineRule="auto"/>
              <w:rPr>
                <w:rFonts w:cs="Times New Roman"/>
              </w:rPr>
            </w:pPr>
            <w:r w:rsidRPr="00901194">
              <w:rPr>
                <w:rFonts w:cs="Times New Roman"/>
              </w:rPr>
              <w:t>Pigweed</w:t>
            </w:r>
          </w:p>
        </w:tc>
        <w:tc>
          <w:tcPr>
            <w:tcW w:w="2438" w:type="dxa"/>
            <w:hideMark/>
          </w:tcPr>
          <w:p w14:paraId="56B7A840"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EBE7CFC"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4CCDB24D"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A3E1D40" w14:textId="77777777" w:rsidR="000A152B" w:rsidRPr="00901194" w:rsidRDefault="000A152B" w:rsidP="000A152B">
            <w:pPr>
              <w:spacing w:line="240" w:lineRule="auto"/>
              <w:rPr>
                <w:rFonts w:cs="Times New Roman"/>
              </w:rPr>
            </w:pPr>
            <w:r w:rsidRPr="00901194">
              <w:rPr>
                <w:rFonts w:cs="Times New Roman"/>
              </w:rPr>
              <w:t>Spiny leaf</w:t>
            </w:r>
          </w:p>
        </w:tc>
        <w:tc>
          <w:tcPr>
            <w:tcW w:w="1463" w:type="dxa"/>
            <w:hideMark/>
          </w:tcPr>
          <w:p w14:paraId="0BF4DB99"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607E448" w14:textId="77777777" w:rsidTr="00391854">
        <w:trPr>
          <w:trHeight w:val="300"/>
        </w:trPr>
        <w:tc>
          <w:tcPr>
            <w:tcW w:w="1697" w:type="dxa"/>
            <w:hideMark/>
          </w:tcPr>
          <w:p w14:paraId="4E068A6F" w14:textId="77777777" w:rsidR="000A152B" w:rsidRPr="00901194" w:rsidRDefault="000A152B" w:rsidP="000A152B">
            <w:pPr>
              <w:spacing w:line="240" w:lineRule="auto"/>
              <w:rPr>
                <w:rFonts w:cs="Times New Roman"/>
              </w:rPr>
            </w:pPr>
            <w:r w:rsidRPr="00901194">
              <w:rPr>
                <w:rFonts w:cs="Times New Roman"/>
              </w:rPr>
              <w:t>NM_FT34</w:t>
            </w:r>
          </w:p>
        </w:tc>
        <w:tc>
          <w:tcPr>
            <w:tcW w:w="1530" w:type="dxa"/>
            <w:hideMark/>
          </w:tcPr>
          <w:p w14:paraId="6BF99385" w14:textId="77777777" w:rsidR="000A152B" w:rsidRPr="00901194" w:rsidRDefault="000A152B" w:rsidP="000A152B">
            <w:pPr>
              <w:spacing w:line="240" w:lineRule="auto"/>
              <w:rPr>
                <w:rFonts w:cs="Times New Roman"/>
              </w:rPr>
            </w:pPr>
            <w:r w:rsidRPr="00901194">
              <w:rPr>
                <w:rFonts w:cs="Times New Roman"/>
              </w:rPr>
              <w:t>Pigweed</w:t>
            </w:r>
          </w:p>
        </w:tc>
        <w:tc>
          <w:tcPr>
            <w:tcW w:w="2438" w:type="dxa"/>
            <w:hideMark/>
          </w:tcPr>
          <w:p w14:paraId="609D554B"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EDE0161"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5E7A5A0"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52C9DE97"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256D1D40"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D783DCB" w14:textId="77777777" w:rsidTr="00391854">
        <w:trPr>
          <w:trHeight w:val="300"/>
        </w:trPr>
        <w:tc>
          <w:tcPr>
            <w:tcW w:w="1697" w:type="dxa"/>
            <w:hideMark/>
          </w:tcPr>
          <w:p w14:paraId="57CD9BA9" w14:textId="77777777" w:rsidR="000A152B" w:rsidRPr="00901194" w:rsidRDefault="000A152B" w:rsidP="000A152B">
            <w:pPr>
              <w:spacing w:line="240" w:lineRule="auto"/>
              <w:rPr>
                <w:rFonts w:cs="Times New Roman"/>
              </w:rPr>
            </w:pPr>
            <w:r w:rsidRPr="00901194">
              <w:rPr>
                <w:rFonts w:cs="Times New Roman"/>
              </w:rPr>
              <w:t>NM_FT36</w:t>
            </w:r>
          </w:p>
        </w:tc>
        <w:tc>
          <w:tcPr>
            <w:tcW w:w="1530" w:type="dxa"/>
            <w:hideMark/>
          </w:tcPr>
          <w:p w14:paraId="05D985C1" w14:textId="77777777" w:rsidR="000A152B" w:rsidRPr="00901194" w:rsidRDefault="000A152B" w:rsidP="000A152B">
            <w:pPr>
              <w:spacing w:line="240" w:lineRule="auto"/>
              <w:rPr>
                <w:rFonts w:cs="Times New Roman"/>
              </w:rPr>
            </w:pPr>
            <w:r w:rsidRPr="00901194">
              <w:rPr>
                <w:rFonts w:cs="Times New Roman"/>
              </w:rPr>
              <w:t>Pigweed</w:t>
            </w:r>
          </w:p>
        </w:tc>
        <w:tc>
          <w:tcPr>
            <w:tcW w:w="2438" w:type="dxa"/>
            <w:hideMark/>
          </w:tcPr>
          <w:p w14:paraId="04ECEB0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001EC1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4CB5286"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729B78B"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167339AC"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139F991C" w14:textId="77777777" w:rsidTr="00391854">
        <w:trPr>
          <w:trHeight w:val="300"/>
        </w:trPr>
        <w:tc>
          <w:tcPr>
            <w:tcW w:w="1697" w:type="dxa"/>
            <w:hideMark/>
          </w:tcPr>
          <w:p w14:paraId="68E78B6E" w14:textId="77777777" w:rsidR="000A152B" w:rsidRPr="00901194" w:rsidRDefault="000A152B" w:rsidP="000A152B">
            <w:pPr>
              <w:spacing w:line="240" w:lineRule="auto"/>
              <w:rPr>
                <w:rFonts w:cs="Times New Roman"/>
              </w:rPr>
            </w:pPr>
            <w:r w:rsidRPr="00901194">
              <w:rPr>
                <w:rFonts w:cs="Times New Roman"/>
              </w:rPr>
              <w:t>NM_FT37</w:t>
            </w:r>
          </w:p>
        </w:tc>
        <w:tc>
          <w:tcPr>
            <w:tcW w:w="1530" w:type="dxa"/>
            <w:hideMark/>
          </w:tcPr>
          <w:p w14:paraId="15DCF060" w14:textId="77777777" w:rsidR="000A152B" w:rsidRPr="00901194" w:rsidRDefault="000A152B" w:rsidP="000A152B">
            <w:pPr>
              <w:spacing w:line="240" w:lineRule="auto"/>
              <w:rPr>
                <w:rFonts w:cs="Times New Roman"/>
              </w:rPr>
            </w:pPr>
            <w:r w:rsidRPr="00901194">
              <w:rPr>
                <w:rFonts w:cs="Times New Roman"/>
              </w:rPr>
              <w:t>Artichoke</w:t>
            </w:r>
          </w:p>
        </w:tc>
        <w:tc>
          <w:tcPr>
            <w:tcW w:w="2438" w:type="dxa"/>
            <w:hideMark/>
          </w:tcPr>
          <w:p w14:paraId="57FE5E8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47E3298"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867D63A"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2921CDB" w14:textId="77777777" w:rsidR="000A152B" w:rsidRPr="00901194" w:rsidRDefault="000A152B" w:rsidP="000A152B">
            <w:pPr>
              <w:spacing w:line="240" w:lineRule="auto"/>
              <w:rPr>
                <w:rFonts w:cs="Times New Roman"/>
              </w:rPr>
            </w:pPr>
            <w:r w:rsidRPr="00901194">
              <w:rPr>
                <w:rFonts w:cs="Times New Roman"/>
              </w:rPr>
              <w:t>Root</w:t>
            </w:r>
          </w:p>
        </w:tc>
        <w:tc>
          <w:tcPr>
            <w:tcW w:w="1463" w:type="dxa"/>
            <w:hideMark/>
          </w:tcPr>
          <w:p w14:paraId="0A69B05D"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DA630B2" w14:textId="77777777" w:rsidTr="00391854">
        <w:trPr>
          <w:trHeight w:val="300"/>
        </w:trPr>
        <w:tc>
          <w:tcPr>
            <w:tcW w:w="1697" w:type="dxa"/>
            <w:hideMark/>
          </w:tcPr>
          <w:p w14:paraId="6CC178EC" w14:textId="77777777" w:rsidR="000A152B" w:rsidRPr="00901194" w:rsidRDefault="000A152B" w:rsidP="000A152B">
            <w:pPr>
              <w:spacing w:line="240" w:lineRule="auto"/>
              <w:rPr>
                <w:rFonts w:cs="Times New Roman"/>
              </w:rPr>
            </w:pPr>
            <w:r w:rsidRPr="00901194">
              <w:rPr>
                <w:rFonts w:cs="Times New Roman"/>
              </w:rPr>
              <w:t>NM_FT39</w:t>
            </w:r>
          </w:p>
        </w:tc>
        <w:tc>
          <w:tcPr>
            <w:tcW w:w="1530" w:type="dxa"/>
            <w:hideMark/>
          </w:tcPr>
          <w:p w14:paraId="5548E6F3" w14:textId="77777777" w:rsidR="000A152B" w:rsidRPr="00901194" w:rsidRDefault="000A152B" w:rsidP="000A152B">
            <w:pPr>
              <w:spacing w:line="240" w:lineRule="auto"/>
              <w:rPr>
                <w:rFonts w:cs="Times New Roman"/>
              </w:rPr>
            </w:pPr>
            <w:r w:rsidRPr="00901194">
              <w:rPr>
                <w:rFonts w:cs="Times New Roman"/>
              </w:rPr>
              <w:t>Tomatillo (round)</w:t>
            </w:r>
          </w:p>
        </w:tc>
        <w:tc>
          <w:tcPr>
            <w:tcW w:w="2438" w:type="dxa"/>
            <w:hideMark/>
          </w:tcPr>
          <w:p w14:paraId="68D0E3C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0BFFC0D"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0354AA0"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77CB60A" w14:textId="77777777" w:rsidR="000A152B" w:rsidRPr="00901194" w:rsidRDefault="000A152B" w:rsidP="000A152B">
            <w:pPr>
              <w:spacing w:line="240" w:lineRule="auto"/>
              <w:rPr>
                <w:rFonts w:cs="Times New Roman"/>
              </w:rPr>
            </w:pPr>
            <w:r w:rsidRPr="00901194">
              <w:rPr>
                <w:rFonts w:cs="Times New Roman"/>
              </w:rPr>
              <w:t>Bulb</w:t>
            </w:r>
          </w:p>
        </w:tc>
        <w:tc>
          <w:tcPr>
            <w:tcW w:w="1463" w:type="dxa"/>
            <w:hideMark/>
          </w:tcPr>
          <w:p w14:paraId="7660764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0D763C3" w14:textId="77777777" w:rsidTr="00391854">
        <w:trPr>
          <w:trHeight w:val="300"/>
        </w:trPr>
        <w:tc>
          <w:tcPr>
            <w:tcW w:w="1697" w:type="dxa"/>
            <w:hideMark/>
          </w:tcPr>
          <w:p w14:paraId="1BA711C8" w14:textId="77777777" w:rsidR="000A152B" w:rsidRPr="00901194" w:rsidRDefault="000A152B" w:rsidP="000A152B">
            <w:pPr>
              <w:spacing w:line="240" w:lineRule="auto"/>
              <w:rPr>
                <w:rFonts w:cs="Times New Roman"/>
              </w:rPr>
            </w:pPr>
            <w:r w:rsidRPr="00901194">
              <w:rPr>
                <w:rFonts w:cs="Times New Roman"/>
              </w:rPr>
              <w:t>NM_FT40</w:t>
            </w:r>
          </w:p>
        </w:tc>
        <w:tc>
          <w:tcPr>
            <w:tcW w:w="1530" w:type="dxa"/>
            <w:hideMark/>
          </w:tcPr>
          <w:p w14:paraId="7361D588" w14:textId="77777777" w:rsidR="000A152B" w:rsidRPr="00901194" w:rsidRDefault="000A152B" w:rsidP="000A152B">
            <w:pPr>
              <w:spacing w:line="240" w:lineRule="auto"/>
              <w:rPr>
                <w:rFonts w:cs="Times New Roman"/>
              </w:rPr>
            </w:pPr>
            <w:r w:rsidRPr="00901194">
              <w:rPr>
                <w:rFonts w:cs="Times New Roman"/>
              </w:rPr>
              <w:t>Tomatillo (round)</w:t>
            </w:r>
          </w:p>
        </w:tc>
        <w:tc>
          <w:tcPr>
            <w:tcW w:w="2438" w:type="dxa"/>
            <w:hideMark/>
          </w:tcPr>
          <w:p w14:paraId="0B49C53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82047F8"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975BF45"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537B387"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34EF0674"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EE137DF" w14:textId="77777777" w:rsidTr="00391854">
        <w:trPr>
          <w:trHeight w:val="300"/>
        </w:trPr>
        <w:tc>
          <w:tcPr>
            <w:tcW w:w="1697" w:type="dxa"/>
            <w:hideMark/>
          </w:tcPr>
          <w:p w14:paraId="721AFE96" w14:textId="77777777" w:rsidR="000A152B" w:rsidRPr="00901194" w:rsidRDefault="000A152B" w:rsidP="000A152B">
            <w:pPr>
              <w:spacing w:line="240" w:lineRule="auto"/>
              <w:rPr>
                <w:rFonts w:cs="Times New Roman"/>
              </w:rPr>
            </w:pPr>
            <w:r w:rsidRPr="00901194">
              <w:rPr>
                <w:rFonts w:cs="Times New Roman"/>
              </w:rPr>
              <w:t>NM_FT42</w:t>
            </w:r>
          </w:p>
        </w:tc>
        <w:tc>
          <w:tcPr>
            <w:tcW w:w="1530" w:type="dxa"/>
            <w:hideMark/>
          </w:tcPr>
          <w:p w14:paraId="10A5BD07" w14:textId="77777777" w:rsidR="000A152B" w:rsidRPr="00901194" w:rsidRDefault="000A152B" w:rsidP="000A152B">
            <w:pPr>
              <w:spacing w:line="240" w:lineRule="auto"/>
              <w:rPr>
                <w:rFonts w:cs="Times New Roman"/>
              </w:rPr>
            </w:pPr>
            <w:r w:rsidRPr="00901194">
              <w:rPr>
                <w:rFonts w:cs="Times New Roman"/>
              </w:rPr>
              <w:t>Tomatillo (long)</w:t>
            </w:r>
          </w:p>
        </w:tc>
        <w:tc>
          <w:tcPr>
            <w:tcW w:w="2438" w:type="dxa"/>
            <w:hideMark/>
          </w:tcPr>
          <w:p w14:paraId="415164D3"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A95BDB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D9C88ED"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93DA558" w14:textId="77777777" w:rsidR="000A152B" w:rsidRPr="00901194" w:rsidRDefault="000A152B" w:rsidP="000A152B">
            <w:pPr>
              <w:spacing w:line="240" w:lineRule="auto"/>
              <w:rPr>
                <w:rFonts w:cs="Times New Roman"/>
              </w:rPr>
            </w:pPr>
            <w:r w:rsidRPr="00901194">
              <w:rPr>
                <w:rFonts w:cs="Times New Roman"/>
              </w:rPr>
              <w:t>Bulb</w:t>
            </w:r>
          </w:p>
        </w:tc>
        <w:tc>
          <w:tcPr>
            <w:tcW w:w="1463" w:type="dxa"/>
            <w:hideMark/>
          </w:tcPr>
          <w:p w14:paraId="5CFCF21D"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27D1CF7" w14:textId="77777777" w:rsidTr="00391854">
        <w:trPr>
          <w:trHeight w:val="300"/>
        </w:trPr>
        <w:tc>
          <w:tcPr>
            <w:tcW w:w="1697" w:type="dxa"/>
            <w:hideMark/>
          </w:tcPr>
          <w:p w14:paraId="51295115" w14:textId="77777777" w:rsidR="000A152B" w:rsidRPr="00901194" w:rsidRDefault="000A152B" w:rsidP="000A152B">
            <w:pPr>
              <w:spacing w:line="240" w:lineRule="auto"/>
              <w:rPr>
                <w:rFonts w:cs="Times New Roman"/>
              </w:rPr>
            </w:pPr>
            <w:r w:rsidRPr="00901194">
              <w:rPr>
                <w:rFonts w:cs="Times New Roman"/>
              </w:rPr>
              <w:t>NM_FT43</w:t>
            </w:r>
          </w:p>
        </w:tc>
        <w:tc>
          <w:tcPr>
            <w:tcW w:w="1530" w:type="dxa"/>
            <w:hideMark/>
          </w:tcPr>
          <w:p w14:paraId="39188233" w14:textId="77777777" w:rsidR="000A152B" w:rsidRPr="00901194" w:rsidRDefault="000A152B" w:rsidP="000A152B">
            <w:pPr>
              <w:spacing w:line="240" w:lineRule="auto"/>
              <w:rPr>
                <w:rFonts w:cs="Times New Roman"/>
              </w:rPr>
            </w:pPr>
            <w:r w:rsidRPr="00901194">
              <w:rPr>
                <w:rFonts w:cs="Times New Roman"/>
              </w:rPr>
              <w:t>Tomatillo (long)</w:t>
            </w:r>
          </w:p>
        </w:tc>
        <w:tc>
          <w:tcPr>
            <w:tcW w:w="2438" w:type="dxa"/>
            <w:hideMark/>
          </w:tcPr>
          <w:p w14:paraId="7C47A3C2"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3624362"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4BBFF4D2"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E1FFD8C"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4C4EB4D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4763942" w14:textId="77777777" w:rsidTr="00391854">
        <w:trPr>
          <w:trHeight w:val="300"/>
        </w:trPr>
        <w:tc>
          <w:tcPr>
            <w:tcW w:w="1697" w:type="dxa"/>
            <w:hideMark/>
          </w:tcPr>
          <w:p w14:paraId="14CCD652" w14:textId="77777777" w:rsidR="000A152B" w:rsidRPr="00901194" w:rsidRDefault="000A152B" w:rsidP="000A152B">
            <w:pPr>
              <w:spacing w:line="240" w:lineRule="auto"/>
              <w:rPr>
                <w:rFonts w:cs="Times New Roman"/>
              </w:rPr>
            </w:pPr>
            <w:r w:rsidRPr="00901194">
              <w:rPr>
                <w:rFonts w:cs="Times New Roman"/>
              </w:rPr>
              <w:t>NM_FT44</w:t>
            </w:r>
          </w:p>
        </w:tc>
        <w:tc>
          <w:tcPr>
            <w:tcW w:w="1530" w:type="dxa"/>
            <w:hideMark/>
          </w:tcPr>
          <w:p w14:paraId="1146D02D" w14:textId="77777777" w:rsidR="000A152B" w:rsidRPr="00901194" w:rsidRDefault="000A152B" w:rsidP="000A152B">
            <w:pPr>
              <w:spacing w:line="240" w:lineRule="auto"/>
              <w:rPr>
                <w:rFonts w:cs="Times New Roman"/>
              </w:rPr>
            </w:pPr>
            <w:r w:rsidRPr="00901194">
              <w:rPr>
                <w:rFonts w:cs="Times New Roman"/>
              </w:rPr>
              <w:t>Tomatillo (long)</w:t>
            </w:r>
          </w:p>
        </w:tc>
        <w:tc>
          <w:tcPr>
            <w:tcW w:w="2438" w:type="dxa"/>
            <w:hideMark/>
          </w:tcPr>
          <w:p w14:paraId="64AD044B"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C8AA90E"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4E8468EF"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8BA736A"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33EA7423"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EE52AA0" w14:textId="77777777" w:rsidTr="00391854">
        <w:trPr>
          <w:trHeight w:val="300"/>
        </w:trPr>
        <w:tc>
          <w:tcPr>
            <w:tcW w:w="1697" w:type="dxa"/>
            <w:hideMark/>
          </w:tcPr>
          <w:p w14:paraId="067F6AF4" w14:textId="77777777" w:rsidR="000A152B" w:rsidRPr="00901194" w:rsidRDefault="000A152B" w:rsidP="000A152B">
            <w:pPr>
              <w:spacing w:line="240" w:lineRule="auto"/>
              <w:rPr>
                <w:rFonts w:cs="Times New Roman"/>
              </w:rPr>
            </w:pPr>
            <w:r w:rsidRPr="00901194">
              <w:rPr>
                <w:rFonts w:cs="Times New Roman"/>
              </w:rPr>
              <w:t>NM_FT45</w:t>
            </w:r>
          </w:p>
        </w:tc>
        <w:tc>
          <w:tcPr>
            <w:tcW w:w="1530" w:type="dxa"/>
            <w:hideMark/>
          </w:tcPr>
          <w:p w14:paraId="6136BB2D" w14:textId="77777777" w:rsidR="000A152B" w:rsidRPr="00901194" w:rsidRDefault="000A152B" w:rsidP="000A152B">
            <w:pPr>
              <w:spacing w:line="240" w:lineRule="auto"/>
              <w:rPr>
                <w:rFonts w:cs="Times New Roman"/>
              </w:rPr>
            </w:pPr>
            <w:r w:rsidRPr="00901194">
              <w:rPr>
                <w:rFonts w:cs="Times New Roman"/>
              </w:rPr>
              <w:t>Cushaw</w:t>
            </w:r>
          </w:p>
        </w:tc>
        <w:tc>
          <w:tcPr>
            <w:tcW w:w="2438" w:type="dxa"/>
            <w:hideMark/>
          </w:tcPr>
          <w:p w14:paraId="0BB79175"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C53DC65"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83ACC95"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2C74B51" w14:textId="77777777" w:rsidR="000A152B" w:rsidRPr="00901194" w:rsidRDefault="000A152B" w:rsidP="000A152B">
            <w:pPr>
              <w:spacing w:line="240" w:lineRule="auto"/>
              <w:rPr>
                <w:rFonts w:cs="Times New Roman"/>
              </w:rPr>
            </w:pPr>
            <w:r w:rsidRPr="00901194">
              <w:rPr>
                <w:rFonts w:cs="Times New Roman"/>
              </w:rPr>
              <w:t>Flesh</w:t>
            </w:r>
          </w:p>
        </w:tc>
        <w:tc>
          <w:tcPr>
            <w:tcW w:w="1463" w:type="dxa"/>
            <w:hideMark/>
          </w:tcPr>
          <w:p w14:paraId="12A13E71"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208E5A1" w14:textId="77777777" w:rsidTr="00391854">
        <w:trPr>
          <w:trHeight w:val="300"/>
        </w:trPr>
        <w:tc>
          <w:tcPr>
            <w:tcW w:w="1697" w:type="dxa"/>
            <w:hideMark/>
          </w:tcPr>
          <w:p w14:paraId="48A11118" w14:textId="77777777" w:rsidR="000A152B" w:rsidRPr="00901194" w:rsidRDefault="000A152B" w:rsidP="000A152B">
            <w:pPr>
              <w:spacing w:line="240" w:lineRule="auto"/>
              <w:rPr>
                <w:rFonts w:cs="Times New Roman"/>
              </w:rPr>
            </w:pPr>
            <w:r w:rsidRPr="00901194">
              <w:rPr>
                <w:rFonts w:cs="Times New Roman"/>
              </w:rPr>
              <w:t>NM_FT46</w:t>
            </w:r>
          </w:p>
        </w:tc>
        <w:tc>
          <w:tcPr>
            <w:tcW w:w="1530" w:type="dxa"/>
            <w:hideMark/>
          </w:tcPr>
          <w:p w14:paraId="66199ECE" w14:textId="77777777" w:rsidR="000A152B" w:rsidRPr="00901194" w:rsidRDefault="000A152B" w:rsidP="000A152B">
            <w:pPr>
              <w:spacing w:line="240" w:lineRule="auto"/>
              <w:rPr>
                <w:rFonts w:cs="Times New Roman"/>
              </w:rPr>
            </w:pPr>
            <w:r w:rsidRPr="00901194">
              <w:rPr>
                <w:rFonts w:cs="Times New Roman"/>
              </w:rPr>
              <w:t>Cushaw</w:t>
            </w:r>
          </w:p>
        </w:tc>
        <w:tc>
          <w:tcPr>
            <w:tcW w:w="2438" w:type="dxa"/>
            <w:hideMark/>
          </w:tcPr>
          <w:p w14:paraId="7FEE43E9"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2B0443E"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F36EF70"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98C91B4"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10BE5D2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B215627" w14:textId="77777777" w:rsidTr="00391854">
        <w:trPr>
          <w:trHeight w:val="300"/>
        </w:trPr>
        <w:tc>
          <w:tcPr>
            <w:tcW w:w="1697" w:type="dxa"/>
            <w:hideMark/>
          </w:tcPr>
          <w:p w14:paraId="5A5E355E" w14:textId="77777777" w:rsidR="000A152B" w:rsidRPr="00901194" w:rsidRDefault="000A152B" w:rsidP="000A152B">
            <w:pPr>
              <w:spacing w:line="240" w:lineRule="auto"/>
              <w:rPr>
                <w:rFonts w:cs="Times New Roman"/>
              </w:rPr>
            </w:pPr>
            <w:r w:rsidRPr="00901194">
              <w:rPr>
                <w:rFonts w:cs="Times New Roman"/>
              </w:rPr>
              <w:t>NM_FT47</w:t>
            </w:r>
          </w:p>
        </w:tc>
        <w:tc>
          <w:tcPr>
            <w:tcW w:w="1530" w:type="dxa"/>
            <w:hideMark/>
          </w:tcPr>
          <w:p w14:paraId="6B3235EE" w14:textId="77777777" w:rsidR="000A152B" w:rsidRPr="00901194" w:rsidRDefault="000A152B" w:rsidP="000A152B">
            <w:pPr>
              <w:spacing w:line="240" w:lineRule="auto"/>
              <w:rPr>
                <w:rFonts w:cs="Times New Roman"/>
              </w:rPr>
            </w:pPr>
            <w:r w:rsidRPr="00901194">
              <w:rPr>
                <w:rFonts w:cs="Times New Roman"/>
              </w:rPr>
              <w:t>Dried squash</w:t>
            </w:r>
          </w:p>
        </w:tc>
        <w:tc>
          <w:tcPr>
            <w:tcW w:w="2438" w:type="dxa"/>
            <w:hideMark/>
          </w:tcPr>
          <w:p w14:paraId="004BE30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A52194D"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AA185ED"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19BACFD" w14:textId="77777777" w:rsidR="000A152B" w:rsidRPr="00901194" w:rsidRDefault="000A152B" w:rsidP="000A152B">
            <w:pPr>
              <w:spacing w:line="240" w:lineRule="auto"/>
              <w:rPr>
                <w:rFonts w:cs="Times New Roman"/>
              </w:rPr>
            </w:pPr>
            <w:r w:rsidRPr="00901194">
              <w:rPr>
                <w:rFonts w:cs="Times New Roman"/>
              </w:rPr>
              <w:t>Flesh</w:t>
            </w:r>
          </w:p>
        </w:tc>
        <w:tc>
          <w:tcPr>
            <w:tcW w:w="1463" w:type="dxa"/>
            <w:hideMark/>
          </w:tcPr>
          <w:p w14:paraId="2C484239"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E649454" w14:textId="77777777" w:rsidTr="00391854">
        <w:trPr>
          <w:trHeight w:val="300"/>
        </w:trPr>
        <w:tc>
          <w:tcPr>
            <w:tcW w:w="1697" w:type="dxa"/>
            <w:hideMark/>
          </w:tcPr>
          <w:p w14:paraId="78F30103" w14:textId="77777777" w:rsidR="000A152B" w:rsidRPr="00901194" w:rsidRDefault="000A152B" w:rsidP="000A152B">
            <w:pPr>
              <w:spacing w:line="240" w:lineRule="auto"/>
              <w:rPr>
                <w:rFonts w:cs="Times New Roman"/>
              </w:rPr>
            </w:pPr>
            <w:r w:rsidRPr="00901194">
              <w:rPr>
                <w:rFonts w:cs="Times New Roman"/>
              </w:rPr>
              <w:t>NM_FT49</w:t>
            </w:r>
          </w:p>
        </w:tc>
        <w:tc>
          <w:tcPr>
            <w:tcW w:w="1530" w:type="dxa"/>
            <w:hideMark/>
          </w:tcPr>
          <w:p w14:paraId="1D7AD132" w14:textId="77777777" w:rsidR="000A152B" w:rsidRPr="00901194" w:rsidRDefault="000A152B" w:rsidP="000A152B">
            <w:pPr>
              <w:spacing w:line="240" w:lineRule="auto"/>
              <w:rPr>
                <w:rFonts w:cs="Times New Roman"/>
              </w:rPr>
            </w:pPr>
            <w:r w:rsidRPr="00901194">
              <w:rPr>
                <w:rFonts w:cs="Times New Roman"/>
              </w:rPr>
              <w:t>Tewa brown-seeded watermelon</w:t>
            </w:r>
          </w:p>
        </w:tc>
        <w:tc>
          <w:tcPr>
            <w:tcW w:w="2438" w:type="dxa"/>
            <w:hideMark/>
          </w:tcPr>
          <w:p w14:paraId="0BB81D72"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14E4D52"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3F91164"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51CF190"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26BD8AF"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1F0B408" w14:textId="77777777" w:rsidTr="00391854">
        <w:trPr>
          <w:trHeight w:val="300"/>
        </w:trPr>
        <w:tc>
          <w:tcPr>
            <w:tcW w:w="1697" w:type="dxa"/>
            <w:hideMark/>
          </w:tcPr>
          <w:p w14:paraId="539B43CA" w14:textId="77777777" w:rsidR="000A152B" w:rsidRPr="00901194" w:rsidRDefault="000A152B" w:rsidP="000A152B">
            <w:pPr>
              <w:spacing w:line="240" w:lineRule="auto"/>
              <w:rPr>
                <w:rFonts w:cs="Times New Roman"/>
              </w:rPr>
            </w:pPr>
            <w:r w:rsidRPr="00901194">
              <w:rPr>
                <w:rFonts w:cs="Times New Roman"/>
              </w:rPr>
              <w:t>NM_FT50</w:t>
            </w:r>
          </w:p>
        </w:tc>
        <w:tc>
          <w:tcPr>
            <w:tcW w:w="1530" w:type="dxa"/>
            <w:hideMark/>
          </w:tcPr>
          <w:p w14:paraId="06847E18" w14:textId="77777777" w:rsidR="000A152B" w:rsidRPr="00901194" w:rsidRDefault="000A152B" w:rsidP="000A152B">
            <w:pPr>
              <w:spacing w:line="240" w:lineRule="auto"/>
              <w:rPr>
                <w:rFonts w:cs="Times New Roman"/>
              </w:rPr>
            </w:pPr>
            <w:r w:rsidRPr="00901194">
              <w:rPr>
                <w:rFonts w:cs="Times New Roman"/>
              </w:rPr>
              <w:t>Ancient watermelon</w:t>
            </w:r>
          </w:p>
        </w:tc>
        <w:tc>
          <w:tcPr>
            <w:tcW w:w="2438" w:type="dxa"/>
            <w:hideMark/>
          </w:tcPr>
          <w:p w14:paraId="23E60CC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B85E326"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A67F800"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1A217FB"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327EB4F4"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A5E8926" w14:textId="77777777" w:rsidTr="00391854">
        <w:trPr>
          <w:trHeight w:val="300"/>
        </w:trPr>
        <w:tc>
          <w:tcPr>
            <w:tcW w:w="1697" w:type="dxa"/>
            <w:hideMark/>
          </w:tcPr>
          <w:p w14:paraId="4A376402" w14:textId="77777777" w:rsidR="000A152B" w:rsidRPr="00901194" w:rsidRDefault="000A152B" w:rsidP="000A152B">
            <w:pPr>
              <w:spacing w:line="240" w:lineRule="auto"/>
              <w:rPr>
                <w:rFonts w:cs="Times New Roman"/>
              </w:rPr>
            </w:pPr>
            <w:r w:rsidRPr="00901194">
              <w:rPr>
                <w:rFonts w:cs="Times New Roman"/>
              </w:rPr>
              <w:lastRenderedPageBreak/>
              <w:t>NM_FT51</w:t>
            </w:r>
          </w:p>
        </w:tc>
        <w:tc>
          <w:tcPr>
            <w:tcW w:w="1530" w:type="dxa"/>
            <w:hideMark/>
          </w:tcPr>
          <w:p w14:paraId="4A04770B" w14:textId="77777777" w:rsidR="000A152B" w:rsidRPr="00901194" w:rsidRDefault="000A152B" w:rsidP="000A152B">
            <w:pPr>
              <w:spacing w:line="240" w:lineRule="auto"/>
              <w:rPr>
                <w:rFonts w:cs="Times New Roman"/>
              </w:rPr>
            </w:pPr>
            <w:r w:rsidRPr="00901194">
              <w:rPr>
                <w:rFonts w:cs="Times New Roman"/>
              </w:rPr>
              <w:t>Santo Domingo watermelon</w:t>
            </w:r>
          </w:p>
        </w:tc>
        <w:tc>
          <w:tcPr>
            <w:tcW w:w="2438" w:type="dxa"/>
            <w:hideMark/>
          </w:tcPr>
          <w:p w14:paraId="2857C46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A1764DC"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E852EE6"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56652BBC"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024BA0A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1108C42F" w14:textId="77777777" w:rsidTr="00391854">
        <w:trPr>
          <w:trHeight w:val="300"/>
        </w:trPr>
        <w:tc>
          <w:tcPr>
            <w:tcW w:w="1697" w:type="dxa"/>
            <w:hideMark/>
          </w:tcPr>
          <w:p w14:paraId="07C03AEC" w14:textId="77777777" w:rsidR="000A152B" w:rsidRPr="00901194" w:rsidRDefault="000A152B" w:rsidP="000A152B">
            <w:pPr>
              <w:spacing w:line="240" w:lineRule="auto"/>
              <w:rPr>
                <w:rFonts w:cs="Times New Roman"/>
              </w:rPr>
            </w:pPr>
            <w:r w:rsidRPr="00901194">
              <w:rPr>
                <w:rFonts w:cs="Times New Roman"/>
              </w:rPr>
              <w:t>NM_FT52</w:t>
            </w:r>
          </w:p>
        </w:tc>
        <w:tc>
          <w:tcPr>
            <w:tcW w:w="1530" w:type="dxa"/>
            <w:hideMark/>
          </w:tcPr>
          <w:p w14:paraId="74A1181E" w14:textId="77777777" w:rsidR="000A152B" w:rsidRPr="00901194" w:rsidRDefault="000A152B" w:rsidP="000A152B">
            <w:pPr>
              <w:spacing w:line="240" w:lineRule="auto"/>
              <w:rPr>
                <w:rFonts w:cs="Times New Roman"/>
              </w:rPr>
            </w:pPr>
            <w:r w:rsidRPr="00901194">
              <w:rPr>
                <w:rFonts w:cs="Times New Roman"/>
              </w:rPr>
              <w:t>Taos Pueblo Squash</w:t>
            </w:r>
          </w:p>
        </w:tc>
        <w:tc>
          <w:tcPr>
            <w:tcW w:w="2438" w:type="dxa"/>
            <w:hideMark/>
          </w:tcPr>
          <w:p w14:paraId="6327336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1ECD89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63E7D63"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65D191B"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7C98E7FD"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22EC985" w14:textId="77777777" w:rsidTr="00391854">
        <w:trPr>
          <w:trHeight w:val="300"/>
        </w:trPr>
        <w:tc>
          <w:tcPr>
            <w:tcW w:w="1697" w:type="dxa"/>
            <w:hideMark/>
          </w:tcPr>
          <w:p w14:paraId="185AE883" w14:textId="77777777" w:rsidR="000A152B" w:rsidRPr="00901194" w:rsidRDefault="000A152B" w:rsidP="000A152B">
            <w:pPr>
              <w:spacing w:line="240" w:lineRule="auto"/>
              <w:rPr>
                <w:rFonts w:cs="Times New Roman"/>
              </w:rPr>
            </w:pPr>
            <w:r w:rsidRPr="00901194">
              <w:rPr>
                <w:rFonts w:cs="Times New Roman"/>
              </w:rPr>
              <w:t>NM_FT53</w:t>
            </w:r>
          </w:p>
        </w:tc>
        <w:tc>
          <w:tcPr>
            <w:tcW w:w="1530" w:type="dxa"/>
            <w:hideMark/>
          </w:tcPr>
          <w:p w14:paraId="7296AE39" w14:textId="77777777" w:rsidR="000A152B" w:rsidRPr="00901194" w:rsidRDefault="000A152B" w:rsidP="000A152B">
            <w:pPr>
              <w:spacing w:line="240" w:lineRule="auto"/>
              <w:rPr>
                <w:rFonts w:cs="Times New Roman"/>
              </w:rPr>
            </w:pPr>
            <w:r w:rsidRPr="00901194">
              <w:rPr>
                <w:rFonts w:cs="Times New Roman"/>
              </w:rPr>
              <w:t>Pueblo Squash</w:t>
            </w:r>
          </w:p>
        </w:tc>
        <w:tc>
          <w:tcPr>
            <w:tcW w:w="2438" w:type="dxa"/>
            <w:hideMark/>
          </w:tcPr>
          <w:p w14:paraId="19A6A93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9B72543"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21D333C"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54371F7"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7780398"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61F9108" w14:textId="77777777" w:rsidTr="00391854">
        <w:trPr>
          <w:trHeight w:val="300"/>
        </w:trPr>
        <w:tc>
          <w:tcPr>
            <w:tcW w:w="1697" w:type="dxa"/>
            <w:hideMark/>
          </w:tcPr>
          <w:p w14:paraId="57F5AAFD" w14:textId="77777777" w:rsidR="000A152B" w:rsidRPr="00901194" w:rsidRDefault="000A152B" w:rsidP="000A152B">
            <w:pPr>
              <w:spacing w:line="240" w:lineRule="auto"/>
              <w:rPr>
                <w:rFonts w:cs="Times New Roman"/>
              </w:rPr>
            </w:pPr>
            <w:r w:rsidRPr="00901194">
              <w:rPr>
                <w:rFonts w:cs="Times New Roman"/>
              </w:rPr>
              <w:t>NM_FT54</w:t>
            </w:r>
          </w:p>
        </w:tc>
        <w:tc>
          <w:tcPr>
            <w:tcW w:w="1530" w:type="dxa"/>
            <w:hideMark/>
          </w:tcPr>
          <w:p w14:paraId="06AD842F" w14:textId="77777777" w:rsidR="000A152B" w:rsidRPr="00901194" w:rsidRDefault="000A152B" w:rsidP="000A152B">
            <w:pPr>
              <w:spacing w:line="240" w:lineRule="auto"/>
              <w:rPr>
                <w:rFonts w:cs="Times New Roman"/>
              </w:rPr>
            </w:pPr>
            <w:r w:rsidRPr="00901194">
              <w:rPr>
                <w:rFonts w:cs="Times New Roman"/>
              </w:rPr>
              <w:t>Sand cherry</w:t>
            </w:r>
          </w:p>
        </w:tc>
        <w:tc>
          <w:tcPr>
            <w:tcW w:w="2438" w:type="dxa"/>
            <w:hideMark/>
          </w:tcPr>
          <w:p w14:paraId="49B4A22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1BD1938"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E7D4087"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62143F2"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25389101"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CBD0E25" w14:textId="77777777" w:rsidTr="00391854">
        <w:trPr>
          <w:trHeight w:val="300"/>
        </w:trPr>
        <w:tc>
          <w:tcPr>
            <w:tcW w:w="1697" w:type="dxa"/>
            <w:hideMark/>
          </w:tcPr>
          <w:p w14:paraId="040BA631" w14:textId="77777777" w:rsidR="000A152B" w:rsidRPr="00901194" w:rsidRDefault="000A152B" w:rsidP="000A152B">
            <w:pPr>
              <w:spacing w:line="240" w:lineRule="auto"/>
              <w:rPr>
                <w:rFonts w:cs="Times New Roman"/>
              </w:rPr>
            </w:pPr>
            <w:r w:rsidRPr="00901194">
              <w:rPr>
                <w:rFonts w:cs="Times New Roman"/>
              </w:rPr>
              <w:t>NM_FT55</w:t>
            </w:r>
          </w:p>
        </w:tc>
        <w:tc>
          <w:tcPr>
            <w:tcW w:w="1530" w:type="dxa"/>
            <w:hideMark/>
          </w:tcPr>
          <w:p w14:paraId="4DF367D0" w14:textId="77777777" w:rsidR="000A152B" w:rsidRPr="00901194" w:rsidRDefault="000A152B" w:rsidP="000A152B">
            <w:pPr>
              <w:spacing w:line="240" w:lineRule="auto"/>
              <w:rPr>
                <w:rFonts w:cs="Times New Roman"/>
              </w:rPr>
            </w:pPr>
            <w:r w:rsidRPr="00901194">
              <w:rPr>
                <w:rFonts w:cs="Times New Roman"/>
              </w:rPr>
              <w:t>Sand cherry</w:t>
            </w:r>
          </w:p>
        </w:tc>
        <w:tc>
          <w:tcPr>
            <w:tcW w:w="2438" w:type="dxa"/>
            <w:hideMark/>
          </w:tcPr>
          <w:p w14:paraId="0DE2716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3244F69"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3073952"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72EF840"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4FF6739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A28ACE5" w14:textId="77777777" w:rsidTr="00391854">
        <w:trPr>
          <w:trHeight w:val="300"/>
        </w:trPr>
        <w:tc>
          <w:tcPr>
            <w:tcW w:w="1697" w:type="dxa"/>
            <w:hideMark/>
          </w:tcPr>
          <w:p w14:paraId="3BD47450" w14:textId="77777777" w:rsidR="000A152B" w:rsidRPr="00901194" w:rsidRDefault="000A152B" w:rsidP="000A152B">
            <w:pPr>
              <w:spacing w:line="240" w:lineRule="auto"/>
              <w:rPr>
                <w:rFonts w:cs="Times New Roman"/>
              </w:rPr>
            </w:pPr>
            <w:r w:rsidRPr="00901194">
              <w:rPr>
                <w:rFonts w:cs="Times New Roman"/>
              </w:rPr>
              <w:t>NM_FT56</w:t>
            </w:r>
          </w:p>
        </w:tc>
        <w:tc>
          <w:tcPr>
            <w:tcW w:w="1530" w:type="dxa"/>
            <w:hideMark/>
          </w:tcPr>
          <w:p w14:paraId="607EF6DB" w14:textId="77777777" w:rsidR="000A152B" w:rsidRPr="00901194" w:rsidRDefault="000A152B" w:rsidP="000A152B">
            <w:pPr>
              <w:spacing w:line="240" w:lineRule="auto"/>
              <w:rPr>
                <w:rFonts w:cs="Times New Roman"/>
              </w:rPr>
            </w:pPr>
            <w:r w:rsidRPr="00901194">
              <w:rPr>
                <w:rFonts w:cs="Times New Roman"/>
              </w:rPr>
              <w:t>Sand cherry</w:t>
            </w:r>
          </w:p>
        </w:tc>
        <w:tc>
          <w:tcPr>
            <w:tcW w:w="2438" w:type="dxa"/>
            <w:hideMark/>
          </w:tcPr>
          <w:p w14:paraId="01D1089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B42C126"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AF8AF2A"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164BF5E"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610E3C3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1D1401D8" w14:textId="77777777" w:rsidTr="00391854">
        <w:trPr>
          <w:trHeight w:val="300"/>
        </w:trPr>
        <w:tc>
          <w:tcPr>
            <w:tcW w:w="1697" w:type="dxa"/>
            <w:hideMark/>
          </w:tcPr>
          <w:p w14:paraId="057DBFC3" w14:textId="77777777" w:rsidR="000A152B" w:rsidRPr="00901194" w:rsidRDefault="000A152B" w:rsidP="000A152B">
            <w:pPr>
              <w:spacing w:line="240" w:lineRule="auto"/>
              <w:rPr>
                <w:rFonts w:cs="Times New Roman"/>
              </w:rPr>
            </w:pPr>
            <w:r w:rsidRPr="00901194">
              <w:rPr>
                <w:rFonts w:cs="Times New Roman"/>
              </w:rPr>
              <w:t>NM_FT57</w:t>
            </w:r>
          </w:p>
        </w:tc>
        <w:tc>
          <w:tcPr>
            <w:tcW w:w="1530" w:type="dxa"/>
            <w:hideMark/>
          </w:tcPr>
          <w:p w14:paraId="443244FA" w14:textId="77777777" w:rsidR="000A152B" w:rsidRPr="00901194" w:rsidRDefault="000A152B" w:rsidP="000A152B">
            <w:pPr>
              <w:spacing w:line="240" w:lineRule="auto"/>
              <w:rPr>
                <w:rFonts w:cs="Times New Roman"/>
              </w:rPr>
            </w:pPr>
            <w:r w:rsidRPr="00901194">
              <w:rPr>
                <w:rFonts w:cs="Times New Roman"/>
              </w:rPr>
              <w:t>Cultivated raspberry</w:t>
            </w:r>
          </w:p>
        </w:tc>
        <w:tc>
          <w:tcPr>
            <w:tcW w:w="2438" w:type="dxa"/>
            <w:hideMark/>
          </w:tcPr>
          <w:p w14:paraId="578CF9F2"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65D8B8F"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DBFD433"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33C8DE8"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651CCDE7"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07A426E" w14:textId="77777777" w:rsidTr="00391854">
        <w:trPr>
          <w:trHeight w:val="300"/>
        </w:trPr>
        <w:tc>
          <w:tcPr>
            <w:tcW w:w="1697" w:type="dxa"/>
            <w:hideMark/>
          </w:tcPr>
          <w:p w14:paraId="239776AA" w14:textId="77777777" w:rsidR="000A152B" w:rsidRPr="00901194" w:rsidRDefault="000A152B" w:rsidP="000A152B">
            <w:pPr>
              <w:spacing w:line="240" w:lineRule="auto"/>
              <w:rPr>
                <w:rFonts w:cs="Times New Roman"/>
              </w:rPr>
            </w:pPr>
            <w:r w:rsidRPr="00901194">
              <w:rPr>
                <w:rFonts w:cs="Times New Roman"/>
              </w:rPr>
              <w:t>NM_FT59</w:t>
            </w:r>
          </w:p>
        </w:tc>
        <w:tc>
          <w:tcPr>
            <w:tcW w:w="1530" w:type="dxa"/>
            <w:hideMark/>
          </w:tcPr>
          <w:p w14:paraId="04B01E45" w14:textId="77777777" w:rsidR="000A152B" w:rsidRPr="00901194" w:rsidRDefault="000A152B" w:rsidP="000A152B">
            <w:pPr>
              <w:spacing w:line="240" w:lineRule="auto"/>
              <w:rPr>
                <w:rFonts w:cs="Times New Roman"/>
              </w:rPr>
            </w:pPr>
            <w:r w:rsidRPr="00901194">
              <w:rPr>
                <w:rFonts w:cs="Times New Roman"/>
              </w:rPr>
              <w:t>Cultivated currants</w:t>
            </w:r>
          </w:p>
        </w:tc>
        <w:tc>
          <w:tcPr>
            <w:tcW w:w="2438" w:type="dxa"/>
            <w:hideMark/>
          </w:tcPr>
          <w:p w14:paraId="7385ED9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3F9BB35"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4E8FE759"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1AB2E5B" w14:textId="77777777" w:rsidR="000A152B" w:rsidRPr="00901194" w:rsidRDefault="000A152B" w:rsidP="000A152B">
            <w:pPr>
              <w:spacing w:line="240" w:lineRule="auto"/>
              <w:rPr>
                <w:rFonts w:cs="Times New Roman"/>
              </w:rPr>
            </w:pPr>
            <w:r w:rsidRPr="00901194">
              <w:rPr>
                <w:rFonts w:cs="Times New Roman"/>
              </w:rPr>
              <w:t>Berry</w:t>
            </w:r>
          </w:p>
        </w:tc>
        <w:tc>
          <w:tcPr>
            <w:tcW w:w="1463" w:type="dxa"/>
            <w:hideMark/>
          </w:tcPr>
          <w:p w14:paraId="1F1E178D"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3E75497" w14:textId="77777777" w:rsidTr="00391854">
        <w:trPr>
          <w:trHeight w:val="300"/>
        </w:trPr>
        <w:tc>
          <w:tcPr>
            <w:tcW w:w="1697" w:type="dxa"/>
            <w:hideMark/>
          </w:tcPr>
          <w:p w14:paraId="4D536E5F" w14:textId="77777777" w:rsidR="000A152B" w:rsidRPr="00901194" w:rsidRDefault="000A152B" w:rsidP="000A152B">
            <w:pPr>
              <w:spacing w:line="240" w:lineRule="auto"/>
              <w:rPr>
                <w:rFonts w:cs="Times New Roman"/>
              </w:rPr>
            </w:pPr>
            <w:r w:rsidRPr="00901194">
              <w:rPr>
                <w:rFonts w:cs="Times New Roman"/>
              </w:rPr>
              <w:t>NM_FT61</w:t>
            </w:r>
          </w:p>
        </w:tc>
        <w:tc>
          <w:tcPr>
            <w:tcW w:w="1530" w:type="dxa"/>
            <w:hideMark/>
          </w:tcPr>
          <w:p w14:paraId="14BE0862" w14:textId="77777777" w:rsidR="000A152B" w:rsidRPr="00901194" w:rsidRDefault="000A152B" w:rsidP="000A152B">
            <w:pPr>
              <w:spacing w:line="240" w:lineRule="auto"/>
              <w:rPr>
                <w:rFonts w:cs="Times New Roman"/>
              </w:rPr>
            </w:pPr>
            <w:r w:rsidRPr="00901194">
              <w:rPr>
                <w:rFonts w:cs="Times New Roman"/>
              </w:rPr>
              <w:t>Wild plum</w:t>
            </w:r>
          </w:p>
        </w:tc>
        <w:tc>
          <w:tcPr>
            <w:tcW w:w="2438" w:type="dxa"/>
            <w:hideMark/>
          </w:tcPr>
          <w:p w14:paraId="59545138"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2BCC556"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EEB2E9C"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F68039E" w14:textId="77777777" w:rsidR="000A152B" w:rsidRPr="00901194" w:rsidRDefault="000A152B" w:rsidP="000A152B">
            <w:pPr>
              <w:spacing w:line="240" w:lineRule="auto"/>
              <w:rPr>
                <w:rFonts w:cs="Times New Roman"/>
              </w:rPr>
            </w:pPr>
            <w:r w:rsidRPr="00901194">
              <w:rPr>
                <w:rFonts w:cs="Times New Roman"/>
              </w:rPr>
              <w:t>Fruit (purple)</w:t>
            </w:r>
          </w:p>
        </w:tc>
        <w:tc>
          <w:tcPr>
            <w:tcW w:w="1463" w:type="dxa"/>
            <w:hideMark/>
          </w:tcPr>
          <w:p w14:paraId="645FA26E"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F9BD727" w14:textId="77777777" w:rsidTr="00391854">
        <w:trPr>
          <w:trHeight w:val="300"/>
        </w:trPr>
        <w:tc>
          <w:tcPr>
            <w:tcW w:w="1697" w:type="dxa"/>
            <w:hideMark/>
          </w:tcPr>
          <w:p w14:paraId="1CA4FDA6" w14:textId="77777777" w:rsidR="000A152B" w:rsidRPr="00901194" w:rsidRDefault="000A152B" w:rsidP="000A152B">
            <w:pPr>
              <w:spacing w:line="240" w:lineRule="auto"/>
              <w:rPr>
                <w:rFonts w:cs="Times New Roman"/>
              </w:rPr>
            </w:pPr>
            <w:r w:rsidRPr="00901194">
              <w:rPr>
                <w:rFonts w:cs="Times New Roman"/>
              </w:rPr>
              <w:t>NM_FT62</w:t>
            </w:r>
          </w:p>
        </w:tc>
        <w:tc>
          <w:tcPr>
            <w:tcW w:w="1530" w:type="dxa"/>
            <w:hideMark/>
          </w:tcPr>
          <w:p w14:paraId="00A38627" w14:textId="77777777" w:rsidR="000A152B" w:rsidRPr="00901194" w:rsidRDefault="000A152B" w:rsidP="000A152B">
            <w:pPr>
              <w:spacing w:line="240" w:lineRule="auto"/>
              <w:rPr>
                <w:rFonts w:cs="Times New Roman"/>
              </w:rPr>
            </w:pPr>
            <w:r w:rsidRPr="00901194">
              <w:rPr>
                <w:rFonts w:cs="Times New Roman"/>
              </w:rPr>
              <w:t>Wild plum</w:t>
            </w:r>
          </w:p>
        </w:tc>
        <w:tc>
          <w:tcPr>
            <w:tcW w:w="2438" w:type="dxa"/>
            <w:hideMark/>
          </w:tcPr>
          <w:p w14:paraId="1C5E262A"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2EAE23D"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7F6205A"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8440B4A" w14:textId="77777777" w:rsidR="000A152B" w:rsidRPr="00901194" w:rsidRDefault="000A152B" w:rsidP="000A152B">
            <w:pPr>
              <w:spacing w:line="240" w:lineRule="auto"/>
              <w:rPr>
                <w:rFonts w:cs="Times New Roman"/>
              </w:rPr>
            </w:pPr>
            <w:r w:rsidRPr="00901194">
              <w:rPr>
                <w:rFonts w:cs="Times New Roman"/>
              </w:rPr>
              <w:t>Fruit (yellow)</w:t>
            </w:r>
          </w:p>
        </w:tc>
        <w:tc>
          <w:tcPr>
            <w:tcW w:w="1463" w:type="dxa"/>
            <w:hideMark/>
          </w:tcPr>
          <w:p w14:paraId="1571F39F"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6BF2F59" w14:textId="77777777" w:rsidTr="00391854">
        <w:trPr>
          <w:trHeight w:val="300"/>
        </w:trPr>
        <w:tc>
          <w:tcPr>
            <w:tcW w:w="1697" w:type="dxa"/>
            <w:hideMark/>
          </w:tcPr>
          <w:p w14:paraId="2899DC72" w14:textId="77777777" w:rsidR="000A152B" w:rsidRPr="00901194" w:rsidRDefault="000A152B" w:rsidP="000A152B">
            <w:pPr>
              <w:spacing w:line="240" w:lineRule="auto"/>
              <w:rPr>
                <w:rFonts w:cs="Times New Roman"/>
              </w:rPr>
            </w:pPr>
            <w:r w:rsidRPr="00901194">
              <w:rPr>
                <w:rFonts w:cs="Times New Roman"/>
              </w:rPr>
              <w:t>NM_FT63</w:t>
            </w:r>
          </w:p>
        </w:tc>
        <w:tc>
          <w:tcPr>
            <w:tcW w:w="1530" w:type="dxa"/>
            <w:hideMark/>
          </w:tcPr>
          <w:p w14:paraId="31AABCC2" w14:textId="77777777" w:rsidR="000A152B" w:rsidRPr="00901194" w:rsidRDefault="000A152B" w:rsidP="000A152B">
            <w:pPr>
              <w:spacing w:line="240" w:lineRule="auto"/>
              <w:rPr>
                <w:rFonts w:cs="Times New Roman"/>
              </w:rPr>
            </w:pPr>
            <w:r w:rsidRPr="00901194">
              <w:rPr>
                <w:rFonts w:cs="Times New Roman"/>
              </w:rPr>
              <w:t>Choke cherry (jam possibly with honey)</w:t>
            </w:r>
          </w:p>
        </w:tc>
        <w:tc>
          <w:tcPr>
            <w:tcW w:w="2438" w:type="dxa"/>
            <w:hideMark/>
          </w:tcPr>
          <w:p w14:paraId="7E1832EB"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166566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4E0DC97E"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1F7CE54" w14:textId="77777777" w:rsidR="000A152B" w:rsidRPr="00901194" w:rsidRDefault="000A152B" w:rsidP="000A152B">
            <w:pPr>
              <w:spacing w:line="240" w:lineRule="auto"/>
              <w:rPr>
                <w:rFonts w:cs="Times New Roman"/>
              </w:rPr>
            </w:pPr>
            <w:r w:rsidRPr="00901194">
              <w:rPr>
                <w:rFonts w:cs="Times New Roman"/>
              </w:rPr>
              <w:t>Jam</w:t>
            </w:r>
          </w:p>
        </w:tc>
        <w:tc>
          <w:tcPr>
            <w:tcW w:w="1463" w:type="dxa"/>
            <w:hideMark/>
          </w:tcPr>
          <w:p w14:paraId="1AB32C82"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72C867C" w14:textId="77777777" w:rsidTr="00391854">
        <w:trPr>
          <w:trHeight w:val="300"/>
        </w:trPr>
        <w:tc>
          <w:tcPr>
            <w:tcW w:w="1697" w:type="dxa"/>
            <w:hideMark/>
          </w:tcPr>
          <w:p w14:paraId="4F885C0C" w14:textId="77777777" w:rsidR="000A152B" w:rsidRPr="00901194" w:rsidRDefault="000A152B" w:rsidP="000A152B">
            <w:pPr>
              <w:spacing w:line="240" w:lineRule="auto"/>
              <w:rPr>
                <w:rFonts w:cs="Times New Roman"/>
              </w:rPr>
            </w:pPr>
            <w:r w:rsidRPr="00901194">
              <w:rPr>
                <w:rFonts w:cs="Times New Roman"/>
              </w:rPr>
              <w:t>NM_FT64</w:t>
            </w:r>
          </w:p>
        </w:tc>
        <w:tc>
          <w:tcPr>
            <w:tcW w:w="1530" w:type="dxa"/>
            <w:hideMark/>
          </w:tcPr>
          <w:p w14:paraId="3D4015B8" w14:textId="77777777" w:rsidR="000A152B" w:rsidRPr="00901194" w:rsidRDefault="000A152B" w:rsidP="000A152B">
            <w:pPr>
              <w:spacing w:line="240" w:lineRule="auto"/>
              <w:rPr>
                <w:rFonts w:cs="Times New Roman"/>
              </w:rPr>
            </w:pPr>
            <w:r w:rsidRPr="00901194">
              <w:rPr>
                <w:rFonts w:cs="Times New Roman"/>
              </w:rPr>
              <w:t>Prickly pear</w:t>
            </w:r>
          </w:p>
        </w:tc>
        <w:tc>
          <w:tcPr>
            <w:tcW w:w="2438" w:type="dxa"/>
            <w:hideMark/>
          </w:tcPr>
          <w:p w14:paraId="5E8E1A1F"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C8CEEC8"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5B12821"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85D39AD"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3B7A8AD3"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9DFEECA" w14:textId="77777777" w:rsidTr="00391854">
        <w:trPr>
          <w:trHeight w:val="300"/>
        </w:trPr>
        <w:tc>
          <w:tcPr>
            <w:tcW w:w="1697" w:type="dxa"/>
            <w:hideMark/>
          </w:tcPr>
          <w:p w14:paraId="323027FA" w14:textId="77777777" w:rsidR="000A152B" w:rsidRPr="00901194" w:rsidRDefault="000A152B" w:rsidP="000A152B">
            <w:pPr>
              <w:spacing w:line="240" w:lineRule="auto"/>
              <w:rPr>
                <w:rFonts w:cs="Times New Roman"/>
              </w:rPr>
            </w:pPr>
            <w:r w:rsidRPr="00901194">
              <w:rPr>
                <w:rFonts w:cs="Times New Roman"/>
              </w:rPr>
              <w:t>NM_FT66</w:t>
            </w:r>
          </w:p>
        </w:tc>
        <w:tc>
          <w:tcPr>
            <w:tcW w:w="1530" w:type="dxa"/>
            <w:hideMark/>
          </w:tcPr>
          <w:p w14:paraId="7C7A6EFE" w14:textId="77777777" w:rsidR="000A152B" w:rsidRPr="00901194" w:rsidRDefault="000A152B" w:rsidP="000A152B">
            <w:pPr>
              <w:spacing w:line="240" w:lineRule="auto"/>
              <w:rPr>
                <w:rFonts w:cs="Times New Roman"/>
              </w:rPr>
            </w:pPr>
            <w:r w:rsidRPr="00901194">
              <w:rPr>
                <w:rFonts w:cs="Times New Roman"/>
              </w:rPr>
              <w:t>Cholla</w:t>
            </w:r>
          </w:p>
        </w:tc>
        <w:tc>
          <w:tcPr>
            <w:tcW w:w="2438" w:type="dxa"/>
            <w:hideMark/>
          </w:tcPr>
          <w:p w14:paraId="000109E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2E6821E"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01A9B82"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7CC8D10" w14:textId="77777777" w:rsidR="000A152B" w:rsidRPr="00901194" w:rsidRDefault="000A152B" w:rsidP="000A152B">
            <w:pPr>
              <w:spacing w:line="240" w:lineRule="auto"/>
              <w:rPr>
                <w:rFonts w:cs="Times New Roman"/>
              </w:rPr>
            </w:pPr>
            <w:r w:rsidRPr="00901194">
              <w:rPr>
                <w:rFonts w:cs="Times New Roman"/>
              </w:rPr>
              <w:t>Bud</w:t>
            </w:r>
          </w:p>
        </w:tc>
        <w:tc>
          <w:tcPr>
            <w:tcW w:w="1463" w:type="dxa"/>
            <w:hideMark/>
          </w:tcPr>
          <w:p w14:paraId="3D4C798D"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DD2FBED" w14:textId="77777777" w:rsidTr="00391854">
        <w:trPr>
          <w:trHeight w:val="300"/>
        </w:trPr>
        <w:tc>
          <w:tcPr>
            <w:tcW w:w="1697" w:type="dxa"/>
            <w:hideMark/>
          </w:tcPr>
          <w:p w14:paraId="5ED889AE" w14:textId="77777777" w:rsidR="000A152B" w:rsidRPr="00901194" w:rsidRDefault="000A152B" w:rsidP="000A152B">
            <w:pPr>
              <w:spacing w:line="240" w:lineRule="auto"/>
              <w:rPr>
                <w:rFonts w:cs="Times New Roman"/>
              </w:rPr>
            </w:pPr>
            <w:r w:rsidRPr="00901194">
              <w:rPr>
                <w:rFonts w:cs="Times New Roman"/>
              </w:rPr>
              <w:t>NM_FT67</w:t>
            </w:r>
          </w:p>
        </w:tc>
        <w:tc>
          <w:tcPr>
            <w:tcW w:w="1530" w:type="dxa"/>
            <w:hideMark/>
          </w:tcPr>
          <w:p w14:paraId="3426D14C" w14:textId="77777777" w:rsidR="000A152B" w:rsidRPr="00901194" w:rsidRDefault="000A152B" w:rsidP="000A152B">
            <w:pPr>
              <w:spacing w:line="240" w:lineRule="auto"/>
              <w:rPr>
                <w:rFonts w:cs="Times New Roman"/>
              </w:rPr>
            </w:pPr>
            <w:r w:rsidRPr="00901194">
              <w:rPr>
                <w:rFonts w:cs="Times New Roman"/>
              </w:rPr>
              <w:t>Pinyon</w:t>
            </w:r>
          </w:p>
        </w:tc>
        <w:tc>
          <w:tcPr>
            <w:tcW w:w="2438" w:type="dxa"/>
            <w:hideMark/>
          </w:tcPr>
          <w:p w14:paraId="5038187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30F6E7E"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20E8268"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1ADB72F" w14:textId="77777777" w:rsidR="000A152B" w:rsidRPr="00901194" w:rsidRDefault="000A152B" w:rsidP="000A152B">
            <w:pPr>
              <w:spacing w:line="240" w:lineRule="auto"/>
              <w:rPr>
                <w:rFonts w:cs="Times New Roman"/>
              </w:rPr>
            </w:pPr>
            <w:r w:rsidRPr="00901194">
              <w:rPr>
                <w:rFonts w:cs="Times New Roman"/>
              </w:rPr>
              <w:t>Berry</w:t>
            </w:r>
          </w:p>
        </w:tc>
        <w:tc>
          <w:tcPr>
            <w:tcW w:w="1463" w:type="dxa"/>
            <w:hideMark/>
          </w:tcPr>
          <w:p w14:paraId="50595306"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B95B82B" w14:textId="77777777" w:rsidTr="00391854">
        <w:trPr>
          <w:trHeight w:val="300"/>
        </w:trPr>
        <w:tc>
          <w:tcPr>
            <w:tcW w:w="1697" w:type="dxa"/>
            <w:hideMark/>
          </w:tcPr>
          <w:p w14:paraId="72177867" w14:textId="77777777" w:rsidR="000A152B" w:rsidRPr="00901194" w:rsidRDefault="000A152B" w:rsidP="000A152B">
            <w:pPr>
              <w:spacing w:line="240" w:lineRule="auto"/>
              <w:rPr>
                <w:rFonts w:cs="Times New Roman"/>
              </w:rPr>
            </w:pPr>
            <w:r w:rsidRPr="00901194">
              <w:rPr>
                <w:rFonts w:cs="Times New Roman"/>
              </w:rPr>
              <w:lastRenderedPageBreak/>
              <w:t>NM_FT69</w:t>
            </w:r>
          </w:p>
        </w:tc>
        <w:tc>
          <w:tcPr>
            <w:tcW w:w="1530" w:type="dxa"/>
            <w:hideMark/>
          </w:tcPr>
          <w:p w14:paraId="0973084C" w14:textId="77777777" w:rsidR="000A152B" w:rsidRPr="00901194" w:rsidRDefault="000A152B" w:rsidP="000A152B">
            <w:pPr>
              <w:spacing w:line="240" w:lineRule="auto"/>
              <w:rPr>
                <w:rFonts w:cs="Times New Roman"/>
              </w:rPr>
            </w:pPr>
            <w:r w:rsidRPr="00901194">
              <w:rPr>
                <w:rFonts w:cs="Times New Roman"/>
              </w:rPr>
              <w:t>Wild currant</w:t>
            </w:r>
          </w:p>
        </w:tc>
        <w:tc>
          <w:tcPr>
            <w:tcW w:w="2438" w:type="dxa"/>
            <w:hideMark/>
          </w:tcPr>
          <w:p w14:paraId="1D120F46"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8E0A4B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D1C6B88"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65612D5" w14:textId="77777777" w:rsidR="000A152B" w:rsidRPr="00901194" w:rsidRDefault="000A152B" w:rsidP="000A152B">
            <w:pPr>
              <w:spacing w:line="240" w:lineRule="auto"/>
              <w:rPr>
                <w:rFonts w:cs="Times New Roman"/>
              </w:rPr>
            </w:pPr>
            <w:r w:rsidRPr="00901194">
              <w:rPr>
                <w:rFonts w:cs="Times New Roman"/>
              </w:rPr>
              <w:t>Berry</w:t>
            </w:r>
          </w:p>
        </w:tc>
        <w:tc>
          <w:tcPr>
            <w:tcW w:w="1463" w:type="dxa"/>
            <w:hideMark/>
          </w:tcPr>
          <w:p w14:paraId="2F1D215D"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14B0D9F6" w14:textId="77777777" w:rsidTr="00391854">
        <w:trPr>
          <w:trHeight w:val="300"/>
        </w:trPr>
        <w:tc>
          <w:tcPr>
            <w:tcW w:w="1697" w:type="dxa"/>
            <w:hideMark/>
          </w:tcPr>
          <w:p w14:paraId="09C6F2C3" w14:textId="77777777" w:rsidR="000A152B" w:rsidRPr="00901194" w:rsidRDefault="000A152B" w:rsidP="000A152B">
            <w:pPr>
              <w:spacing w:line="240" w:lineRule="auto"/>
              <w:rPr>
                <w:rFonts w:cs="Times New Roman"/>
              </w:rPr>
            </w:pPr>
            <w:r w:rsidRPr="00901194">
              <w:rPr>
                <w:rFonts w:cs="Times New Roman"/>
              </w:rPr>
              <w:t>NM_FT71</w:t>
            </w:r>
          </w:p>
        </w:tc>
        <w:tc>
          <w:tcPr>
            <w:tcW w:w="1530" w:type="dxa"/>
            <w:hideMark/>
          </w:tcPr>
          <w:p w14:paraId="305BCB9A" w14:textId="77777777" w:rsidR="000A152B" w:rsidRPr="00901194" w:rsidRDefault="000A152B" w:rsidP="000A152B">
            <w:pPr>
              <w:spacing w:line="240" w:lineRule="auto"/>
              <w:rPr>
                <w:rFonts w:cs="Times New Roman"/>
              </w:rPr>
            </w:pPr>
            <w:r w:rsidRPr="00901194">
              <w:rPr>
                <w:rFonts w:cs="Times New Roman"/>
              </w:rPr>
              <w:t>Pueblo tobacco</w:t>
            </w:r>
          </w:p>
        </w:tc>
        <w:tc>
          <w:tcPr>
            <w:tcW w:w="2438" w:type="dxa"/>
            <w:hideMark/>
          </w:tcPr>
          <w:p w14:paraId="4C9EA59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D43791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089E630"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5509022" w14:textId="77777777" w:rsidR="000A152B" w:rsidRPr="00901194" w:rsidRDefault="000A152B" w:rsidP="000A152B">
            <w:pPr>
              <w:spacing w:line="240" w:lineRule="auto"/>
              <w:rPr>
                <w:rFonts w:cs="Times New Roman"/>
              </w:rPr>
            </w:pPr>
            <w:r w:rsidRPr="00901194">
              <w:rPr>
                <w:rFonts w:cs="Times New Roman"/>
              </w:rPr>
              <w:t>Leaf (dried)</w:t>
            </w:r>
          </w:p>
        </w:tc>
        <w:tc>
          <w:tcPr>
            <w:tcW w:w="1463" w:type="dxa"/>
            <w:hideMark/>
          </w:tcPr>
          <w:p w14:paraId="5EB65A3E"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0E02336" w14:textId="77777777" w:rsidTr="00391854">
        <w:trPr>
          <w:trHeight w:val="300"/>
        </w:trPr>
        <w:tc>
          <w:tcPr>
            <w:tcW w:w="1697" w:type="dxa"/>
            <w:hideMark/>
          </w:tcPr>
          <w:p w14:paraId="5FA6793F" w14:textId="77777777" w:rsidR="000A152B" w:rsidRPr="00901194" w:rsidRDefault="000A152B" w:rsidP="000A152B">
            <w:pPr>
              <w:spacing w:line="240" w:lineRule="auto"/>
              <w:rPr>
                <w:rFonts w:cs="Times New Roman"/>
              </w:rPr>
            </w:pPr>
            <w:r w:rsidRPr="00901194">
              <w:rPr>
                <w:rFonts w:cs="Times New Roman"/>
              </w:rPr>
              <w:t>NM_FT73</w:t>
            </w:r>
          </w:p>
        </w:tc>
        <w:tc>
          <w:tcPr>
            <w:tcW w:w="1530" w:type="dxa"/>
            <w:hideMark/>
          </w:tcPr>
          <w:p w14:paraId="10865FA6" w14:textId="77777777" w:rsidR="000A152B" w:rsidRPr="00901194" w:rsidRDefault="000A152B" w:rsidP="000A152B">
            <w:pPr>
              <w:spacing w:line="240" w:lineRule="auto"/>
              <w:rPr>
                <w:rFonts w:cs="Times New Roman"/>
              </w:rPr>
            </w:pPr>
            <w:r w:rsidRPr="00901194">
              <w:rPr>
                <w:rFonts w:cs="Times New Roman"/>
              </w:rPr>
              <w:t>Pueblo tobacco</w:t>
            </w:r>
          </w:p>
        </w:tc>
        <w:tc>
          <w:tcPr>
            <w:tcW w:w="2438" w:type="dxa"/>
            <w:hideMark/>
          </w:tcPr>
          <w:p w14:paraId="0E101D2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B3B1D57"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45E1409D"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D788EBD" w14:textId="77777777" w:rsidR="000A152B" w:rsidRPr="00901194" w:rsidRDefault="000A152B" w:rsidP="000A152B">
            <w:pPr>
              <w:spacing w:line="240" w:lineRule="auto"/>
              <w:rPr>
                <w:rFonts w:cs="Times New Roman"/>
              </w:rPr>
            </w:pPr>
            <w:r w:rsidRPr="00901194">
              <w:rPr>
                <w:rFonts w:cs="Times New Roman"/>
              </w:rPr>
              <w:t>Stem (dried)</w:t>
            </w:r>
          </w:p>
        </w:tc>
        <w:tc>
          <w:tcPr>
            <w:tcW w:w="1463" w:type="dxa"/>
            <w:hideMark/>
          </w:tcPr>
          <w:p w14:paraId="4508E258"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04875AE" w14:textId="77777777" w:rsidTr="00391854">
        <w:trPr>
          <w:trHeight w:val="300"/>
        </w:trPr>
        <w:tc>
          <w:tcPr>
            <w:tcW w:w="1697" w:type="dxa"/>
            <w:hideMark/>
          </w:tcPr>
          <w:p w14:paraId="31B38EE8" w14:textId="77777777" w:rsidR="000A152B" w:rsidRPr="00901194" w:rsidRDefault="000A152B" w:rsidP="000A152B">
            <w:pPr>
              <w:spacing w:line="240" w:lineRule="auto"/>
              <w:rPr>
                <w:rFonts w:cs="Times New Roman"/>
              </w:rPr>
            </w:pPr>
            <w:r w:rsidRPr="00901194">
              <w:rPr>
                <w:rFonts w:cs="Times New Roman"/>
              </w:rPr>
              <w:t>NM_FT74</w:t>
            </w:r>
          </w:p>
        </w:tc>
        <w:tc>
          <w:tcPr>
            <w:tcW w:w="1530" w:type="dxa"/>
            <w:hideMark/>
          </w:tcPr>
          <w:p w14:paraId="507E2E47" w14:textId="77777777" w:rsidR="000A152B" w:rsidRPr="00901194" w:rsidRDefault="000A152B" w:rsidP="000A152B">
            <w:pPr>
              <w:spacing w:line="240" w:lineRule="auto"/>
              <w:rPr>
                <w:rFonts w:cs="Times New Roman"/>
              </w:rPr>
            </w:pPr>
            <w:r w:rsidRPr="00901194">
              <w:rPr>
                <w:rFonts w:cs="Times New Roman"/>
              </w:rPr>
              <w:t>Sumac</w:t>
            </w:r>
          </w:p>
        </w:tc>
        <w:tc>
          <w:tcPr>
            <w:tcW w:w="2438" w:type="dxa"/>
            <w:hideMark/>
          </w:tcPr>
          <w:p w14:paraId="13C2308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BCC54DB"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8E016AD"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7D29868" w14:textId="77777777" w:rsidR="000A152B" w:rsidRPr="00901194" w:rsidRDefault="000A152B" w:rsidP="000A152B">
            <w:pPr>
              <w:spacing w:line="240" w:lineRule="auto"/>
              <w:rPr>
                <w:rFonts w:cs="Times New Roman"/>
              </w:rPr>
            </w:pPr>
            <w:r w:rsidRPr="00901194">
              <w:rPr>
                <w:rFonts w:cs="Times New Roman"/>
              </w:rPr>
              <w:t>Bulb</w:t>
            </w:r>
          </w:p>
        </w:tc>
        <w:tc>
          <w:tcPr>
            <w:tcW w:w="1463" w:type="dxa"/>
            <w:hideMark/>
          </w:tcPr>
          <w:p w14:paraId="052D920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7A6CB9F" w14:textId="77777777" w:rsidTr="00391854">
        <w:trPr>
          <w:trHeight w:val="300"/>
        </w:trPr>
        <w:tc>
          <w:tcPr>
            <w:tcW w:w="1697" w:type="dxa"/>
            <w:hideMark/>
          </w:tcPr>
          <w:p w14:paraId="36D76B34" w14:textId="77777777" w:rsidR="000A152B" w:rsidRPr="00901194" w:rsidRDefault="000A152B" w:rsidP="000A152B">
            <w:pPr>
              <w:spacing w:line="240" w:lineRule="auto"/>
              <w:rPr>
                <w:rFonts w:cs="Times New Roman"/>
              </w:rPr>
            </w:pPr>
            <w:r w:rsidRPr="00901194">
              <w:rPr>
                <w:rFonts w:cs="Times New Roman"/>
              </w:rPr>
              <w:t>NM_FT75</w:t>
            </w:r>
          </w:p>
        </w:tc>
        <w:tc>
          <w:tcPr>
            <w:tcW w:w="1530" w:type="dxa"/>
            <w:hideMark/>
          </w:tcPr>
          <w:p w14:paraId="01387F50" w14:textId="77777777" w:rsidR="000A152B" w:rsidRPr="00901194" w:rsidRDefault="000A152B" w:rsidP="000A152B">
            <w:pPr>
              <w:spacing w:line="240" w:lineRule="auto"/>
              <w:rPr>
                <w:rFonts w:cs="Times New Roman"/>
              </w:rPr>
            </w:pPr>
            <w:r w:rsidRPr="00901194">
              <w:rPr>
                <w:rFonts w:cs="Times New Roman"/>
              </w:rPr>
              <w:t>Large sunflower</w:t>
            </w:r>
          </w:p>
        </w:tc>
        <w:tc>
          <w:tcPr>
            <w:tcW w:w="2438" w:type="dxa"/>
            <w:hideMark/>
          </w:tcPr>
          <w:p w14:paraId="6F78D63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9BFA227"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7BC75D5"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40120AE"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2A4F84CF"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8930FBA" w14:textId="77777777" w:rsidTr="00391854">
        <w:trPr>
          <w:trHeight w:val="300"/>
        </w:trPr>
        <w:tc>
          <w:tcPr>
            <w:tcW w:w="1697" w:type="dxa"/>
            <w:hideMark/>
          </w:tcPr>
          <w:p w14:paraId="64DE651B" w14:textId="77777777" w:rsidR="000A152B" w:rsidRPr="00901194" w:rsidRDefault="000A152B" w:rsidP="000A152B">
            <w:pPr>
              <w:spacing w:line="240" w:lineRule="auto"/>
              <w:rPr>
                <w:rFonts w:cs="Times New Roman"/>
              </w:rPr>
            </w:pPr>
            <w:r w:rsidRPr="00901194">
              <w:rPr>
                <w:rFonts w:cs="Times New Roman"/>
              </w:rPr>
              <w:t>NM_FT76</w:t>
            </w:r>
          </w:p>
        </w:tc>
        <w:tc>
          <w:tcPr>
            <w:tcW w:w="1530" w:type="dxa"/>
            <w:hideMark/>
          </w:tcPr>
          <w:p w14:paraId="42D9AE8D" w14:textId="77777777" w:rsidR="000A152B" w:rsidRPr="00901194" w:rsidRDefault="000A152B" w:rsidP="000A152B">
            <w:pPr>
              <w:spacing w:line="240" w:lineRule="auto"/>
              <w:rPr>
                <w:rFonts w:cs="Times New Roman"/>
              </w:rPr>
            </w:pPr>
            <w:r w:rsidRPr="00901194">
              <w:rPr>
                <w:rFonts w:cs="Times New Roman"/>
              </w:rPr>
              <w:t>Small sunflower</w:t>
            </w:r>
          </w:p>
        </w:tc>
        <w:tc>
          <w:tcPr>
            <w:tcW w:w="2438" w:type="dxa"/>
            <w:hideMark/>
          </w:tcPr>
          <w:p w14:paraId="340A26B9"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47C5656"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108CD87"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9C174EE" w14:textId="77777777" w:rsidR="000A152B" w:rsidRPr="00901194" w:rsidRDefault="000A152B" w:rsidP="000A152B">
            <w:pPr>
              <w:spacing w:line="240" w:lineRule="auto"/>
              <w:rPr>
                <w:rFonts w:cs="Times New Roman"/>
              </w:rPr>
            </w:pPr>
            <w:r w:rsidRPr="00901194">
              <w:rPr>
                <w:rFonts w:cs="Times New Roman"/>
              </w:rPr>
              <w:t>Flower</w:t>
            </w:r>
          </w:p>
        </w:tc>
        <w:tc>
          <w:tcPr>
            <w:tcW w:w="1463" w:type="dxa"/>
            <w:hideMark/>
          </w:tcPr>
          <w:p w14:paraId="4DAFB3D7"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5E5C14D" w14:textId="77777777" w:rsidTr="00391854">
        <w:trPr>
          <w:trHeight w:val="300"/>
        </w:trPr>
        <w:tc>
          <w:tcPr>
            <w:tcW w:w="1697" w:type="dxa"/>
            <w:hideMark/>
          </w:tcPr>
          <w:p w14:paraId="6CCF3D7E" w14:textId="77777777" w:rsidR="000A152B" w:rsidRPr="00901194" w:rsidRDefault="000A152B" w:rsidP="000A152B">
            <w:pPr>
              <w:spacing w:line="240" w:lineRule="auto"/>
              <w:rPr>
                <w:rFonts w:cs="Times New Roman"/>
              </w:rPr>
            </w:pPr>
            <w:r w:rsidRPr="00901194">
              <w:rPr>
                <w:rFonts w:cs="Times New Roman"/>
              </w:rPr>
              <w:t>NM_FT77</w:t>
            </w:r>
          </w:p>
        </w:tc>
        <w:tc>
          <w:tcPr>
            <w:tcW w:w="1530" w:type="dxa"/>
            <w:hideMark/>
          </w:tcPr>
          <w:p w14:paraId="6576EC54" w14:textId="77777777" w:rsidR="000A152B" w:rsidRPr="00901194" w:rsidRDefault="000A152B" w:rsidP="000A152B">
            <w:pPr>
              <w:spacing w:line="240" w:lineRule="auto"/>
              <w:rPr>
                <w:rFonts w:cs="Times New Roman"/>
              </w:rPr>
            </w:pPr>
            <w:r w:rsidRPr="00901194">
              <w:rPr>
                <w:rFonts w:cs="Times New Roman"/>
              </w:rPr>
              <w:t>Small sunflower</w:t>
            </w:r>
          </w:p>
        </w:tc>
        <w:tc>
          <w:tcPr>
            <w:tcW w:w="2438" w:type="dxa"/>
            <w:hideMark/>
          </w:tcPr>
          <w:p w14:paraId="1E553F8A"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7734F9F"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DC27356"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7CF654A"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0A6D807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1C9584C" w14:textId="77777777" w:rsidTr="00391854">
        <w:trPr>
          <w:trHeight w:val="300"/>
        </w:trPr>
        <w:tc>
          <w:tcPr>
            <w:tcW w:w="1697" w:type="dxa"/>
            <w:hideMark/>
          </w:tcPr>
          <w:p w14:paraId="7A3574AC" w14:textId="77777777" w:rsidR="000A152B" w:rsidRPr="00901194" w:rsidRDefault="000A152B" w:rsidP="000A152B">
            <w:pPr>
              <w:spacing w:line="240" w:lineRule="auto"/>
              <w:rPr>
                <w:rFonts w:cs="Times New Roman"/>
              </w:rPr>
            </w:pPr>
            <w:r w:rsidRPr="00901194">
              <w:rPr>
                <w:rFonts w:cs="Times New Roman"/>
              </w:rPr>
              <w:t>NM_FT78</w:t>
            </w:r>
          </w:p>
        </w:tc>
        <w:tc>
          <w:tcPr>
            <w:tcW w:w="1530" w:type="dxa"/>
            <w:hideMark/>
          </w:tcPr>
          <w:p w14:paraId="6FC9D22F" w14:textId="77777777" w:rsidR="000A152B" w:rsidRPr="00901194" w:rsidRDefault="000A152B" w:rsidP="000A152B">
            <w:pPr>
              <w:spacing w:line="240" w:lineRule="auto"/>
              <w:rPr>
                <w:rFonts w:cs="Times New Roman"/>
              </w:rPr>
            </w:pPr>
            <w:r w:rsidRPr="00901194">
              <w:rPr>
                <w:rFonts w:cs="Times New Roman"/>
              </w:rPr>
              <w:t>Small sunflower</w:t>
            </w:r>
          </w:p>
        </w:tc>
        <w:tc>
          <w:tcPr>
            <w:tcW w:w="2438" w:type="dxa"/>
            <w:hideMark/>
          </w:tcPr>
          <w:p w14:paraId="2C913DE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B007EE3"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D10BE9B"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66D089D"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5FF053BD"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E220B31" w14:textId="77777777" w:rsidTr="00391854">
        <w:trPr>
          <w:trHeight w:val="300"/>
        </w:trPr>
        <w:tc>
          <w:tcPr>
            <w:tcW w:w="1697" w:type="dxa"/>
            <w:hideMark/>
          </w:tcPr>
          <w:p w14:paraId="444D1EE5" w14:textId="77777777" w:rsidR="000A152B" w:rsidRPr="00901194" w:rsidRDefault="000A152B" w:rsidP="000A152B">
            <w:pPr>
              <w:spacing w:line="240" w:lineRule="auto"/>
              <w:rPr>
                <w:rFonts w:cs="Times New Roman"/>
              </w:rPr>
            </w:pPr>
            <w:r w:rsidRPr="00901194">
              <w:rPr>
                <w:rFonts w:cs="Times New Roman"/>
              </w:rPr>
              <w:t>NM_FT83</w:t>
            </w:r>
          </w:p>
        </w:tc>
        <w:tc>
          <w:tcPr>
            <w:tcW w:w="1530" w:type="dxa"/>
            <w:hideMark/>
          </w:tcPr>
          <w:p w14:paraId="5DA71560" w14:textId="77777777" w:rsidR="000A152B" w:rsidRPr="00901194" w:rsidRDefault="000A152B" w:rsidP="000A152B">
            <w:pPr>
              <w:spacing w:line="240" w:lineRule="auto"/>
              <w:rPr>
                <w:rFonts w:cs="Times New Roman"/>
              </w:rPr>
            </w:pPr>
            <w:r w:rsidRPr="00901194">
              <w:rPr>
                <w:rFonts w:cs="Times New Roman"/>
              </w:rPr>
              <w:t>Cota/indian tea</w:t>
            </w:r>
          </w:p>
        </w:tc>
        <w:tc>
          <w:tcPr>
            <w:tcW w:w="2438" w:type="dxa"/>
            <w:hideMark/>
          </w:tcPr>
          <w:p w14:paraId="6DEBEA13"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E7FD1D1"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58A0FC97"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3071981" w14:textId="77777777" w:rsidR="000A152B" w:rsidRPr="00901194" w:rsidRDefault="000A152B" w:rsidP="000A152B">
            <w:pPr>
              <w:spacing w:line="240" w:lineRule="auto"/>
              <w:rPr>
                <w:rFonts w:cs="Times New Roman"/>
              </w:rPr>
            </w:pPr>
            <w:r w:rsidRPr="00901194">
              <w:rPr>
                <w:rFonts w:cs="Times New Roman"/>
              </w:rPr>
              <w:t>Flower (dried)</w:t>
            </w:r>
          </w:p>
        </w:tc>
        <w:tc>
          <w:tcPr>
            <w:tcW w:w="1463" w:type="dxa"/>
            <w:hideMark/>
          </w:tcPr>
          <w:p w14:paraId="326A2BE0"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7A1F1C5" w14:textId="77777777" w:rsidTr="00391854">
        <w:trPr>
          <w:trHeight w:val="300"/>
        </w:trPr>
        <w:tc>
          <w:tcPr>
            <w:tcW w:w="1697" w:type="dxa"/>
            <w:hideMark/>
          </w:tcPr>
          <w:p w14:paraId="6B140FF8" w14:textId="77777777" w:rsidR="000A152B" w:rsidRPr="00901194" w:rsidRDefault="000A152B" w:rsidP="000A152B">
            <w:pPr>
              <w:spacing w:line="240" w:lineRule="auto"/>
              <w:rPr>
                <w:rFonts w:cs="Times New Roman"/>
              </w:rPr>
            </w:pPr>
            <w:r w:rsidRPr="00901194">
              <w:rPr>
                <w:rFonts w:cs="Times New Roman"/>
              </w:rPr>
              <w:t>NM_FT85</w:t>
            </w:r>
          </w:p>
        </w:tc>
        <w:tc>
          <w:tcPr>
            <w:tcW w:w="1530" w:type="dxa"/>
            <w:hideMark/>
          </w:tcPr>
          <w:p w14:paraId="7BB58DA2" w14:textId="77777777" w:rsidR="000A152B" w:rsidRPr="00901194" w:rsidRDefault="000A152B" w:rsidP="000A152B">
            <w:pPr>
              <w:spacing w:line="240" w:lineRule="auto"/>
              <w:rPr>
                <w:rFonts w:cs="Times New Roman"/>
              </w:rPr>
            </w:pPr>
            <w:r w:rsidRPr="00901194">
              <w:rPr>
                <w:rFonts w:cs="Times New Roman"/>
              </w:rPr>
              <w:t>Cota/indian tea</w:t>
            </w:r>
          </w:p>
        </w:tc>
        <w:tc>
          <w:tcPr>
            <w:tcW w:w="2438" w:type="dxa"/>
            <w:hideMark/>
          </w:tcPr>
          <w:p w14:paraId="7F077975"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CCB7636"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482E770"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CF563CB" w14:textId="77777777" w:rsidR="000A152B" w:rsidRPr="00901194" w:rsidRDefault="000A152B" w:rsidP="000A152B">
            <w:pPr>
              <w:spacing w:line="240" w:lineRule="auto"/>
              <w:rPr>
                <w:rFonts w:cs="Times New Roman"/>
              </w:rPr>
            </w:pPr>
            <w:r w:rsidRPr="00901194">
              <w:rPr>
                <w:rFonts w:cs="Times New Roman"/>
              </w:rPr>
              <w:t>Stem (dried)</w:t>
            </w:r>
          </w:p>
        </w:tc>
        <w:tc>
          <w:tcPr>
            <w:tcW w:w="1463" w:type="dxa"/>
            <w:hideMark/>
          </w:tcPr>
          <w:p w14:paraId="5D022DBF"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120D3DD" w14:textId="77777777" w:rsidTr="00391854">
        <w:trPr>
          <w:trHeight w:val="300"/>
        </w:trPr>
        <w:tc>
          <w:tcPr>
            <w:tcW w:w="1697" w:type="dxa"/>
            <w:hideMark/>
          </w:tcPr>
          <w:p w14:paraId="5AC4F64B" w14:textId="77777777" w:rsidR="000A152B" w:rsidRPr="00901194" w:rsidRDefault="000A152B" w:rsidP="000A152B">
            <w:pPr>
              <w:spacing w:line="240" w:lineRule="auto"/>
              <w:rPr>
                <w:rFonts w:cs="Times New Roman"/>
              </w:rPr>
            </w:pPr>
            <w:r w:rsidRPr="00901194">
              <w:rPr>
                <w:rFonts w:cs="Times New Roman"/>
              </w:rPr>
              <w:t>NM_FT86</w:t>
            </w:r>
          </w:p>
        </w:tc>
        <w:tc>
          <w:tcPr>
            <w:tcW w:w="1530" w:type="dxa"/>
            <w:hideMark/>
          </w:tcPr>
          <w:p w14:paraId="51299262" w14:textId="77777777" w:rsidR="000A152B" w:rsidRPr="00901194" w:rsidRDefault="000A152B" w:rsidP="000A152B">
            <w:pPr>
              <w:spacing w:line="240" w:lineRule="auto"/>
              <w:rPr>
                <w:rFonts w:cs="Times New Roman"/>
              </w:rPr>
            </w:pPr>
            <w:r w:rsidRPr="00901194">
              <w:rPr>
                <w:rFonts w:cs="Times New Roman"/>
              </w:rPr>
              <w:t>Devil's claw (green)</w:t>
            </w:r>
          </w:p>
        </w:tc>
        <w:tc>
          <w:tcPr>
            <w:tcW w:w="2438" w:type="dxa"/>
            <w:hideMark/>
          </w:tcPr>
          <w:p w14:paraId="42E18C19"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1C87465"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226344F"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EB1B0EF" w14:textId="77777777" w:rsidR="000A152B" w:rsidRPr="00901194" w:rsidRDefault="000A152B" w:rsidP="000A152B">
            <w:pPr>
              <w:spacing w:line="240" w:lineRule="auto"/>
              <w:rPr>
                <w:rFonts w:cs="Times New Roman"/>
              </w:rPr>
            </w:pPr>
            <w:r w:rsidRPr="00901194">
              <w:rPr>
                <w:rFonts w:cs="Times New Roman"/>
              </w:rPr>
              <w:t>Bulb</w:t>
            </w:r>
          </w:p>
        </w:tc>
        <w:tc>
          <w:tcPr>
            <w:tcW w:w="1463" w:type="dxa"/>
            <w:hideMark/>
          </w:tcPr>
          <w:p w14:paraId="31DDB2C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D57F682" w14:textId="77777777" w:rsidTr="00391854">
        <w:trPr>
          <w:trHeight w:val="300"/>
        </w:trPr>
        <w:tc>
          <w:tcPr>
            <w:tcW w:w="1697" w:type="dxa"/>
            <w:hideMark/>
          </w:tcPr>
          <w:p w14:paraId="036C8F05" w14:textId="77777777" w:rsidR="000A152B" w:rsidRPr="00901194" w:rsidRDefault="000A152B" w:rsidP="000A152B">
            <w:pPr>
              <w:spacing w:line="240" w:lineRule="auto"/>
              <w:rPr>
                <w:rFonts w:cs="Times New Roman"/>
              </w:rPr>
            </w:pPr>
            <w:r w:rsidRPr="00901194">
              <w:rPr>
                <w:rFonts w:cs="Times New Roman"/>
              </w:rPr>
              <w:t>NM_FT87</w:t>
            </w:r>
          </w:p>
        </w:tc>
        <w:tc>
          <w:tcPr>
            <w:tcW w:w="1530" w:type="dxa"/>
            <w:hideMark/>
          </w:tcPr>
          <w:p w14:paraId="76B75C19" w14:textId="77777777" w:rsidR="000A152B" w:rsidRPr="00901194" w:rsidRDefault="000A152B" w:rsidP="000A152B">
            <w:pPr>
              <w:spacing w:line="240" w:lineRule="auto"/>
              <w:rPr>
                <w:rFonts w:cs="Times New Roman"/>
              </w:rPr>
            </w:pPr>
            <w:r w:rsidRPr="00901194">
              <w:rPr>
                <w:rFonts w:cs="Times New Roman"/>
              </w:rPr>
              <w:t>Devil's claw (dried black)</w:t>
            </w:r>
          </w:p>
        </w:tc>
        <w:tc>
          <w:tcPr>
            <w:tcW w:w="2438" w:type="dxa"/>
            <w:hideMark/>
          </w:tcPr>
          <w:p w14:paraId="73552E8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5E5FBC8"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2F8F74F"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4344866" w14:textId="77777777" w:rsidR="000A152B" w:rsidRPr="00901194" w:rsidRDefault="000A152B" w:rsidP="000A152B">
            <w:pPr>
              <w:spacing w:line="240" w:lineRule="auto"/>
              <w:rPr>
                <w:rFonts w:cs="Times New Roman"/>
              </w:rPr>
            </w:pPr>
            <w:r w:rsidRPr="00901194">
              <w:rPr>
                <w:rFonts w:cs="Times New Roman"/>
              </w:rPr>
              <w:t>Bulb</w:t>
            </w:r>
          </w:p>
        </w:tc>
        <w:tc>
          <w:tcPr>
            <w:tcW w:w="1463" w:type="dxa"/>
            <w:hideMark/>
          </w:tcPr>
          <w:p w14:paraId="04CA3B77"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E7CE87D" w14:textId="77777777" w:rsidTr="00391854">
        <w:trPr>
          <w:trHeight w:val="300"/>
        </w:trPr>
        <w:tc>
          <w:tcPr>
            <w:tcW w:w="1697" w:type="dxa"/>
            <w:hideMark/>
          </w:tcPr>
          <w:p w14:paraId="1298AE80" w14:textId="77777777" w:rsidR="000A152B" w:rsidRPr="00901194" w:rsidRDefault="000A152B" w:rsidP="000A152B">
            <w:pPr>
              <w:spacing w:line="240" w:lineRule="auto"/>
              <w:rPr>
                <w:rFonts w:cs="Times New Roman"/>
              </w:rPr>
            </w:pPr>
            <w:r w:rsidRPr="00901194">
              <w:rPr>
                <w:rFonts w:cs="Times New Roman"/>
              </w:rPr>
              <w:t>NM_FT88</w:t>
            </w:r>
          </w:p>
        </w:tc>
        <w:tc>
          <w:tcPr>
            <w:tcW w:w="1530" w:type="dxa"/>
            <w:hideMark/>
          </w:tcPr>
          <w:p w14:paraId="066B0CBE" w14:textId="77777777" w:rsidR="000A152B" w:rsidRPr="00901194" w:rsidRDefault="000A152B" w:rsidP="000A152B">
            <w:pPr>
              <w:spacing w:line="240" w:lineRule="auto"/>
              <w:rPr>
                <w:rFonts w:cs="Times New Roman"/>
              </w:rPr>
            </w:pPr>
            <w:r w:rsidRPr="00901194">
              <w:rPr>
                <w:rFonts w:cs="Times New Roman"/>
              </w:rPr>
              <w:t>Juniper</w:t>
            </w:r>
          </w:p>
        </w:tc>
        <w:tc>
          <w:tcPr>
            <w:tcW w:w="2438" w:type="dxa"/>
            <w:hideMark/>
          </w:tcPr>
          <w:p w14:paraId="53D476E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8E1E691"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D570512"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E6A4672"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4E1D8B7C"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28A4963" w14:textId="77777777" w:rsidTr="00391854">
        <w:trPr>
          <w:trHeight w:val="300"/>
        </w:trPr>
        <w:tc>
          <w:tcPr>
            <w:tcW w:w="1697" w:type="dxa"/>
            <w:hideMark/>
          </w:tcPr>
          <w:p w14:paraId="78EFF872" w14:textId="77777777" w:rsidR="000A152B" w:rsidRPr="00901194" w:rsidRDefault="000A152B" w:rsidP="000A152B">
            <w:pPr>
              <w:spacing w:line="240" w:lineRule="auto"/>
              <w:rPr>
                <w:rFonts w:cs="Times New Roman"/>
              </w:rPr>
            </w:pPr>
            <w:r w:rsidRPr="00901194">
              <w:rPr>
                <w:rFonts w:cs="Times New Roman"/>
              </w:rPr>
              <w:t>NM_FT90</w:t>
            </w:r>
          </w:p>
        </w:tc>
        <w:tc>
          <w:tcPr>
            <w:tcW w:w="1530" w:type="dxa"/>
            <w:hideMark/>
          </w:tcPr>
          <w:p w14:paraId="291B22FA" w14:textId="77777777" w:rsidR="000A152B" w:rsidRPr="00901194" w:rsidRDefault="000A152B" w:rsidP="000A152B">
            <w:pPr>
              <w:spacing w:line="240" w:lineRule="auto"/>
              <w:rPr>
                <w:rFonts w:cs="Times New Roman"/>
              </w:rPr>
            </w:pPr>
            <w:r w:rsidRPr="00901194">
              <w:rPr>
                <w:rFonts w:cs="Times New Roman"/>
              </w:rPr>
              <w:t>Juniper</w:t>
            </w:r>
          </w:p>
        </w:tc>
        <w:tc>
          <w:tcPr>
            <w:tcW w:w="2438" w:type="dxa"/>
            <w:hideMark/>
          </w:tcPr>
          <w:p w14:paraId="1119AA83"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0AF2754"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A847CC8"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7B3F87F"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5E50F31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B97F2C8" w14:textId="77777777" w:rsidTr="00391854">
        <w:trPr>
          <w:trHeight w:val="300"/>
        </w:trPr>
        <w:tc>
          <w:tcPr>
            <w:tcW w:w="1697" w:type="dxa"/>
            <w:hideMark/>
          </w:tcPr>
          <w:p w14:paraId="6E2E5638" w14:textId="77777777" w:rsidR="000A152B" w:rsidRPr="00901194" w:rsidRDefault="000A152B" w:rsidP="000A152B">
            <w:pPr>
              <w:spacing w:line="240" w:lineRule="auto"/>
              <w:rPr>
                <w:rFonts w:cs="Times New Roman"/>
              </w:rPr>
            </w:pPr>
            <w:r w:rsidRPr="00901194">
              <w:rPr>
                <w:rFonts w:cs="Times New Roman"/>
              </w:rPr>
              <w:t>NM_FT91</w:t>
            </w:r>
          </w:p>
        </w:tc>
        <w:tc>
          <w:tcPr>
            <w:tcW w:w="1530" w:type="dxa"/>
            <w:hideMark/>
          </w:tcPr>
          <w:p w14:paraId="02AE9AD5" w14:textId="77777777" w:rsidR="000A152B" w:rsidRPr="00901194" w:rsidRDefault="000A152B" w:rsidP="000A152B">
            <w:pPr>
              <w:spacing w:line="240" w:lineRule="auto"/>
              <w:rPr>
                <w:rFonts w:cs="Times New Roman"/>
              </w:rPr>
            </w:pPr>
            <w:r w:rsidRPr="00901194">
              <w:rPr>
                <w:rFonts w:cs="Times New Roman"/>
              </w:rPr>
              <w:t>Mormon tea</w:t>
            </w:r>
          </w:p>
        </w:tc>
        <w:tc>
          <w:tcPr>
            <w:tcW w:w="2438" w:type="dxa"/>
            <w:hideMark/>
          </w:tcPr>
          <w:p w14:paraId="7F7693D9"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312EE10"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8439A88"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48C0829"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2B21D292"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6851D32" w14:textId="77777777" w:rsidTr="00391854">
        <w:trPr>
          <w:trHeight w:val="300"/>
        </w:trPr>
        <w:tc>
          <w:tcPr>
            <w:tcW w:w="1697" w:type="dxa"/>
            <w:hideMark/>
          </w:tcPr>
          <w:p w14:paraId="1F49CCA5" w14:textId="77777777" w:rsidR="000A152B" w:rsidRPr="00901194" w:rsidRDefault="000A152B" w:rsidP="000A152B">
            <w:pPr>
              <w:spacing w:line="240" w:lineRule="auto"/>
              <w:rPr>
                <w:rFonts w:cs="Times New Roman"/>
              </w:rPr>
            </w:pPr>
            <w:r w:rsidRPr="00901194">
              <w:rPr>
                <w:rFonts w:cs="Times New Roman"/>
              </w:rPr>
              <w:lastRenderedPageBreak/>
              <w:t>NM_FT93</w:t>
            </w:r>
          </w:p>
        </w:tc>
        <w:tc>
          <w:tcPr>
            <w:tcW w:w="1530" w:type="dxa"/>
            <w:hideMark/>
          </w:tcPr>
          <w:p w14:paraId="6D3C99F9" w14:textId="77777777" w:rsidR="000A152B" w:rsidRPr="00901194" w:rsidRDefault="000A152B" w:rsidP="000A152B">
            <w:pPr>
              <w:spacing w:line="240" w:lineRule="auto"/>
              <w:rPr>
                <w:rFonts w:cs="Times New Roman"/>
              </w:rPr>
            </w:pPr>
            <w:r w:rsidRPr="00901194">
              <w:rPr>
                <w:rFonts w:cs="Times New Roman"/>
              </w:rPr>
              <w:t>Mormon tea</w:t>
            </w:r>
          </w:p>
        </w:tc>
        <w:tc>
          <w:tcPr>
            <w:tcW w:w="2438" w:type="dxa"/>
            <w:hideMark/>
          </w:tcPr>
          <w:p w14:paraId="48EBE2F6"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C6EDACD"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3CC9F5F"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C0AE27E"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089FD398"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C4759F1" w14:textId="77777777" w:rsidTr="00391854">
        <w:trPr>
          <w:trHeight w:val="300"/>
        </w:trPr>
        <w:tc>
          <w:tcPr>
            <w:tcW w:w="1697" w:type="dxa"/>
            <w:hideMark/>
          </w:tcPr>
          <w:p w14:paraId="6BBE0318" w14:textId="77777777" w:rsidR="000A152B" w:rsidRPr="00901194" w:rsidRDefault="000A152B" w:rsidP="000A152B">
            <w:pPr>
              <w:spacing w:line="240" w:lineRule="auto"/>
              <w:rPr>
                <w:rFonts w:cs="Times New Roman"/>
              </w:rPr>
            </w:pPr>
            <w:r w:rsidRPr="00901194">
              <w:rPr>
                <w:rFonts w:cs="Times New Roman"/>
              </w:rPr>
              <w:t>NM_FT95</w:t>
            </w:r>
          </w:p>
        </w:tc>
        <w:tc>
          <w:tcPr>
            <w:tcW w:w="1530" w:type="dxa"/>
            <w:hideMark/>
          </w:tcPr>
          <w:p w14:paraId="73899A57" w14:textId="77777777" w:rsidR="000A152B" w:rsidRPr="00901194" w:rsidRDefault="000A152B" w:rsidP="000A152B">
            <w:pPr>
              <w:spacing w:line="240" w:lineRule="auto"/>
              <w:rPr>
                <w:rFonts w:cs="Times New Roman"/>
              </w:rPr>
            </w:pPr>
            <w:r w:rsidRPr="00901194">
              <w:rPr>
                <w:rFonts w:cs="Times New Roman"/>
              </w:rPr>
              <w:t>Salt bush</w:t>
            </w:r>
          </w:p>
        </w:tc>
        <w:tc>
          <w:tcPr>
            <w:tcW w:w="2438" w:type="dxa"/>
            <w:hideMark/>
          </w:tcPr>
          <w:p w14:paraId="00F2E7BB"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1B0A89C"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1411A93"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9A55DB0"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08082A31"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C18F9FD" w14:textId="77777777" w:rsidTr="00391854">
        <w:trPr>
          <w:trHeight w:val="300"/>
        </w:trPr>
        <w:tc>
          <w:tcPr>
            <w:tcW w:w="1697" w:type="dxa"/>
            <w:hideMark/>
          </w:tcPr>
          <w:p w14:paraId="1852389D" w14:textId="77777777" w:rsidR="000A152B" w:rsidRPr="00901194" w:rsidRDefault="000A152B" w:rsidP="000A152B">
            <w:pPr>
              <w:spacing w:line="240" w:lineRule="auto"/>
              <w:rPr>
                <w:rFonts w:cs="Times New Roman"/>
              </w:rPr>
            </w:pPr>
            <w:r w:rsidRPr="00901194">
              <w:rPr>
                <w:rFonts w:cs="Times New Roman"/>
              </w:rPr>
              <w:t>NM_FT96</w:t>
            </w:r>
          </w:p>
        </w:tc>
        <w:tc>
          <w:tcPr>
            <w:tcW w:w="1530" w:type="dxa"/>
            <w:hideMark/>
          </w:tcPr>
          <w:p w14:paraId="25528C25" w14:textId="77777777" w:rsidR="000A152B" w:rsidRPr="00901194" w:rsidRDefault="000A152B" w:rsidP="000A152B">
            <w:pPr>
              <w:spacing w:line="240" w:lineRule="auto"/>
              <w:rPr>
                <w:rFonts w:cs="Times New Roman"/>
              </w:rPr>
            </w:pPr>
            <w:r w:rsidRPr="00901194">
              <w:rPr>
                <w:rFonts w:cs="Times New Roman"/>
              </w:rPr>
              <w:t>Salt bush</w:t>
            </w:r>
          </w:p>
        </w:tc>
        <w:tc>
          <w:tcPr>
            <w:tcW w:w="2438" w:type="dxa"/>
            <w:hideMark/>
          </w:tcPr>
          <w:p w14:paraId="6AD7284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B302406"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0E2CEEC"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8291E48" w14:textId="77777777" w:rsidR="000A152B" w:rsidRPr="00901194" w:rsidRDefault="000A152B" w:rsidP="000A152B">
            <w:pPr>
              <w:spacing w:line="240" w:lineRule="auto"/>
              <w:rPr>
                <w:rFonts w:cs="Times New Roman"/>
              </w:rPr>
            </w:pPr>
            <w:r w:rsidRPr="00901194">
              <w:rPr>
                <w:rFonts w:cs="Times New Roman"/>
              </w:rPr>
              <w:t>Stem</w:t>
            </w:r>
          </w:p>
        </w:tc>
        <w:tc>
          <w:tcPr>
            <w:tcW w:w="1463" w:type="dxa"/>
            <w:hideMark/>
          </w:tcPr>
          <w:p w14:paraId="5C7B953C"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FBBD34B" w14:textId="77777777" w:rsidTr="00391854">
        <w:trPr>
          <w:trHeight w:val="300"/>
        </w:trPr>
        <w:tc>
          <w:tcPr>
            <w:tcW w:w="1697" w:type="dxa"/>
            <w:hideMark/>
          </w:tcPr>
          <w:p w14:paraId="353B148F" w14:textId="77777777" w:rsidR="000A152B" w:rsidRPr="00901194" w:rsidRDefault="000A152B" w:rsidP="000A152B">
            <w:pPr>
              <w:spacing w:line="240" w:lineRule="auto"/>
              <w:rPr>
                <w:rFonts w:cs="Times New Roman"/>
              </w:rPr>
            </w:pPr>
            <w:r w:rsidRPr="00901194">
              <w:rPr>
                <w:rFonts w:cs="Times New Roman"/>
              </w:rPr>
              <w:t>NM_FT97</w:t>
            </w:r>
          </w:p>
        </w:tc>
        <w:tc>
          <w:tcPr>
            <w:tcW w:w="1530" w:type="dxa"/>
            <w:hideMark/>
          </w:tcPr>
          <w:p w14:paraId="36908DE3" w14:textId="77777777" w:rsidR="000A152B" w:rsidRPr="00901194" w:rsidRDefault="000A152B" w:rsidP="000A152B">
            <w:pPr>
              <w:spacing w:line="240" w:lineRule="auto"/>
              <w:rPr>
                <w:rFonts w:cs="Times New Roman"/>
              </w:rPr>
            </w:pPr>
            <w:r w:rsidRPr="00901194">
              <w:rPr>
                <w:rFonts w:cs="Times New Roman"/>
              </w:rPr>
              <w:t>Squash (green)</w:t>
            </w:r>
          </w:p>
        </w:tc>
        <w:tc>
          <w:tcPr>
            <w:tcW w:w="2438" w:type="dxa"/>
            <w:hideMark/>
          </w:tcPr>
          <w:p w14:paraId="62A0126F"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1F0056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00C8C39"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5C6C42F1" w14:textId="77777777" w:rsidR="000A152B" w:rsidRPr="00901194" w:rsidRDefault="000A152B" w:rsidP="000A152B">
            <w:pPr>
              <w:spacing w:line="240" w:lineRule="auto"/>
              <w:rPr>
                <w:rFonts w:cs="Times New Roman"/>
              </w:rPr>
            </w:pPr>
            <w:r w:rsidRPr="00901194">
              <w:rPr>
                <w:rFonts w:cs="Times New Roman"/>
              </w:rPr>
              <w:t>Flesh</w:t>
            </w:r>
          </w:p>
        </w:tc>
        <w:tc>
          <w:tcPr>
            <w:tcW w:w="1463" w:type="dxa"/>
            <w:hideMark/>
          </w:tcPr>
          <w:p w14:paraId="4051086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11B7731" w14:textId="77777777" w:rsidTr="00391854">
        <w:trPr>
          <w:trHeight w:val="300"/>
        </w:trPr>
        <w:tc>
          <w:tcPr>
            <w:tcW w:w="1697" w:type="dxa"/>
            <w:hideMark/>
          </w:tcPr>
          <w:p w14:paraId="63A5E4D2" w14:textId="77777777" w:rsidR="000A152B" w:rsidRPr="00901194" w:rsidRDefault="000A152B" w:rsidP="000A152B">
            <w:pPr>
              <w:spacing w:line="240" w:lineRule="auto"/>
              <w:rPr>
                <w:rFonts w:cs="Times New Roman"/>
              </w:rPr>
            </w:pPr>
            <w:r w:rsidRPr="00901194">
              <w:rPr>
                <w:rFonts w:cs="Times New Roman"/>
              </w:rPr>
              <w:t>NM_PSW99</w:t>
            </w:r>
          </w:p>
        </w:tc>
        <w:tc>
          <w:tcPr>
            <w:tcW w:w="1530" w:type="dxa"/>
            <w:hideMark/>
          </w:tcPr>
          <w:p w14:paraId="6E4840CD" w14:textId="77777777" w:rsidR="000A152B" w:rsidRPr="00901194" w:rsidRDefault="000A152B" w:rsidP="000A152B">
            <w:pPr>
              <w:spacing w:line="240" w:lineRule="auto"/>
              <w:rPr>
                <w:rFonts w:cs="Times New Roman"/>
              </w:rPr>
            </w:pPr>
            <w:r w:rsidRPr="00901194">
              <w:rPr>
                <w:rFonts w:cs="Times New Roman"/>
              </w:rPr>
              <w:t>Scarlet globemallow</w:t>
            </w:r>
          </w:p>
        </w:tc>
        <w:tc>
          <w:tcPr>
            <w:tcW w:w="2438" w:type="dxa"/>
            <w:hideMark/>
          </w:tcPr>
          <w:p w14:paraId="64EAE39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22B1B03"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AB80A2B" w14:textId="77777777" w:rsidR="000A152B" w:rsidRPr="00901194" w:rsidRDefault="000A152B" w:rsidP="000A152B">
            <w:pPr>
              <w:spacing w:line="240" w:lineRule="auto"/>
              <w:rPr>
                <w:rFonts w:cs="Times New Roman"/>
              </w:rPr>
            </w:pPr>
            <w:r w:rsidRPr="00901194">
              <w:rPr>
                <w:rFonts w:cs="Times New Roman"/>
              </w:rPr>
              <w:t>Plants of the Southwest</w:t>
            </w:r>
          </w:p>
        </w:tc>
        <w:tc>
          <w:tcPr>
            <w:tcW w:w="1440" w:type="dxa"/>
            <w:hideMark/>
          </w:tcPr>
          <w:p w14:paraId="316B09C9" w14:textId="77777777" w:rsidR="000A152B" w:rsidRPr="00901194" w:rsidRDefault="000A152B" w:rsidP="000A152B">
            <w:pPr>
              <w:spacing w:line="240" w:lineRule="auto"/>
              <w:rPr>
                <w:rFonts w:cs="Times New Roman"/>
              </w:rPr>
            </w:pPr>
            <w:r w:rsidRPr="00901194">
              <w:rPr>
                <w:rFonts w:cs="Times New Roman"/>
              </w:rPr>
              <w:t>Petals</w:t>
            </w:r>
          </w:p>
        </w:tc>
        <w:tc>
          <w:tcPr>
            <w:tcW w:w="1463" w:type="dxa"/>
            <w:hideMark/>
          </w:tcPr>
          <w:p w14:paraId="726328A7"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6A3514B" w14:textId="77777777" w:rsidTr="00391854">
        <w:trPr>
          <w:trHeight w:val="600"/>
        </w:trPr>
        <w:tc>
          <w:tcPr>
            <w:tcW w:w="1697" w:type="dxa"/>
            <w:hideMark/>
          </w:tcPr>
          <w:p w14:paraId="75B87B9F" w14:textId="77777777" w:rsidR="000A152B" w:rsidRPr="00901194" w:rsidRDefault="000A152B" w:rsidP="000A152B">
            <w:pPr>
              <w:spacing w:line="240" w:lineRule="auto"/>
              <w:rPr>
                <w:rFonts w:cs="Times New Roman"/>
              </w:rPr>
            </w:pPr>
            <w:r w:rsidRPr="00901194">
              <w:rPr>
                <w:rFonts w:cs="Times New Roman"/>
              </w:rPr>
              <w:t>NM_PSW100</w:t>
            </w:r>
          </w:p>
        </w:tc>
        <w:tc>
          <w:tcPr>
            <w:tcW w:w="1530" w:type="dxa"/>
            <w:hideMark/>
          </w:tcPr>
          <w:p w14:paraId="416B8763" w14:textId="77777777" w:rsidR="000A152B" w:rsidRPr="00901194" w:rsidRDefault="000A152B" w:rsidP="000A152B">
            <w:pPr>
              <w:spacing w:line="240" w:lineRule="auto"/>
              <w:rPr>
                <w:rFonts w:cs="Times New Roman"/>
              </w:rPr>
            </w:pPr>
            <w:r w:rsidRPr="00901194">
              <w:rPr>
                <w:rFonts w:cs="Times New Roman"/>
              </w:rPr>
              <w:t>Texas ranger heavenly cloud</w:t>
            </w:r>
          </w:p>
        </w:tc>
        <w:tc>
          <w:tcPr>
            <w:tcW w:w="2438" w:type="dxa"/>
            <w:hideMark/>
          </w:tcPr>
          <w:p w14:paraId="5535A7E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677E31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4050122B" w14:textId="77777777" w:rsidR="000A152B" w:rsidRPr="00901194" w:rsidRDefault="000A152B" w:rsidP="000A152B">
            <w:pPr>
              <w:spacing w:line="240" w:lineRule="auto"/>
              <w:rPr>
                <w:rFonts w:cs="Times New Roman"/>
              </w:rPr>
            </w:pPr>
            <w:r w:rsidRPr="00901194">
              <w:rPr>
                <w:rFonts w:cs="Times New Roman"/>
              </w:rPr>
              <w:t>Plants of the Southwest</w:t>
            </w:r>
          </w:p>
        </w:tc>
        <w:tc>
          <w:tcPr>
            <w:tcW w:w="1440" w:type="dxa"/>
            <w:hideMark/>
          </w:tcPr>
          <w:p w14:paraId="5AD5DE86" w14:textId="77777777" w:rsidR="000A152B" w:rsidRPr="00901194" w:rsidRDefault="000A152B" w:rsidP="000A152B">
            <w:pPr>
              <w:spacing w:line="240" w:lineRule="auto"/>
              <w:rPr>
                <w:rFonts w:cs="Times New Roman"/>
              </w:rPr>
            </w:pPr>
            <w:r w:rsidRPr="00901194">
              <w:rPr>
                <w:rFonts w:cs="Times New Roman"/>
              </w:rPr>
              <w:t>Petals</w:t>
            </w:r>
          </w:p>
        </w:tc>
        <w:tc>
          <w:tcPr>
            <w:tcW w:w="1463" w:type="dxa"/>
            <w:hideMark/>
          </w:tcPr>
          <w:p w14:paraId="59C6B1E4"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DECC359" w14:textId="77777777" w:rsidTr="00391854">
        <w:trPr>
          <w:trHeight w:val="600"/>
        </w:trPr>
        <w:tc>
          <w:tcPr>
            <w:tcW w:w="1697" w:type="dxa"/>
            <w:hideMark/>
          </w:tcPr>
          <w:p w14:paraId="32727F71" w14:textId="77777777" w:rsidR="000A152B" w:rsidRPr="00901194" w:rsidRDefault="000A152B" w:rsidP="000A152B">
            <w:pPr>
              <w:spacing w:line="240" w:lineRule="auto"/>
              <w:rPr>
                <w:rFonts w:cs="Times New Roman"/>
              </w:rPr>
            </w:pPr>
            <w:r w:rsidRPr="00901194">
              <w:rPr>
                <w:rFonts w:cs="Times New Roman"/>
              </w:rPr>
              <w:t>NM_PSW101</w:t>
            </w:r>
          </w:p>
        </w:tc>
        <w:tc>
          <w:tcPr>
            <w:tcW w:w="1530" w:type="dxa"/>
            <w:hideMark/>
          </w:tcPr>
          <w:p w14:paraId="6D8FD9AE" w14:textId="77777777" w:rsidR="000A152B" w:rsidRPr="00901194" w:rsidRDefault="000A152B" w:rsidP="000A152B">
            <w:pPr>
              <w:spacing w:line="240" w:lineRule="auto"/>
              <w:rPr>
                <w:rFonts w:cs="Times New Roman"/>
              </w:rPr>
            </w:pPr>
            <w:r w:rsidRPr="00901194">
              <w:rPr>
                <w:rFonts w:cs="Times New Roman"/>
              </w:rPr>
              <w:t>Small leaved sumac</w:t>
            </w:r>
          </w:p>
        </w:tc>
        <w:tc>
          <w:tcPr>
            <w:tcW w:w="2438" w:type="dxa"/>
            <w:hideMark/>
          </w:tcPr>
          <w:p w14:paraId="429EDAE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3419388"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5C5B5A6" w14:textId="77777777" w:rsidR="000A152B" w:rsidRPr="00901194" w:rsidRDefault="000A152B" w:rsidP="000A152B">
            <w:pPr>
              <w:spacing w:line="240" w:lineRule="auto"/>
              <w:rPr>
                <w:rFonts w:cs="Times New Roman"/>
              </w:rPr>
            </w:pPr>
            <w:r w:rsidRPr="00901194">
              <w:rPr>
                <w:rFonts w:cs="Times New Roman"/>
              </w:rPr>
              <w:t>Plants of the Southwest</w:t>
            </w:r>
          </w:p>
        </w:tc>
        <w:tc>
          <w:tcPr>
            <w:tcW w:w="1440" w:type="dxa"/>
            <w:hideMark/>
          </w:tcPr>
          <w:p w14:paraId="6CD69B10" w14:textId="77777777" w:rsidR="000A152B" w:rsidRPr="00901194" w:rsidRDefault="000A152B" w:rsidP="000A152B">
            <w:pPr>
              <w:spacing w:line="240" w:lineRule="auto"/>
              <w:rPr>
                <w:rFonts w:cs="Times New Roman"/>
              </w:rPr>
            </w:pPr>
            <w:r w:rsidRPr="00901194">
              <w:rPr>
                <w:rFonts w:cs="Times New Roman"/>
              </w:rPr>
              <w:t>Fruit</w:t>
            </w:r>
          </w:p>
        </w:tc>
        <w:tc>
          <w:tcPr>
            <w:tcW w:w="1463" w:type="dxa"/>
            <w:hideMark/>
          </w:tcPr>
          <w:p w14:paraId="00079506"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4AAA4BD" w14:textId="77777777" w:rsidTr="00391854">
        <w:trPr>
          <w:trHeight w:val="600"/>
        </w:trPr>
        <w:tc>
          <w:tcPr>
            <w:tcW w:w="1697" w:type="dxa"/>
            <w:hideMark/>
          </w:tcPr>
          <w:p w14:paraId="3F0F01B4" w14:textId="77777777" w:rsidR="000A152B" w:rsidRPr="00901194" w:rsidRDefault="000A152B" w:rsidP="000A152B">
            <w:pPr>
              <w:spacing w:line="240" w:lineRule="auto"/>
              <w:rPr>
                <w:rFonts w:cs="Times New Roman"/>
              </w:rPr>
            </w:pPr>
            <w:r w:rsidRPr="00901194">
              <w:rPr>
                <w:rFonts w:cs="Times New Roman"/>
              </w:rPr>
              <w:t>NM_PSW102</w:t>
            </w:r>
          </w:p>
        </w:tc>
        <w:tc>
          <w:tcPr>
            <w:tcW w:w="1530" w:type="dxa"/>
            <w:hideMark/>
          </w:tcPr>
          <w:p w14:paraId="3DC12BBC" w14:textId="77777777" w:rsidR="000A152B" w:rsidRPr="00901194" w:rsidRDefault="000A152B" w:rsidP="000A152B">
            <w:pPr>
              <w:spacing w:line="240" w:lineRule="auto"/>
              <w:rPr>
                <w:rFonts w:cs="Times New Roman"/>
              </w:rPr>
            </w:pPr>
            <w:r w:rsidRPr="00901194">
              <w:rPr>
                <w:rFonts w:cs="Times New Roman"/>
              </w:rPr>
              <w:t>Sweet sand verbena</w:t>
            </w:r>
          </w:p>
        </w:tc>
        <w:tc>
          <w:tcPr>
            <w:tcW w:w="2438" w:type="dxa"/>
            <w:hideMark/>
          </w:tcPr>
          <w:p w14:paraId="36B7A0D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DA328C2"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75F7896" w14:textId="77777777" w:rsidR="000A152B" w:rsidRPr="00901194" w:rsidRDefault="000A152B" w:rsidP="000A152B">
            <w:pPr>
              <w:spacing w:line="240" w:lineRule="auto"/>
              <w:rPr>
                <w:rFonts w:cs="Times New Roman"/>
              </w:rPr>
            </w:pPr>
            <w:r w:rsidRPr="00901194">
              <w:rPr>
                <w:rFonts w:cs="Times New Roman"/>
              </w:rPr>
              <w:t>Plants of the Southwest</w:t>
            </w:r>
          </w:p>
        </w:tc>
        <w:tc>
          <w:tcPr>
            <w:tcW w:w="1440" w:type="dxa"/>
            <w:hideMark/>
          </w:tcPr>
          <w:p w14:paraId="64A1F1B9" w14:textId="77777777" w:rsidR="000A152B" w:rsidRPr="00901194" w:rsidRDefault="000A152B" w:rsidP="000A152B">
            <w:pPr>
              <w:spacing w:line="240" w:lineRule="auto"/>
              <w:rPr>
                <w:rFonts w:cs="Times New Roman"/>
              </w:rPr>
            </w:pPr>
            <w:r w:rsidRPr="00901194">
              <w:rPr>
                <w:rFonts w:cs="Times New Roman"/>
              </w:rPr>
              <w:t>Petals</w:t>
            </w:r>
          </w:p>
        </w:tc>
        <w:tc>
          <w:tcPr>
            <w:tcW w:w="1463" w:type="dxa"/>
            <w:hideMark/>
          </w:tcPr>
          <w:p w14:paraId="33C3413E"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F0F5FE9" w14:textId="77777777" w:rsidTr="00391854">
        <w:trPr>
          <w:trHeight w:val="600"/>
        </w:trPr>
        <w:tc>
          <w:tcPr>
            <w:tcW w:w="1697" w:type="dxa"/>
            <w:hideMark/>
          </w:tcPr>
          <w:p w14:paraId="017ECFDD" w14:textId="77777777" w:rsidR="000A152B" w:rsidRPr="00901194" w:rsidRDefault="000A152B" w:rsidP="000A152B">
            <w:pPr>
              <w:spacing w:line="240" w:lineRule="auto"/>
              <w:rPr>
                <w:rFonts w:cs="Times New Roman"/>
              </w:rPr>
            </w:pPr>
            <w:r w:rsidRPr="00901194">
              <w:rPr>
                <w:rFonts w:cs="Times New Roman"/>
              </w:rPr>
              <w:t>NM_PSW103</w:t>
            </w:r>
          </w:p>
        </w:tc>
        <w:tc>
          <w:tcPr>
            <w:tcW w:w="1530" w:type="dxa"/>
            <w:hideMark/>
          </w:tcPr>
          <w:p w14:paraId="78F905A8" w14:textId="77777777" w:rsidR="000A152B" w:rsidRPr="00901194" w:rsidRDefault="000A152B" w:rsidP="000A152B">
            <w:pPr>
              <w:spacing w:line="240" w:lineRule="auto"/>
              <w:rPr>
                <w:rFonts w:cs="Times New Roman"/>
              </w:rPr>
            </w:pPr>
            <w:r w:rsidRPr="00901194">
              <w:rPr>
                <w:rFonts w:cs="Times New Roman"/>
              </w:rPr>
              <w:t>New Mexico privet</w:t>
            </w:r>
          </w:p>
        </w:tc>
        <w:tc>
          <w:tcPr>
            <w:tcW w:w="2438" w:type="dxa"/>
            <w:hideMark/>
          </w:tcPr>
          <w:p w14:paraId="045AFCF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1A74335"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8CA19EC" w14:textId="77777777" w:rsidR="000A152B" w:rsidRPr="00901194" w:rsidRDefault="000A152B" w:rsidP="000A152B">
            <w:pPr>
              <w:spacing w:line="240" w:lineRule="auto"/>
              <w:rPr>
                <w:rFonts w:cs="Times New Roman"/>
              </w:rPr>
            </w:pPr>
            <w:r w:rsidRPr="00901194">
              <w:rPr>
                <w:rFonts w:cs="Times New Roman"/>
              </w:rPr>
              <w:t>Plants of the Southwest</w:t>
            </w:r>
          </w:p>
        </w:tc>
        <w:tc>
          <w:tcPr>
            <w:tcW w:w="1440" w:type="dxa"/>
            <w:hideMark/>
          </w:tcPr>
          <w:p w14:paraId="7C51727C" w14:textId="77777777" w:rsidR="000A152B" w:rsidRPr="00901194" w:rsidRDefault="000A152B" w:rsidP="000A152B">
            <w:pPr>
              <w:spacing w:line="240" w:lineRule="auto"/>
              <w:rPr>
                <w:rFonts w:cs="Times New Roman"/>
              </w:rPr>
            </w:pPr>
            <w:r w:rsidRPr="00901194">
              <w:rPr>
                <w:rFonts w:cs="Times New Roman"/>
              </w:rPr>
              <w:t>Leaf</w:t>
            </w:r>
          </w:p>
        </w:tc>
        <w:tc>
          <w:tcPr>
            <w:tcW w:w="1463" w:type="dxa"/>
            <w:hideMark/>
          </w:tcPr>
          <w:p w14:paraId="5BA1F3B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9A9DB83" w14:textId="77777777" w:rsidTr="00391854">
        <w:trPr>
          <w:trHeight w:val="300"/>
        </w:trPr>
        <w:tc>
          <w:tcPr>
            <w:tcW w:w="1697" w:type="dxa"/>
            <w:hideMark/>
          </w:tcPr>
          <w:p w14:paraId="3BDF62D5" w14:textId="77777777" w:rsidR="000A152B" w:rsidRPr="00901194" w:rsidRDefault="000A152B" w:rsidP="000A152B">
            <w:pPr>
              <w:spacing w:line="240" w:lineRule="auto"/>
              <w:rPr>
                <w:rFonts w:cs="Times New Roman"/>
              </w:rPr>
            </w:pPr>
            <w:r w:rsidRPr="00901194">
              <w:rPr>
                <w:rFonts w:cs="Times New Roman"/>
              </w:rPr>
              <w:t>NM_FT105</w:t>
            </w:r>
          </w:p>
        </w:tc>
        <w:tc>
          <w:tcPr>
            <w:tcW w:w="1530" w:type="dxa"/>
            <w:hideMark/>
          </w:tcPr>
          <w:p w14:paraId="03DF6285" w14:textId="77777777" w:rsidR="000A152B" w:rsidRPr="00901194" w:rsidRDefault="000A152B" w:rsidP="000A152B">
            <w:pPr>
              <w:spacing w:line="240" w:lineRule="auto"/>
              <w:rPr>
                <w:rFonts w:cs="Times New Roman"/>
              </w:rPr>
            </w:pPr>
            <w:r w:rsidRPr="00901194">
              <w:rPr>
                <w:rFonts w:cs="Times New Roman"/>
              </w:rPr>
              <w:t>Chimayo</w:t>
            </w:r>
          </w:p>
        </w:tc>
        <w:tc>
          <w:tcPr>
            <w:tcW w:w="2438" w:type="dxa"/>
            <w:hideMark/>
          </w:tcPr>
          <w:p w14:paraId="2BD3335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064DB08"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833A09E"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FA597A8" w14:textId="77777777" w:rsidR="000A152B" w:rsidRPr="00901194" w:rsidRDefault="000A152B" w:rsidP="000A152B">
            <w:pPr>
              <w:spacing w:line="240" w:lineRule="auto"/>
              <w:rPr>
                <w:rFonts w:cs="Times New Roman"/>
              </w:rPr>
            </w:pPr>
            <w:r w:rsidRPr="00901194">
              <w:rPr>
                <w:rFonts w:cs="Times New Roman"/>
              </w:rPr>
              <w:t>Flesh</w:t>
            </w:r>
          </w:p>
        </w:tc>
        <w:tc>
          <w:tcPr>
            <w:tcW w:w="1463" w:type="dxa"/>
            <w:hideMark/>
          </w:tcPr>
          <w:p w14:paraId="5EB7BBB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12D37895" w14:textId="77777777" w:rsidTr="00391854">
        <w:trPr>
          <w:trHeight w:val="300"/>
        </w:trPr>
        <w:tc>
          <w:tcPr>
            <w:tcW w:w="1697" w:type="dxa"/>
            <w:hideMark/>
          </w:tcPr>
          <w:p w14:paraId="1456FD9E" w14:textId="77777777" w:rsidR="000A152B" w:rsidRPr="00901194" w:rsidRDefault="000A152B" w:rsidP="000A152B">
            <w:pPr>
              <w:spacing w:line="240" w:lineRule="auto"/>
              <w:rPr>
                <w:rFonts w:cs="Times New Roman"/>
              </w:rPr>
            </w:pPr>
            <w:r w:rsidRPr="00901194">
              <w:rPr>
                <w:rFonts w:cs="Times New Roman"/>
              </w:rPr>
              <w:t>NM_FT106</w:t>
            </w:r>
          </w:p>
        </w:tc>
        <w:tc>
          <w:tcPr>
            <w:tcW w:w="1530" w:type="dxa"/>
            <w:hideMark/>
          </w:tcPr>
          <w:p w14:paraId="684C65BF" w14:textId="77777777" w:rsidR="000A152B" w:rsidRPr="00901194" w:rsidRDefault="000A152B" w:rsidP="000A152B">
            <w:pPr>
              <w:spacing w:line="240" w:lineRule="auto"/>
              <w:rPr>
                <w:rFonts w:cs="Times New Roman"/>
              </w:rPr>
            </w:pPr>
            <w:r w:rsidRPr="00901194">
              <w:rPr>
                <w:rFonts w:cs="Times New Roman"/>
              </w:rPr>
              <w:t>Chimayo</w:t>
            </w:r>
          </w:p>
        </w:tc>
        <w:tc>
          <w:tcPr>
            <w:tcW w:w="2438" w:type="dxa"/>
            <w:hideMark/>
          </w:tcPr>
          <w:p w14:paraId="55E837F0"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8B6CD13"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7E63868"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60EB3D7"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3D161293"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961BB11" w14:textId="77777777" w:rsidTr="00391854">
        <w:trPr>
          <w:trHeight w:val="300"/>
        </w:trPr>
        <w:tc>
          <w:tcPr>
            <w:tcW w:w="1697" w:type="dxa"/>
            <w:hideMark/>
          </w:tcPr>
          <w:p w14:paraId="55C5A42D" w14:textId="77777777" w:rsidR="000A152B" w:rsidRPr="00901194" w:rsidRDefault="000A152B" w:rsidP="000A152B">
            <w:pPr>
              <w:spacing w:line="240" w:lineRule="auto"/>
              <w:rPr>
                <w:rFonts w:cs="Times New Roman"/>
              </w:rPr>
            </w:pPr>
            <w:r w:rsidRPr="00901194">
              <w:rPr>
                <w:rFonts w:cs="Times New Roman"/>
              </w:rPr>
              <w:t>NM_FT108</w:t>
            </w:r>
          </w:p>
        </w:tc>
        <w:tc>
          <w:tcPr>
            <w:tcW w:w="1530" w:type="dxa"/>
            <w:hideMark/>
          </w:tcPr>
          <w:p w14:paraId="1A382718" w14:textId="77777777" w:rsidR="000A152B" w:rsidRPr="00901194" w:rsidRDefault="000A152B" w:rsidP="000A152B">
            <w:pPr>
              <w:spacing w:line="240" w:lineRule="auto"/>
              <w:rPr>
                <w:rFonts w:cs="Times New Roman"/>
              </w:rPr>
            </w:pPr>
            <w:r w:rsidRPr="00901194">
              <w:rPr>
                <w:rFonts w:cs="Times New Roman"/>
              </w:rPr>
              <w:t>Corn (blue)</w:t>
            </w:r>
          </w:p>
        </w:tc>
        <w:tc>
          <w:tcPr>
            <w:tcW w:w="2438" w:type="dxa"/>
            <w:hideMark/>
          </w:tcPr>
          <w:p w14:paraId="774087E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1AA8E00"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7164AD4"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D415CAA"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4F8CD8B0"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3369D4A" w14:textId="77777777" w:rsidTr="00391854">
        <w:trPr>
          <w:trHeight w:val="300"/>
        </w:trPr>
        <w:tc>
          <w:tcPr>
            <w:tcW w:w="1697" w:type="dxa"/>
            <w:hideMark/>
          </w:tcPr>
          <w:p w14:paraId="655260ED" w14:textId="77777777" w:rsidR="000A152B" w:rsidRPr="00901194" w:rsidRDefault="000A152B" w:rsidP="000A152B">
            <w:pPr>
              <w:spacing w:line="240" w:lineRule="auto"/>
              <w:rPr>
                <w:rFonts w:cs="Times New Roman"/>
              </w:rPr>
            </w:pPr>
            <w:r w:rsidRPr="00901194">
              <w:rPr>
                <w:rFonts w:cs="Times New Roman"/>
              </w:rPr>
              <w:t>NM_FT109</w:t>
            </w:r>
          </w:p>
        </w:tc>
        <w:tc>
          <w:tcPr>
            <w:tcW w:w="1530" w:type="dxa"/>
            <w:hideMark/>
          </w:tcPr>
          <w:p w14:paraId="245D5790" w14:textId="77777777" w:rsidR="000A152B" w:rsidRPr="00901194" w:rsidRDefault="000A152B" w:rsidP="000A152B">
            <w:pPr>
              <w:spacing w:line="240" w:lineRule="auto"/>
              <w:rPr>
                <w:rFonts w:cs="Times New Roman"/>
              </w:rPr>
            </w:pPr>
            <w:r w:rsidRPr="00901194">
              <w:rPr>
                <w:rFonts w:cs="Times New Roman"/>
              </w:rPr>
              <w:t>Corn (bright yellow)</w:t>
            </w:r>
          </w:p>
        </w:tc>
        <w:tc>
          <w:tcPr>
            <w:tcW w:w="2438" w:type="dxa"/>
            <w:hideMark/>
          </w:tcPr>
          <w:p w14:paraId="2BF505A2"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1E5D4E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92616A3"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53F27FB"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42EDADF0"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AA00133" w14:textId="77777777" w:rsidTr="00391854">
        <w:trPr>
          <w:trHeight w:val="300"/>
        </w:trPr>
        <w:tc>
          <w:tcPr>
            <w:tcW w:w="1697" w:type="dxa"/>
            <w:hideMark/>
          </w:tcPr>
          <w:p w14:paraId="513CF633" w14:textId="77777777" w:rsidR="000A152B" w:rsidRPr="00901194" w:rsidRDefault="000A152B" w:rsidP="000A152B">
            <w:pPr>
              <w:spacing w:line="240" w:lineRule="auto"/>
              <w:rPr>
                <w:rFonts w:cs="Times New Roman"/>
              </w:rPr>
            </w:pPr>
            <w:r w:rsidRPr="00901194">
              <w:rPr>
                <w:rFonts w:cs="Times New Roman"/>
              </w:rPr>
              <w:t>NM_FT110</w:t>
            </w:r>
          </w:p>
        </w:tc>
        <w:tc>
          <w:tcPr>
            <w:tcW w:w="1530" w:type="dxa"/>
            <w:hideMark/>
          </w:tcPr>
          <w:p w14:paraId="2ABDE5F5" w14:textId="77777777" w:rsidR="000A152B" w:rsidRPr="00901194" w:rsidRDefault="000A152B" w:rsidP="000A152B">
            <w:pPr>
              <w:spacing w:line="240" w:lineRule="auto"/>
              <w:rPr>
                <w:rFonts w:cs="Times New Roman"/>
              </w:rPr>
            </w:pPr>
            <w:r w:rsidRPr="00901194">
              <w:rPr>
                <w:rFonts w:cs="Times New Roman"/>
              </w:rPr>
              <w:t>Corn (dried dark yellow)</w:t>
            </w:r>
          </w:p>
        </w:tc>
        <w:tc>
          <w:tcPr>
            <w:tcW w:w="2438" w:type="dxa"/>
            <w:hideMark/>
          </w:tcPr>
          <w:p w14:paraId="522BC34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3EEEAAE"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FAE1364"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42AB8AC"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35FB740E"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239ED1C" w14:textId="77777777" w:rsidTr="00391854">
        <w:trPr>
          <w:trHeight w:val="300"/>
        </w:trPr>
        <w:tc>
          <w:tcPr>
            <w:tcW w:w="1697" w:type="dxa"/>
            <w:hideMark/>
          </w:tcPr>
          <w:p w14:paraId="375AB946" w14:textId="77777777" w:rsidR="000A152B" w:rsidRPr="00901194" w:rsidRDefault="000A152B" w:rsidP="000A152B">
            <w:pPr>
              <w:spacing w:line="240" w:lineRule="auto"/>
              <w:rPr>
                <w:rFonts w:cs="Times New Roman"/>
              </w:rPr>
            </w:pPr>
            <w:r w:rsidRPr="00901194">
              <w:rPr>
                <w:rFonts w:cs="Times New Roman"/>
              </w:rPr>
              <w:lastRenderedPageBreak/>
              <w:t>NM_FT111</w:t>
            </w:r>
          </w:p>
        </w:tc>
        <w:tc>
          <w:tcPr>
            <w:tcW w:w="1530" w:type="dxa"/>
            <w:hideMark/>
          </w:tcPr>
          <w:p w14:paraId="2E8291AA" w14:textId="77777777" w:rsidR="000A152B" w:rsidRPr="00901194" w:rsidRDefault="000A152B" w:rsidP="000A152B">
            <w:pPr>
              <w:spacing w:line="240" w:lineRule="auto"/>
              <w:rPr>
                <w:rFonts w:cs="Times New Roman"/>
              </w:rPr>
            </w:pPr>
            <w:r w:rsidRPr="00901194">
              <w:rPr>
                <w:rFonts w:cs="Times New Roman"/>
              </w:rPr>
              <w:t>Corn (dried white-pink)</w:t>
            </w:r>
          </w:p>
        </w:tc>
        <w:tc>
          <w:tcPr>
            <w:tcW w:w="2438" w:type="dxa"/>
            <w:hideMark/>
          </w:tcPr>
          <w:p w14:paraId="621AFB6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02C682D"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2A56F8D"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FB5289A"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03E34E27"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5FDA64D" w14:textId="77777777" w:rsidTr="00391854">
        <w:trPr>
          <w:trHeight w:val="300"/>
        </w:trPr>
        <w:tc>
          <w:tcPr>
            <w:tcW w:w="1697" w:type="dxa"/>
            <w:hideMark/>
          </w:tcPr>
          <w:p w14:paraId="434A14D4" w14:textId="77777777" w:rsidR="000A152B" w:rsidRPr="00901194" w:rsidRDefault="000A152B" w:rsidP="000A152B">
            <w:pPr>
              <w:spacing w:line="240" w:lineRule="auto"/>
              <w:rPr>
                <w:rFonts w:cs="Times New Roman"/>
              </w:rPr>
            </w:pPr>
            <w:r w:rsidRPr="00901194">
              <w:rPr>
                <w:rFonts w:cs="Times New Roman"/>
              </w:rPr>
              <w:t>NM_FT112</w:t>
            </w:r>
          </w:p>
        </w:tc>
        <w:tc>
          <w:tcPr>
            <w:tcW w:w="1530" w:type="dxa"/>
            <w:hideMark/>
          </w:tcPr>
          <w:p w14:paraId="0C0DD1B3" w14:textId="77777777" w:rsidR="000A152B" w:rsidRPr="00901194" w:rsidRDefault="000A152B" w:rsidP="000A152B">
            <w:pPr>
              <w:spacing w:line="240" w:lineRule="auto"/>
              <w:rPr>
                <w:rFonts w:cs="Times New Roman"/>
              </w:rPr>
            </w:pPr>
            <w:r w:rsidRPr="00901194">
              <w:rPr>
                <w:rFonts w:cs="Times New Roman"/>
              </w:rPr>
              <w:t>Corn (dried red)</w:t>
            </w:r>
          </w:p>
        </w:tc>
        <w:tc>
          <w:tcPr>
            <w:tcW w:w="2438" w:type="dxa"/>
            <w:hideMark/>
          </w:tcPr>
          <w:p w14:paraId="09327ADA"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09FA0DC"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36EB0372"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0EFF910"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4132D40C"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8706BEB" w14:textId="77777777" w:rsidTr="00391854">
        <w:trPr>
          <w:trHeight w:val="300"/>
        </w:trPr>
        <w:tc>
          <w:tcPr>
            <w:tcW w:w="1697" w:type="dxa"/>
            <w:hideMark/>
          </w:tcPr>
          <w:p w14:paraId="7EE1BEEC" w14:textId="77777777" w:rsidR="000A152B" w:rsidRPr="00901194" w:rsidRDefault="000A152B" w:rsidP="000A152B">
            <w:pPr>
              <w:spacing w:line="240" w:lineRule="auto"/>
              <w:rPr>
                <w:rFonts w:cs="Times New Roman"/>
              </w:rPr>
            </w:pPr>
            <w:r w:rsidRPr="00901194">
              <w:rPr>
                <w:rFonts w:cs="Times New Roman"/>
              </w:rPr>
              <w:t>NM_FT113</w:t>
            </w:r>
          </w:p>
        </w:tc>
        <w:tc>
          <w:tcPr>
            <w:tcW w:w="1530" w:type="dxa"/>
            <w:hideMark/>
          </w:tcPr>
          <w:p w14:paraId="3566539A" w14:textId="77777777" w:rsidR="000A152B" w:rsidRPr="00901194" w:rsidRDefault="000A152B" w:rsidP="000A152B">
            <w:pPr>
              <w:spacing w:line="240" w:lineRule="auto"/>
              <w:rPr>
                <w:rFonts w:cs="Times New Roman"/>
              </w:rPr>
            </w:pPr>
            <w:r w:rsidRPr="00901194">
              <w:rPr>
                <w:rFonts w:cs="Times New Roman"/>
              </w:rPr>
              <w:t>Corn (dried black-purple)</w:t>
            </w:r>
          </w:p>
        </w:tc>
        <w:tc>
          <w:tcPr>
            <w:tcW w:w="2438" w:type="dxa"/>
            <w:hideMark/>
          </w:tcPr>
          <w:p w14:paraId="31A21C2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31DE805"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D5ACCFA"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F765F66"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3B3697F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631BD12" w14:textId="77777777" w:rsidTr="00391854">
        <w:trPr>
          <w:trHeight w:val="300"/>
        </w:trPr>
        <w:tc>
          <w:tcPr>
            <w:tcW w:w="1697" w:type="dxa"/>
            <w:hideMark/>
          </w:tcPr>
          <w:p w14:paraId="4BE8EF03" w14:textId="77777777" w:rsidR="000A152B" w:rsidRPr="00901194" w:rsidRDefault="000A152B" w:rsidP="000A152B">
            <w:pPr>
              <w:spacing w:line="240" w:lineRule="auto"/>
              <w:rPr>
                <w:rFonts w:cs="Times New Roman"/>
              </w:rPr>
            </w:pPr>
            <w:r w:rsidRPr="00901194">
              <w:rPr>
                <w:rFonts w:cs="Times New Roman"/>
              </w:rPr>
              <w:t>NM_FT114</w:t>
            </w:r>
          </w:p>
        </w:tc>
        <w:tc>
          <w:tcPr>
            <w:tcW w:w="1530" w:type="dxa"/>
            <w:hideMark/>
          </w:tcPr>
          <w:p w14:paraId="42261B5C" w14:textId="77777777" w:rsidR="000A152B" w:rsidRPr="00901194" w:rsidRDefault="000A152B" w:rsidP="000A152B">
            <w:pPr>
              <w:spacing w:line="240" w:lineRule="auto"/>
              <w:rPr>
                <w:rFonts w:cs="Times New Roman"/>
              </w:rPr>
            </w:pPr>
            <w:r w:rsidRPr="00901194">
              <w:rPr>
                <w:rFonts w:cs="Times New Roman"/>
              </w:rPr>
              <w:t>Corn (dried white)</w:t>
            </w:r>
          </w:p>
        </w:tc>
        <w:tc>
          <w:tcPr>
            <w:tcW w:w="2438" w:type="dxa"/>
            <w:hideMark/>
          </w:tcPr>
          <w:p w14:paraId="4AF46705"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D21196A"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9D8AEE2"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8B9D07F"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7B805B0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C4C6C4F" w14:textId="77777777" w:rsidTr="00391854">
        <w:trPr>
          <w:trHeight w:val="300"/>
        </w:trPr>
        <w:tc>
          <w:tcPr>
            <w:tcW w:w="1697" w:type="dxa"/>
            <w:hideMark/>
          </w:tcPr>
          <w:p w14:paraId="3D2F099F" w14:textId="77777777" w:rsidR="000A152B" w:rsidRPr="00901194" w:rsidRDefault="000A152B" w:rsidP="000A152B">
            <w:pPr>
              <w:spacing w:line="240" w:lineRule="auto"/>
              <w:rPr>
                <w:rFonts w:cs="Times New Roman"/>
              </w:rPr>
            </w:pPr>
            <w:r w:rsidRPr="00901194">
              <w:rPr>
                <w:rFonts w:cs="Times New Roman"/>
              </w:rPr>
              <w:t>NM_FT115</w:t>
            </w:r>
          </w:p>
        </w:tc>
        <w:tc>
          <w:tcPr>
            <w:tcW w:w="1530" w:type="dxa"/>
            <w:hideMark/>
          </w:tcPr>
          <w:p w14:paraId="5090E770" w14:textId="77777777" w:rsidR="000A152B" w:rsidRPr="00901194" w:rsidRDefault="000A152B" w:rsidP="000A152B">
            <w:pPr>
              <w:spacing w:line="240" w:lineRule="auto"/>
              <w:rPr>
                <w:rFonts w:cs="Times New Roman"/>
              </w:rPr>
            </w:pPr>
            <w:r w:rsidRPr="00901194">
              <w:rPr>
                <w:rFonts w:cs="Times New Roman"/>
              </w:rPr>
              <w:t>Yellow pasole (processed with lime)</w:t>
            </w:r>
          </w:p>
        </w:tc>
        <w:tc>
          <w:tcPr>
            <w:tcW w:w="2438" w:type="dxa"/>
            <w:hideMark/>
          </w:tcPr>
          <w:p w14:paraId="620B82E3"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EA91814"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80D9A65"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CE8FA84"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40DF9463"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48FE81A" w14:textId="77777777" w:rsidTr="00391854">
        <w:trPr>
          <w:trHeight w:val="300"/>
        </w:trPr>
        <w:tc>
          <w:tcPr>
            <w:tcW w:w="1697" w:type="dxa"/>
            <w:hideMark/>
          </w:tcPr>
          <w:p w14:paraId="7AE40470" w14:textId="77777777" w:rsidR="000A152B" w:rsidRPr="00901194" w:rsidRDefault="000A152B" w:rsidP="000A152B">
            <w:pPr>
              <w:spacing w:line="240" w:lineRule="auto"/>
              <w:rPr>
                <w:rFonts w:cs="Times New Roman"/>
              </w:rPr>
            </w:pPr>
            <w:r w:rsidRPr="00901194">
              <w:rPr>
                <w:rFonts w:cs="Times New Roman"/>
              </w:rPr>
              <w:t>NM_FT116</w:t>
            </w:r>
          </w:p>
        </w:tc>
        <w:tc>
          <w:tcPr>
            <w:tcW w:w="1530" w:type="dxa"/>
            <w:hideMark/>
          </w:tcPr>
          <w:p w14:paraId="188B328D" w14:textId="77777777" w:rsidR="000A152B" w:rsidRPr="00901194" w:rsidRDefault="000A152B" w:rsidP="000A152B">
            <w:pPr>
              <w:spacing w:line="240" w:lineRule="auto"/>
              <w:rPr>
                <w:rFonts w:cs="Times New Roman"/>
              </w:rPr>
            </w:pPr>
            <w:r w:rsidRPr="00901194">
              <w:rPr>
                <w:rFonts w:cs="Times New Roman"/>
              </w:rPr>
              <w:t>Blue atole (roasted with lime)</w:t>
            </w:r>
          </w:p>
        </w:tc>
        <w:tc>
          <w:tcPr>
            <w:tcW w:w="2438" w:type="dxa"/>
            <w:hideMark/>
          </w:tcPr>
          <w:p w14:paraId="2F1F1A6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7457AD9"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F86B9F7"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E98F820" w14:textId="77777777" w:rsidR="000A152B" w:rsidRPr="00901194" w:rsidRDefault="000A152B" w:rsidP="000A152B">
            <w:pPr>
              <w:spacing w:line="240" w:lineRule="auto"/>
              <w:rPr>
                <w:rFonts w:cs="Times New Roman"/>
              </w:rPr>
            </w:pPr>
            <w:r w:rsidRPr="00901194">
              <w:rPr>
                <w:rFonts w:cs="Times New Roman"/>
              </w:rPr>
              <w:t>Powder</w:t>
            </w:r>
          </w:p>
        </w:tc>
        <w:tc>
          <w:tcPr>
            <w:tcW w:w="1463" w:type="dxa"/>
            <w:hideMark/>
          </w:tcPr>
          <w:p w14:paraId="1D738A5E"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8066393" w14:textId="77777777" w:rsidTr="00391854">
        <w:trPr>
          <w:trHeight w:val="300"/>
        </w:trPr>
        <w:tc>
          <w:tcPr>
            <w:tcW w:w="1697" w:type="dxa"/>
            <w:hideMark/>
          </w:tcPr>
          <w:p w14:paraId="4FC810E0" w14:textId="77777777" w:rsidR="000A152B" w:rsidRPr="00901194" w:rsidRDefault="000A152B" w:rsidP="000A152B">
            <w:pPr>
              <w:spacing w:line="240" w:lineRule="auto"/>
              <w:rPr>
                <w:rFonts w:cs="Times New Roman"/>
              </w:rPr>
            </w:pPr>
            <w:r w:rsidRPr="00901194">
              <w:rPr>
                <w:rFonts w:cs="Times New Roman"/>
              </w:rPr>
              <w:t>NM_FT117</w:t>
            </w:r>
          </w:p>
        </w:tc>
        <w:tc>
          <w:tcPr>
            <w:tcW w:w="1530" w:type="dxa"/>
            <w:hideMark/>
          </w:tcPr>
          <w:p w14:paraId="493C3CB6" w14:textId="77777777" w:rsidR="000A152B" w:rsidRPr="00901194" w:rsidRDefault="000A152B" w:rsidP="000A152B">
            <w:pPr>
              <w:spacing w:line="240" w:lineRule="auto"/>
              <w:rPr>
                <w:rFonts w:cs="Times New Roman"/>
              </w:rPr>
            </w:pPr>
            <w:r w:rsidRPr="00901194">
              <w:rPr>
                <w:rFonts w:cs="Times New Roman"/>
              </w:rPr>
              <w:t>Red masa (processed with commercial lime)</w:t>
            </w:r>
          </w:p>
        </w:tc>
        <w:tc>
          <w:tcPr>
            <w:tcW w:w="2438" w:type="dxa"/>
            <w:hideMark/>
          </w:tcPr>
          <w:p w14:paraId="26F1FC1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C5FEBDF"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6E89FBA"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55449AFB" w14:textId="77777777" w:rsidR="000A152B" w:rsidRPr="00901194" w:rsidRDefault="000A152B" w:rsidP="000A152B">
            <w:pPr>
              <w:spacing w:line="240" w:lineRule="auto"/>
              <w:rPr>
                <w:rFonts w:cs="Times New Roman"/>
              </w:rPr>
            </w:pPr>
            <w:r w:rsidRPr="00901194">
              <w:rPr>
                <w:rFonts w:cs="Times New Roman"/>
              </w:rPr>
              <w:t>Powder</w:t>
            </w:r>
          </w:p>
        </w:tc>
        <w:tc>
          <w:tcPr>
            <w:tcW w:w="1463" w:type="dxa"/>
            <w:hideMark/>
          </w:tcPr>
          <w:p w14:paraId="43FA6520"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DF06409" w14:textId="77777777" w:rsidTr="00391854">
        <w:trPr>
          <w:trHeight w:val="300"/>
        </w:trPr>
        <w:tc>
          <w:tcPr>
            <w:tcW w:w="1697" w:type="dxa"/>
            <w:hideMark/>
          </w:tcPr>
          <w:p w14:paraId="2826EE46" w14:textId="77777777" w:rsidR="000A152B" w:rsidRPr="00901194" w:rsidRDefault="000A152B" w:rsidP="000A152B">
            <w:pPr>
              <w:spacing w:line="240" w:lineRule="auto"/>
              <w:rPr>
                <w:rFonts w:cs="Times New Roman"/>
              </w:rPr>
            </w:pPr>
            <w:r w:rsidRPr="00901194">
              <w:rPr>
                <w:rFonts w:cs="Times New Roman"/>
              </w:rPr>
              <w:t>NM_FT118</w:t>
            </w:r>
          </w:p>
        </w:tc>
        <w:tc>
          <w:tcPr>
            <w:tcW w:w="1530" w:type="dxa"/>
            <w:hideMark/>
          </w:tcPr>
          <w:p w14:paraId="788FAE3F" w14:textId="77777777" w:rsidR="000A152B" w:rsidRPr="00901194" w:rsidRDefault="000A152B" w:rsidP="000A152B">
            <w:pPr>
              <w:spacing w:line="240" w:lineRule="auto"/>
              <w:rPr>
                <w:rFonts w:cs="Times New Roman"/>
              </w:rPr>
            </w:pPr>
            <w:r w:rsidRPr="00901194">
              <w:rPr>
                <w:rFonts w:cs="Times New Roman"/>
              </w:rPr>
              <w:t>Red posole (processed with lime)</w:t>
            </w:r>
          </w:p>
        </w:tc>
        <w:tc>
          <w:tcPr>
            <w:tcW w:w="2438" w:type="dxa"/>
            <w:hideMark/>
          </w:tcPr>
          <w:p w14:paraId="3B1C9748"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2E46A50"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FCF7201"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4555C43" w14:textId="77777777" w:rsidR="000A152B" w:rsidRPr="00901194" w:rsidRDefault="000A152B" w:rsidP="000A152B">
            <w:pPr>
              <w:spacing w:line="240" w:lineRule="auto"/>
              <w:rPr>
                <w:rFonts w:cs="Times New Roman"/>
              </w:rPr>
            </w:pPr>
            <w:r w:rsidRPr="00901194">
              <w:rPr>
                <w:rFonts w:cs="Times New Roman"/>
              </w:rPr>
              <w:t>Powder</w:t>
            </w:r>
          </w:p>
        </w:tc>
        <w:tc>
          <w:tcPr>
            <w:tcW w:w="1463" w:type="dxa"/>
            <w:hideMark/>
          </w:tcPr>
          <w:p w14:paraId="09C1769F"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70C8B05" w14:textId="77777777" w:rsidTr="00391854">
        <w:trPr>
          <w:trHeight w:val="300"/>
        </w:trPr>
        <w:tc>
          <w:tcPr>
            <w:tcW w:w="1697" w:type="dxa"/>
            <w:hideMark/>
          </w:tcPr>
          <w:p w14:paraId="6A3AA8E6" w14:textId="77777777" w:rsidR="000A152B" w:rsidRPr="00901194" w:rsidRDefault="000A152B" w:rsidP="000A152B">
            <w:pPr>
              <w:spacing w:line="240" w:lineRule="auto"/>
              <w:rPr>
                <w:rFonts w:cs="Times New Roman"/>
              </w:rPr>
            </w:pPr>
            <w:r w:rsidRPr="00901194">
              <w:rPr>
                <w:rFonts w:cs="Times New Roman"/>
              </w:rPr>
              <w:t>NM_FT119</w:t>
            </w:r>
          </w:p>
        </w:tc>
        <w:tc>
          <w:tcPr>
            <w:tcW w:w="1530" w:type="dxa"/>
            <w:hideMark/>
          </w:tcPr>
          <w:p w14:paraId="676E7484" w14:textId="77777777" w:rsidR="000A152B" w:rsidRPr="00901194" w:rsidRDefault="000A152B" w:rsidP="000A152B">
            <w:pPr>
              <w:spacing w:line="240" w:lineRule="auto"/>
              <w:rPr>
                <w:rFonts w:cs="Times New Roman"/>
              </w:rPr>
            </w:pPr>
            <w:r w:rsidRPr="00901194">
              <w:rPr>
                <w:rFonts w:cs="Times New Roman"/>
              </w:rPr>
              <w:t>Flowering tree chile</w:t>
            </w:r>
          </w:p>
        </w:tc>
        <w:tc>
          <w:tcPr>
            <w:tcW w:w="2438" w:type="dxa"/>
            <w:hideMark/>
          </w:tcPr>
          <w:p w14:paraId="1378DA8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E650A99"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5544BFA"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2DF378BC" w14:textId="77777777" w:rsidR="000A152B" w:rsidRPr="00901194" w:rsidRDefault="000A152B" w:rsidP="000A152B">
            <w:pPr>
              <w:spacing w:line="240" w:lineRule="auto"/>
              <w:rPr>
                <w:rFonts w:cs="Times New Roman"/>
              </w:rPr>
            </w:pPr>
            <w:r w:rsidRPr="00901194">
              <w:rPr>
                <w:rFonts w:cs="Times New Roman"/>
              </w:rPr>
              <w:t>Flesh</w:t>
            </w:r>
          </w:p>
        </w:tc>
        <w:tc>
          <w:tcPr>
            <w:tcW w:w="1463" w:type="dxa"/>
            <w:hideMark/>
          </w:tcPr>
          <w:p w14:paraId="706B7FA3"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1F3AAEF" w14:textId="77777777" w:rsidTr="00391854">
        <w:trPr>
          <w:trHeight w:val="300"/>
        </w:trPr>
        <w:tc>
          <w:tcPr>
            <w:tcW w:w="1697" w:type="dxa"/>
            <w:hideMark/>
          </w:tcPr>
          <w:p w14:paraId="673E33ED" w14:textId="77777777" w:rsidR="000A152B" w:rsidRPr="00901194" w:rsidRDefault="000A152B" w:rsidP="000A152B">
            <w:pPr>
              <w:spacing w:line="240" w:lineRule="auto"/>
              <w:rPr>
                <w:rFonts w:cs="Times New Roman"/>
              </w:rPr>
            </w:pPr>
            <w:r w:rsidRPr="00901194">
              <w:rPr>
                <w:rFonts w:cs="Times New Roman"/>
              </w:rPr>
              <w:t>NM_FT120</w:t>
            </w:r>
          </w:p>
        </w:tc>
        <w:tc>
          <w:tcPr>
            <w:tcW w:w="1530" w:type="dxa"/>
            <w:hideMark/>
          </w:tcPr>
          <w:p w14:paraId="585B07A1" w14:textId="77777777" w:rsidR="000A152B" w:rsidRPr="00901194" w:rsidRDefault="000A152B" w:rsidP="000A152B">
            <w:pPr>
              <w:spacing w:line="240" w:lineRule="auto"/>
              <w:rPr>
                <w:rFonts w:cs="Times New Roman"/>
              </w:rPr>
            </w:pPr>
            <w:r w:rsidRPr="00901194">
              <w:rPr>
                <w:rFonts w:cs="Times New Roman"/>
              </w:rPr>
              <w:t>Flowering tree chile</w:t>
            </w:r>
          </w:p>
        </w:tc>
        <w:tc>
          <w:tcPr>
            <w:tcW w:w="2438" w:type="dxa"/>
            <w:hideMark/>
          </w:tcPr>
          <w:p w14:paraId="374080FB"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0A100B0"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BA4422A"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678B4A7A" w14:textId="77777777" w:rsidR="000A152B" w:rsidRPr="00901194" w:rsidRDefault="000A152B" w:rsidP="000A152B">
            <w:pPr>
              <w:spacing w:line="240" w:lineRule="auto"/>
              <w:rPr>
                <w:rFonts w:cs="Times New Roman"/>
              </w:rPr>
            </w:pPr>
            <w:r w:rsidRPr="00901194">
              <w:rPr>
                <w:rFonts w:cs="Times New Roman"/>
              </w:rPr>
              <w:t>Seed</w:t>
            </w:r>
          </w:p>
        </w:tc>
        <w:tc>
          <w:tcPr>
            <w:tcW w:w="1463" w:type="dxa"/>
            <w:hideMark/>
          </w:tcPr>
          <w:p w14:paraId="65B52906"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4FE6EC1" w14:textId="77777777" w:rsidTr="00391854">
        <w:trPr>
          <w:trHeight w:val="300"/>
        </w:trPr>
        <w:tc>
          <w:tcPr>
            <w:tcW w:w="1697" w:type="dxa"/>
            <w:hideMark/>
          </w:tcPr>
          <w:p w14:paraId="2BF19846" w14:textId="77777777" w:rsidR="000A152B" w:rsidRPr="00901194" w:rsidRDefault="000A152B" w:rsidP="000A152B">
            <w:pPr>
              <w:spacing w:line="240" w:lineRule="auto"/>
              <w:rPr>
                <w:rFonts w:cs="Times New Roman"/>
              </w:rPr>
            </w:pPr>
            <w:r w:rsidRPr="00901194">
              <w:rPr>
                <w:rFonts w:cs="Times New Roman"/>
              </w:rPr>
              <w:t>NM_FT121</w:t>
            </w:r>
          </w:p>
        </w:tc>
        <w:tc>
          <w:tcPr>
            <w:tcW w:w="1530" w:type="dxa"/>
            <w:hideMark/>
          </w:tcPr>
          <w:p w14:paraId="6E6B7C3C" w14:textId="77777777" w:rsidR="000A152B" w:rsidRPr="00901194" w:rsidRDefault="000A152B" w:rsidP="000A152B">
            <w:pPr>
              <w:spacing w:line="240" w:lineRule="auto"/>
              <w:rPr>
                <w:rFonts w:cs="Times New Roman"/>
              </w:rPr>
            </w:pPr>
            <w:r w:rsidRPr="00901194">
              <w:rPr>
                <w:rFonts w:cs="Times New Roman"/>
              </w:rPr>
              <w:t>Yellow bean</w:t>
            </w:r>
          </w:p>
        </w:tc>
        <w:tc>
          <w:tcPr>
            <w:tcW w:w="2438" w:type="dxa"/>
            <w:hideMark/>
          </w:tcPr>
          <w:p w14:paraId="2C89FC9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4ABEAD2"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25C5C73"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7C53594D" w14:textId="77777777" w:rsidR="000A152B" w:rsidRPr="00901194" w:rsidRDefault="000A152B" w:rsidP="000A152B">
            <w:pPr>
              <w:spacing w:line="240" w:lineRule="auto"/>
              <w:rPr>
                <w:rFonts w:cs="Times New Roman"/>
              </w:rPr>
            </w:pPr>
            <w:r w:rsidRPr="00901194">
              <w:rPr>
                <w:rFonts w:cs="Times New Roman"/>
              </w:rPr>
              <w:t>Bean</w:t>
            </w:r>
          </w:p>
        </w:tc>
        <w:tc>
          <w:tcPr>
            <w:tcW w:w="1463" w:type="dxa"/>
            <w:hideMark/>
          </w:tcPr>
          <w:p w14:paraId="2495E1A6"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24D36157" w14:textId="77777777" w:rsidTr="00391854">
        <w:trPr>
          <w:trHeight w:val="300"/>
        </w:trPr>
        <w:tc>
          <w:tcPr>
            <w:tcW w:w="1697" w:type="dxa"/>
            <w:hideMark/>
          </w:tcPr>
          <w:p w14:paraId="4FEBA699" w14:textId="77777777" w:rsidR="000A152B" w:rsidRPr="00901194" w:rsidRDefault="000A152B" w:rsidP="000A152B">
            <w:pPr>
              <w:spacing w:line="240" w:lineRule="auto"/>
              <w:rPr>
                <w:rFonts w:cs="Times New Roman"/>
              </w:rPr>
            </w:pPr>
            <w:r w:rsidRPr="00901194">
              <w:rPr>
                <w:rFonts w:cs="Times New Roman"/>
              </w:rPr>
              <w:lastRenderedPageBreak/>
              <w:t>NM_FT122</w:t>
            </w:r>
          </w:p>
        </w:tc>
        <w:tc>
          <w:tcPr>
            <w:tcW w:w="1530" w:type="dxa"/>
            <w:hideMark/>
          </w:tcPr>
          <w:p w14:paraId="1E63162C" w14:textId="77777777" w:rsidR="000A152B" w:rsidRPr="00901194" w:rsidRDefault="000A152B" w:rsidP="000A152B">
            <w:pPr>
              <w:spacing w:line="240" w:lineRule="auto"/>
              <w:rPr>
                <w:rFonts w:cs="Times New Roman"/>
              </w:rPr>
            </w:pPr>
            <w:r w:rsidRPr="00901194">
              <w:rPr>
                <w:rFonts w:cs="Times New Roman"/>
              </w:rPr>
              <w:t>Taos read bean</w:t>
            </w:r>
          </w:p>
        </w:tc>
        <w:tc>
          <w:tcPr>
            <w:tcW w:w="2438" w:type="dxa"/>
            <w:hideMark/>
          </w:tcPr>
          <w:p w14:paraId="5A56609D"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EC53D94"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FD828BD"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29FA990" w14:textId="77777777" w:rsidR="000A152B" w:rsidRPr="00901194" w:rsidRDefault="000A152B" w:rsidP="000A152B">
            <w:pPr>
              <w:spacing w:line="240" w:lineRule="auto"/>
              <w:rPr>
                <w:rFonts w:cs="Times New Roman"/>
              </w:rPr>
            </w:pPr>
            <w:r w:rsidRPr="00901194">
              <w:rPr>
                <w:rFonts w:cs="Times New Roman"/>
              </w:rPr>
              <w:t>Bean</w:t>
            </w:r>
          </w:p>
        </w:tc>
        <w:tc>
          <w:tcPr>
            <w:tcW w:w="1463" w:type="dxa"/>
            <w:hideMark/>
          </w:tcPr>
          <w:p w14:paraId="1238B70E"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9311070" w14:textId="77777777" w:rsidTr="00391854">
        <w:trPr>
          <w:trHeight w:val="300"/>
        </w:trPr>
        <w:tc>
          <w:tcPr>
            <w:tcW w:w="1697" w:type="dxa"/>
            <w:hideMark/>
          </w:tcPr>
          <w:p w14:paraId="5C4A047F" w14:textId="77777777" w:rsidR="000A152B" w:rsidRPr="00901194" w:rsidRDefault="000A152B" w:rsidP="000A152B">
            <w:pPr>
              <w:spacing w:line="240" w:lineRule="auto"/>
              <w:rPr>
                <w:rFonts w:cs="Times New Roman"/>
              </w:rPr>
            </w:pPr>
            <w:r w:rsidRPr="00901194">
              <w:rPr>
                <w:rFonts w:cs="Times New Roman"/>
              </w:rPr>
              <w:t>NM_FT123</w:t>
            </w:r>
          </w:p>
        </w:tc>
        <w:tc>
          <w:tcPr>
            <w:tcW w:w="1530" w:type="dxa"/>
            <w:hideMark/>
          </w:tcPr>
          <w:p w14:paraId="1E9B5754" w14:textId="77777777" w:rsidR="000A152B" w:rsidRPr="00901194" w:rsidRDefault="000A152B" w:rsidP="000A152B">
            <w:pPr>
              <w:spacing w:line="240" w:lineRule="auto"/>
              <w:rPr>
                <w:rFonts w:cs="Times New Roman"/>
              </w:rPr>
            </w:pPr>
            <w:r w:rsidRPr="00901194">
              <w:rPr>
                <w:rFonts w:cs="Times New Roman"/>
              </w:rPr>
              <w:t>Pueblo black bean</w:t>
            </w:r>
          </w:p>
        </w:tc>
        <w:tc>
          <w:tcPr>
            <w:tcW w:w="2438" w:type="dxa"/>
            <w:hideMark/>
          </w:tcPr>
          <w:p w14:paraId="4871E72A"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4BE1232"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1ACCDD23"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404C3A71" w14:textId="77777777" w:rsidR="000A152B" w:rsidRPr="00901194" w:rsidRDefault="000A152B" w:rsidP="000A152B">
            <w:pPr>
              <w:spacing w:line="240" w:lineRule="auto"/>
              <w:rPr>
                <w:rFonts w:cs="Times New Roman"/>
              </w:rPr>
            </w:pPr>
            <w:r w:rsidRPr="00901194">
              <w:rPr>
                <w:rFonts w:cs="Times New Roman"/>
              </w:rPr>
              <w:t>Bean</w:t>
            </w:r>
          </w:p>
        </w:tc>
        <w:tc>
          <w:tcPr>
            <w:tcW w:w="1463" w:type="dxa"/>
            <w:hideMark/>
          </w:tcPr>
          <w:p w14:paraId="476AD9C4"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C2D9AE0" w14:textId="77777777" w:rsidTr="00391854">
        <w:trPr>
          <w:trHeight w:val="300"/>
        </w:trPr>
        <w:tc>
          <w:tcPr>
            <w:tcW w:w="1697" w:type="dxa"/>
            <w:hideMark/>
          </w:tcPr>
          <w:p w14:paraId="1A508988" w14:textId="77777777" w:rsidR="000A152B" w:rsidRPr="00901194" w:rsidRDefault="000A152B" w:rsidP="000A152B">
            <w:pPr>
              <w:spacing w:line="240" w:lineRule="auto"/>
              <w:rPr>
                <w:rFonts w:cs="Times New Roman"/>
              </w:rPr>
            </w:pPr>
            <w:r w:rsidRPr="00901194">
              <w:rPr>
                <w:rFonts w:cs="Times New Roman"/>
              </w:rPr>
              <w:t>NM_FT124</w:t>
            </w:r>
          </w:p>
        </w:tc>
        <w:tc>
          <w:tcPr>
            <w:tcW w:w="1530" w:type="dxa"/>
            <w:hideMark/>
          </w:tcPr>
          <w:p w14:paraId="1EB8EF04" w14:textId="77777777" w:rsidR="000A152B" w:rsidRPr="00901194" w:rsidRDefault="000A152B" w:rsidP="000A152B">
            <w:pPr>
              <w:spacing w:line="240" w:lineRule="auto"/>
              <w:rPr>
                <w:rFonts w:cs="Times New Roman"/>
              </w:rPr>
            </w:pPr>
            <w:r w:rsidRPr="00901194">
              <w:rPr>
                <w:rFonts w:cs="Times New Roman"/>
              </w:rPr>
              <w:t>Anasazi bean</w:t>
            </w:r>
          </w:p>
        </w:tc>
        <w:tc>
          <w:tcPr>
            <w:tcW w:w="2438" w:type="dxa"/>
            <w:hideMark/>
          </w:tcPr>
          <w:p w14:paraId="37B6204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1021E7C"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29586632"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F555C43" w14:textId="77777777" w:rsidR="000A152B" w:rsidRPr="00901194" w:rsidRDefault="000A152B" w:rsidP="000A152B">
            <w:pPr>
              <w:spacing w:line="240" w:lineRule="auto"/>
              <w:rPr>
                <w:rFonts w:cs="Times New Roman"/>
              </w:rPr>
            </w:pPr>
            <w:r w:rsidRPr="00901194">
              <w:rPr>
                <w:rFonts w:cs="Times New Roman"/>
              </w:rPr>
              <w:t>Bean</w:t>
            </w:r>
          </w:p>
        </w:tc>
        <w:tc>
          <w:tcPr>
            <w:tcW w:w="1463" w:type="dxa"/>
            <w:hideMark/>
          </w:tcPr>
          <w:p w14:paraId="48C156D9"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604C152" w14:textId="77777777" w:rsidTr="00391854">
        <w:trPr>
          <w:trHeight w:val="300"/>
        </w:trPr>
        <w:tc>
          <w:tcPr>
            <w:tcW w:w="1697" w:type="dxa"/>
            <w:hideMark/>
          </w:tcPr>
          <w:p w14:paraId="3C9B4743" w14:textId="77777777" w:rsidR="000A152B" w:rsidRPr="00901194" w:rsidRDefault="000A152B" w:rsidP="000A152B">
            <w:pPr>
              <w:spacing w:line="240" w:lineRule="auto"/>
              <w:rPr>
                <w:rFonts w:cs="Times New Roman"/>
              </w:rPr>
            </w:pPr>
            <w:r w:rsidRPr="00901194">
              <w:rPr>
                <w:rFonts w:cs="Times New Roman"/>
              </w:rPr>
              <w:t>NM_FT125</w:t>
            </w:r>
          </w:p>
        </w:tc>
        <w:tc>
          <w:tcPr>
            <w:tcW w:w="1530" w:type="dxa"/>
            <w:hideMark/>
          </w:tcPr>
          <w:p w14:paraId="2C099E8C" w14:textId="77777777" w:rsidR="000A152B" w:rsidRPr="00901194" w:rsidRDefault="000A152B" w:rsidP="000A152B">
            <w:pPr>
              <w:spacing w:line="240" w:lineRule="auto"/>
              <w:rPr>
                <w:rFonts w:cs="Times New Roman"/>
              </w:rPr>
            </w:pPr>
            <w:r w:rsidRPr="00901194">
              <w:rPr>
                <w:rFonts w:cs="Times New Roman"/>
              </w:rPr>
              <w:t>White tepary bean</w:t>
            </w:r>
          </w:p>
        </w:tc>
        <w:tc>
          <w:tcPr>
            <w:tcW w:w="2438" w:type="dxa"/>
            <w:hideMark/>
          </w:tcPr>
          <w:p w14:paraId="08142619"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8063A44"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71F60A7B"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06FD1157" w14:textId="77777777" w:rsidR="000A152B" w:rsidRPr="00901194" w:rsidRDefault="000A152B" w:rsidP="000A152B">
            <w:pPr>
              <w:spacing w:line="240" w:lineRule="auto"/>
              <w:rPr>
                <w:rFonts w:cs="Times New Roman"/>
              </w:rPr>
            </w:pPr>
            <w:r w:rsidRPr="00901194">
              <w:rPr>
                <w:rFonts w:cs="Times New Roman"/>
              </w:rPr>
              <w:t>Bean</w:t>
            </w:r>
          </w:p>
        </w:tc>
        <w:tc>
          <w:tcPr>
            <w:tcW w:w="1463" w:type="dxa"/>
            <w:hideMark/>
          </w:tcPr>
          <w:p w14:paraId="358EE570"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C4E9374" w14:textId="77777777" w:rsidTr="00391854">
        <w:trPr>
          <w:trHeight w:val="300"/>
        </w:trPr>
        <w:tc>
          <w:tcPr>
            <w:tcW w:w="1697" w:type="dxa"/>
            <w:hideMark/>
          </w:tcPr>
          <w:p w14:paraId="3F793324" w14:textId="77777777" w:rsidR="000A152B" w:rsidRPr="00901194" w:rsidRDefault="000A152B" w:rsidP="000A152B">
            <w:pPr>
              <w:spacing w:line="240" w:lineRule="auto"/>
              <w:rPr>
                <w:rFonts w:cs="Times New Roman"/>
              </w:rPr>
            </w:pPr>
            <w:r w:rsidRPr="00901194">
              <w:rPr>
                <w:rFonts w:cs="Times New Roman"/>
              </w:rPr>
              <w:t>NM_FT126</w:t>
            </w:r>
          </w:p>
        </w:tc>
        <w:tc>
          <w:tcPr>
            <w:tcW w:w="1530" w:type="dxa"/>
            <w:hideMark/>
          </w:tcPr>
          <w:p w14:paraId="27ABC971" w14:textId="77777777" w:rsidR="000A152B" w:rsidRPr="00901194" w:rsidRDefault="000A152B" w:rsidP="000A152B">
            <w:pPr>
              <w:spacing w:line="240" w:lineRule="auto"/>
              <w:rPr>
                <w:rFonts w:cs="Times New Roman"/>
              </w:rPr>
            </w:pPr>
            <w:r w:rsidRPr="00901194">
              <w:rPr>
                <w:rFonts w:cs="Times New Roman"/>
              </w:rPr>
              <w:t>Pueblo pinto bean</w:t>
            </w:r>
          </w:p>
        </w:tc>
        <w:tc>
          <w:tcPr>
            <w:tcW w:w="2438" w:type="dxa"/>
            <w:hideMark/>
          </w:tcPr>
          <w:p w14:paraId="045BB3F8"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D13E23F"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0EDB6AB9"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1299FAE6" w14:textId="77777777" w:rsidR="000A152B" w:rsidRPr="00901194" w:rsidRDefault="000A152B" w:rsidP="000A152B">
            <w:pPr>
              <w:spacing w:line="240" w:lineRule="auto"/>
              <w:rPr>
                <w:rFonts w:cs="Times New Roman"/>
              </w:rPr>
            </w:pPr>
            <w:r w:rsidRPr="00901194">
              <w:rPr>
                <w:rFonts w:cs="Times New Roman"/>
              </w:rPr>
              <w:t>Bean</w:t>
            </w:r>
          </w:p>
        </w:tc>
        <w:tc>
          <w:tcPr>
            <w:tcW w:w="1463" w:type="dxa"/>
            <w:hideMark/>
          </w:tcPr>
          <w:p w14:paraId="383B0C2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2BC7F6D" w14:textId="77777777" w:rsidTr="00391854">
        <w:trPr>
          <w:trHeight w:val="300"/>
        </w:trPr>
        <w:tc>
          <w:tcPr>
            <w:tcW w:w="1697" w:type="dxa"/>
            <w:hideMark/>
          </w:tcPr>
          <w:p w14:paraId="7D7BAE11" w14:textId="77777777" w:rsidR="000A152B" w:rsidRPr="00901194" w:rsidRDefault="000A152B" w:rsidP="000A152B">
            <w:pPr>
              <w:spacing w:line="240" w:lineRule="auto"/>
              <w:rPr>
                <w:rFonts w:cs="Times New Roman"/>
              </w:rPr>
            </w:pPr>
            <w:r w:rsidRPr="00901194">
              <w:rPr>
                <w:rFonts w:cs="Times New Roman"/>
              </w:rPr>
              <w:t>NM_FT127</w:t>
            </w:r>
          </w:p>
        </w:tc>
        <w:tc>
          <w:tcPr>
            <w:tcW w:w="1530" w:type="dxa"/>
            <w:hideMark/>
          </w:tcPr>
          <w:p w14:paraId="0CD1B5B8" w14:textId="77777777" w:rsidR="000A152B" w:rsidRPr="00901194" w:rsidRDefault="000A152B" w:rsidP="000A152B">
            <w:pPr>
              <w:spacing w:line="240" w:lineRule="auto"/>
              <w:rPr>
                <w:rFonts w:cs="Times New Roman"/>
              </w:rPr>
            </w:pPr>
            <w:r w:rsidRPr="00901194">
              <w:rPr>
                <w:rFonts w:cs="Times New Roman"/>
              </w:rPr>
              <w:t>Soil</w:t>
            </w:r>
          </w:p>
        </w:tc>
        <w:tc>
          <w:tcPr>
            <w:tcW w:w="2438" w:type="dxa"/>
            <w:hideMark/>
          </w:tcPr>
          <w:p w14:paraId="64350AEA"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1F0A040" w14:textId="77777777" w:rsidR="000A152B" w:rsidRPr="00901194" w:rsidRDefault="000A152B" w:rsidP="000A152B">
            <w:pPr>
              <w:spacing w:line="240" w:lineRule="auto"/>
              <w:rPr>
                <w:rFonts w:cs="Times New Roman"/>
              </w:rPr>
            </w:pPr>
            <w:r w:rsidRPr="00901194">
              <w:rPr>
                <w:rFonts w:cs="Times New Roman"/>
              </w:rPr>
              <w:t>New Mexico</w:t>
            </w:r>
          </w:p>
        </w:tc>
        <w:tc>
          <w:tcPr>
            <w:tcW w:w="2622" w:type="dxa"/>
            <w:hideMark/>
          </w:tcPr>
          <w:p w14:paraId="6740B102" w14:textId="77777777" w:rsidR="000A152B" w:rsidRPr="00901194" w:rsidRDefault="000A152B" w:rsidP="000A152B">
            <w:pPr>
              <w:spacing w:line="240" w:lineRule="auto"/>
              <w:rPr>
                <w:rFonts w:cs="Times New Roman"/>
              </w:rPr>
            </w:pPr>
            <w:r w:rsidRPr="00901194">
              <w:rPr>
                <w:rFonts w:cs="Times New Roman"/>
              </w:rPr>
              <w:t>Flowering Tree</w:t>
            </w:r>
          </w:p>
        </w:tc>
        <w:tc>
          <w:tcPr>
            <w:tcW w:w="1440" w:type="dxa"/>
            <w:hideMark/>
          </w:tcPr>
          <w:p w14:paraId="37D379EF" w14:textId="77777777" w:rsidR="000A152B" w:rsidRPr="00901194" w:rsidRDefault="000A152B" w:rsidP="000A152B">
            <w:pPr>
              <w:spacing w:line="240" w:lineRule="auto"/>
              <w:rPr>
                <w:rFonts w:cs="Times New Roman"/>
              </w:rPr>
            </w:pPr>
            <w:r w:rsidRPr="00901194">
              <w:rPr>
                <w:rFonts w:cs="Times New Roman"/>
              </w:rPr>
              <w:t>Soil</w:t>
            </w:r>
          </w:p>
        </w:tc>
        <w:tc>
          <w:tcPr>
            <w:tcW w:w="1463" w:type="dxa"/>
            <w:hideMark/>
          </w:tcPr>
          <w:p w14:paraId="46F9A85B"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D49A1FC" w14:textId="77777777" w:rsidTr="00391854">
        <w:trPr>
          <w:trHeight w:val="300"/>
        </w:trPr>
        <w:tc>
          <w:tcPr>
            <w:tcW w:w="1697" w:type="dxa"/>
            <w:hideMark/>
          </w:tcPr>
          <w:p w14:paraId="447166AB" w14:textId="77777777" w:rsidR="000A152B" w:rsidRPr="00901194" w:rsidRDefault="000A152B" w:rsidP="000A152B">
            <w:pPr>
              <w:spacing w:line="240" w:lineRule="auto"/>
              <w:rPr>
                <w:rFonts w:cs="Times New Roman"/>
              </w:rPr>
            </w:pPr>
            <w:r w:rsidRPr="00901194">
              <w:rPr>
                <w:rFonts w:cs="Times New Roman"/>
              </w:rPr>
              <w:t>SB01</w:t>
            </w:r>
          </w:p>
        </w:tc>
        <w:tc>
          <w:tcPr>
            <w:tcW w:w="1530" w:type="dxa"/>
            <w:hideMark/>
          </w:tcPr>
          <w:p w14:paraId="4D7C8184" w14:textId="77777777" w:rsidR="000A152B" w:rsidRPr="00901194" w:rsidRDefault="000A152B" w:rsidP="000A152B">
            <w:pPr>
              <w:spacing w:line="240" w:lineRule="auto"/>
              <w:rPr>
                <w:rFonts w:cs="Times New Roman"/>
              </w:rPr>
            </w:pPr>
            <w:r w:rsidRPr="00901194">
              <w:rPr>
                <w:rFonts w:cs="Times New Roman"/>
              </w:rPr>
              <w:t>Toilet paper leaf</w:t>
            </w:r>
          </w:p>
        </w:tc>
        <w:tc>
          <w:tcPr>
            <w:tcW w:w="2438" w:type="dxa"/>
            <w:hideMark/>
          </w:tcPr>
          <w:p w14:paraId="3C818529"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FDE586D"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1FF321F8"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4D6AEECD"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1A5801CC"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0B13CD96" w14:textId="77777777" w:rsidTr="00391854">
        <w:trPr>
          <w:trHeight w:val="300"/>
        </w:trPr>
        <w:tc>
          <w:tcPr>
            <w:tcW w:w="1697" w:type="dxa"/>
            <w:hideMark/>
          </w:tcPr>
          <w:p w14:paraId="4CD82733" w14:textId="77777777" w:rsidR="000A152B" w:rsidRPr="00901194" w:rsidRDefault="000A152B" w:rsidP="000A152B">
            <w:pPr>
              <w:spacing w:line="240" w:lineRule="auto"/>
              <w:rPr>
                <w:rFonts w:cs="Times New Roman"/>
              </w:rPr>
            </w:pPr>
            <w:r w:rsidRPr="00901194">
              <w:rPr>
                <w:rFonts w:cs="Times New Roman"/>
              </w:rPr>
              <w:t>SB02</w:t>
            </w:r>
          </w:p>
        </w:tc>
        <w:tc>
          <w:tcPr>
            <w:tcW w:w="1530" w:type="dxa"/>
            <w:hideMark/>
          </w:tcPr>
          <w:p w14:paraId="1B64A386" w14:textId="77777777" w:rsidR="000A152B" w:rsidRPr="00901194" w:rsidRDefault="000A152B" w:rsidP="000A152B">
            <w:pPr>
              <w:spacing w:line="240" w:lineRule="auto"/>
              <w:rPr>
                <w:rFonts w:cs="Times New Roman"/>
              </w:rPr>
            </w:pPr>
            <w:r w:rsidRPr="00901194">
              <w:rPr>
                <w:rFonts w:cs="Times New Roman"/>
              </w:rPr>
              <w:t>Jippy Jappa</w:t>
            </w:r>
          </w:p>
        </w:tc>
        <w:tc>
          <w:tcPr>
            <w:tcW w:w="2438" w:type="dxa"/>
            <w:hideMark/>
          </w:tcPr>
          <w:p w14:paraId="7EE216E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295AA35"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02AF8AB3"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2368A788"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00EFD039"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08288CFF" w14:textId="77777777" w:rsidTr="00391854">
        <w:trPr>
          <w:trHeight w:val="300"/>
        </w:trPr>
        <w:tc>
          <w:tcPr>
            <w:tcW w:w="1697" w:type="dxa"/>
            <w:hideMark/>
          </w:tcPr>
          <w:p w14:paraId="11C2B3C9" w14:textId="77777777" w:rsidR="000A152B" w:rsidRPr="00901194" w:rsidRDefault="000A152B" w:rsidP="000A152B">
            <w:pPr>
              <w:spacing w:line="240" w:lineRule="auto"/>
              <w:rPr>
                <w:rFonts w:cs="Times New Roman"/>
              </w:rPr>
            </w:pPr>
            <w:r w:rsidRPr="00901194">
              <w:rPr>
                <w:rFonts w:cs="Times New Roman"/>
              </w:rPr>
              <w:t>SB03</w:t>
            </w:r>
          </w:p>
        </w:tc>
        <w:tc>
          <w:tcPr>
            <w:tcW w:w="1530" w:type="dxa"/>
            <w:hideMark/>
          </w:tcPr>
          <w:p w14:paraId="7577DF26" w14:textId="77777777" w:rsidR="000A152B" w:rsidRPr="00901194" w:rsidRDefault="000A152B" w:rsidP="000A152B">
            <w:pPr>
              <w:spacing w:line="240" w:lineRule="auto"/>
              <w:rPr>
                <w:rFonts w:cs="Times New Roman"/>
              </w:rPr>
            </w:pPr>
            <w:r w:rsidRPr="00901194">
              <w:rPr>
                <w:rFonts w:cs="Times New Roman"/>
              </w:rPr>
              <w:t>Chaya</w:t>
            </w:r>
          </w:p>
        </w:tc>
        <w:tc>
          <w:tcPr>
            <w:tcW w:w="2438" w:type="dxa"/>
            <w:hideMark/>
          </w:tcPr>
          <w:p w14:paraId="12B8B50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3064F5F"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341FCA53" w14:textId="77777777" w:rsidR="000A152B" w:rsidRPr="00901194" w:rsidRDefault="000A152B" w:rsidP="000A152B">
            <w:pPr>
              <w:spacing w:line="240" w:lineRule="auto"/>
              <w:rPr>
                <w:rFonts w:cs="Times New Roman"/>
              </w:rPr>
            </w:pPr>
            <w:r w:rsidRPr="00901194">
              <w:rPr>
                <w:rFonts w:cs="Times New Roman"/>
              </w:rPr>
              <w:t>NA</w:t>
            </w:r>
          </w:p>
        </w:tc>
        <w:tc>
          <w:tcPr>
            <w:tcW w:w="1440" w:type="dxa"/>
            <w:hideMark/>
          </w:tcPr>
          <w:p w14:paraId="42A1B1B0"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502A771E"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B435C7B" w14:textId="77777777" w:rsidTr="00391854">
        <w:trPr>
          <w:trHeight w:val="300"/>
        </w:trPr>
        <w:tc>
          <w:tcPr>
            <w:tcW w:w="1697" w:type="dxa"/>
            <w:hideMark/>
          </w:tcPr>
          <w:p w14:paraId="16B5D6F9" w14:textId="77777777" w:rsidR="000A152B" w:rsidRPr="00901194" w:rsidRDefault="000A152B" w:rsidP="000A152B">
            <w:pPr>
              <w:spacing w:line="240" w:lineRule="auto"/>
              <w:rPr>
                <w:rFonts w:cs="Times New Roman"/>
              </w:rPr>
            </w:pPr>
            <w:r w:rsidRPr="00901194">
              <w:rPr>
                <w:rFonts w:cs="Times New Roman"/>
              </w:rPr>
              <w:t>SB04</w:t>
            </w:r>
          </w:p>
        </w:tc>
        <w:tc>
          <w:tcPr>
            <w:tcW w:w="1530" w:type="dxa"/>
            <w:hideMark/>
          </w:tcPr>
          <w:p w14:paraId="5904DB1C" w14:textId="77777777" w:rsidR="000A152B" w:rsidRPr="00901194" w:rsidRDefault="000A152B" w:rsidP="000A152B">
            <w:pPr>
              <w:spacing w:line="240" w:lineRule="auto"/>
              <w:rPr>
                <w:rFonts w:cs="Times New Roman"/>
              </w:rPr>
            </w:pPr>
            <w:r w:rsidRPr="00901194">
              <w:rPr>
                <w:rFonts w:cs="Times New Roman"/>
              </w:rPr>
              <w:t>Small pepper</w:t>
            </w:r>
          </w:p>
        </w:tc>
        <w:tc>
          <w:tcPr>
            <w:tcW w:w="2438" w:type="dxa"/>
            <w:hideMark/>
          </w:tcPr>
          <w:p w14:paraId="2A56940B"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67A3FCA"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2AEE0166"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07B877CE"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4AD8D3D5"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2049219" w14:textId="77777777" w:rsidTr="00391854">
        <w:trPr>
          <w:trHeight w:val="300"/>
        </w:trPr>
        <w:tc>
          <w:tcPr>
            <w:tcW w:w="1697" w:type="dxa"/>
            <w:hideMark/>
          </w:tcPr>
          <w:p w14:paraId="623FCD2C" w14:textId="77777777" w:rsidR="000A152B" w:rsidRPr="00901194" w:rsidRDefault="000A152B" w:rsidP="000A152B">
            <w:pPr>
              <w:spacing w:line="240" w:lineRule="auto"/>
              <w:rPr>
                <w:rFonts w:cs="Times New Roman"/>
              </w:rPr>
            </w:pPr>
            <w:r w:rsidRPr="00901194">
              <w:rPr>
                <w:rFonts w:cs="Times New Roman"/>
              </w:rPr>
              <w:t>SB05</w:t>
            </w:r>
          </w:p>
        </w:tc>
        <w:tc>
          <w:tcPr>
            <w:tcW w:w="1530" w:type="dxa"/>
            <w:hideMark/>
          </w:tcPr>
          <w:p w14:paraId="44AEFFCE" w14:textId="77777777" w:rsidR="000A152B" w:rsidRPr="00901194" w:rsidRDefault="000A152B" w:rsidP="000A152B">
            <w:pPr>
              <w:spacing w:line="240" w:lineRule="auto"/>
              <w:rPr>
                <w:rFonts w:cs="Times New Roman"/>
              </w:rPr>
            </w:pPr>
            <w:r w:rsidRPr="00901194">
              <w:rPr>
                <w:rFonts w:cs="Times New Roman"/>
              </w:rPr>
              <w:t>Pumpkin</w:t>
            </w:r>
          </w:p>
        </w:tc>
        <w:tc>
          <w:tcPr>
            <w:tcW w:w="2438" w:type="dxa"/>
            <w:hideMark/>
          </w:tcPr>
          <w:p w14:paraId="08984E1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5F984ED"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606D627F"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5F687947"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46017C26"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7EB03E5B" w14:textId="77777777" w:rsidTr="00391854">
        <w:trPr>
          <w:trHeight w:val="300"/>
        </w:trPr>
        <w:tc>
          <w:tcPr>
            <w:tcW w:w="1697" w:type="dxa"/>
            <w:hideMark/>
          </w:tcPr>
          <w:p w14:paraId="4465B02F" w14:textId="77777777" w:rsidR="000A152B" w:rsidRPr="00901194" w:rsidRDefault="000A152B" w:rsidP="000A152B">
            <w:pPr>
              <w:spacing w:line="240" w:lineRule="auto"/>
              <w:rPr>
                <w:rFonts w:cs="Times New Roman"/>
              </w:rPr>
            </w:pPr>
            <w:r w:rsidRPr="00901194">
              <w:rPr>
                <w:rFonts w:cs="Times New Roman"/>
              </w:rPr>
              <w:t>SB06</w:t>
            </w:r>
          </w:p>
        </w:tc>
        <w:tc>
          <w:tcPr>
            <w:tcW w:w="1530" w:type="dxa"/>
            <w:hideMark/>
          </w:tcPr>
          <w:p w14:paraId="0C24D285" w14:textId="77777777" w:rsidR="000A152B" w:rsidRPr="00901194" w:rsidRDefault="000A152B" w:rsidP="000A152B">
            <w:pPr>
              <w:spacing w:line="240" w:lineRule="auto"/>
              <w:rPr>
                <w:rFonts w:cs="Times New Roman"/>
              </w:rPr>
            </w:pPr>
            <w:r w:rsidRPr="00901194">
              <w:rPr>
                <w:rFonts w:cs="Times New Roman"/>
              </w:rPr>
              <w:t xml:space="preserve">White cacao </w:t>
            </w:r>
          </w:p>
        </w:tc>
        <w:tc>
          <w:tcPr>
            <w:tcW w:w="2438" w:type="dxa"/>
            <w:hideMark/>
          </w:tcPr>
          <w:p w14:paraId="7BACEAD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3B93E1A"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64902DC1" w14:textId="77777777" w:rsidR="000A152B" w:rsidRPr="00901194" w:rsidRDefault="000A152B" w:rsidP="000A152B">
            <w:pPr>
              <w:spacing w:line="240" w:lineRule="auto"/>
              <w:rPr>
                <w:rFonts w:cs="Times New Roman"/>
              </w:rPr>
            </w:pPr>
            <w:r w:rsidRPr="00901194">
              <w:rPr>
                <w:rFonts w:cs="Times New Roman"/>
              </w:rPr>
              <w:t xml:space="preserve">Bladen Nature Reserve </w:t>
            </w:r>
          </w:p>
        </w:tc>
        <w:tc>
          <w:tcPr>
            <w:tcW w:w="1440" w:type="dxa"/>
            <w:hideMark/>
          </w:tcPr>
          <w:p w14:paraId="0A383BCE"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2A5AF686"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F3A144F" w14:textId="77777777" w:rsidTr="00391854">
        <w:trPr>
          <w:trHeight w:val="300"/>
        </w:trPr>
        <w:tc>
          <w:tcPr>
            <w:tcW w:w="1697" w:type="dxa"/>
            <w:hideMark/>
          </w:tcPr>
          <w:p w14:paraId="4A55146E" w14:textId="77777777" w:rsidR="000A152B" w:rsidRPr="00901194" w:rsidRDefault="000A152B" w:rsidP="000A152B">
            <w:pPr>
              <w:spacing w:line="240" w:lineRule="auto"/>
              <w:rPr>
                <w:rFonts w:cs="Times New Roman"/>
              </w:rPr>
            </w:pPr>
            <w:r w:rsidRPr="00901194">
              <w:rPr>
                <w:rFonts w:cs="Times New Roman"/>
              </w:rPr>
              <w:t>SB07</w:t>
            </w:r>
          </w:p>
        </w:tc>
        <w:tc>
          <w:tcPr>
            <w:tcW w:w="1530" w:type="dxa"/>
            <w:hideMark/>
          </w:tcPr>
          <w:p w14:paraId="3CFDA50A" w14:textId="77777777" w:rsidR="000A152B" w:rsidRPr="00901194" w:rsidRDefault="000A152B" w:rsidP="000A152B">
            <w:pPr>
              <w:spacing w:line="240" w:lineRule="auto"/>
              <w:rPr>
                <w:rFonts w:cs="Times New Roman"/>
              </w:rPr>
            </w:pPr>
            <w:r w:rsidRPr="00901194">
              <w:rPr>
                <w:rFonts w:cs="Times New Roman"/>
              </w:rPr>
              <w:t>Cassava</w:t>
            </w:r>
          </w:p>
        </w:tc>
        <w:tc>
          <w:tcPr>
            <w:tcW w:w="2438" w:type="dxa"/>
            <w:hideMark/>
          </w:tcPr>
          <w:p w14:paraId="69B14BB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1B3B36E"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75F76304"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2E9E8B69"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135717D5"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668D8DC9" w14:textId="77777777" w:rsidTr="00391854">
        <w:trPr>
          <w:trHeight w:val="300"/>
        </w:trPr>
        <w:tc>
          <w:tcPr>
            <w:tcW w:w="1697" w:type="dxa"/>
            <w:hideMark/>
          </w:tcPr>
          <w:p w14:paraId="4229CA94" w14:textId="77777777" w:rsidR="000A152B" w:rsidRPr="00901194" w:rsidRDefault="000A152B" w:rsidP="000A152B">
            <w:pPr>
              <w:spacing w:line="240" w:lineRule="auto"/>
              <w:rPr>
                <w:rFonts w:cs="Times New Roman"/>
              </w:rPr>
            </w:pPr>
            <w:r w:rsidRPr="00901194">
              <w:rPr>
                <w:rFonts w:cs="Times New Roman"/>
              </w:rPr>
              <w:t>SB08</w:t>
            </w:r>
          </w:p>
        </w:tc>
        <w:tc>
          <w:tcPr>
            <w:tcW w:w="1530" w:type="dxa"/>
            <w:hideMark/>
          </w:tcPr>
          <w:p w14:paraId="584D6C3A" w14:textId="77777777" w:rsidR="000A152B" w:rsidRPr="00901194" w:rsidRDefault="000A152B" w:rsidP="000A152B">
            <w:pPr>
              <w:spacing w:line="240" w:lineRule="auto"/>
              <w:rPr>
                <w:rFonts w:cs="Times New Roman"/>
              </w:rPr>
            </w:pPr>
            <w:r w:rsidRPr="00901194">
              <w:rPr>
                <w:rFonts w:cs="Times New Roman"/>
              </w:rPr>
              <w:t xml:space="preserve">Coco yam </w:t>
            </w:r>
          </w:p>
        </w:tc>
        <w:tc>
          <w:tcPr>
            <w:tcW w:w="2438" w:type="dxa"/>
            <w:hideMark/>
          </w:tcPr>
          <w:p w14:paraId="2D3DCC75"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6D960BF"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4C615AB9"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4DE25528"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7EE9B339"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03822AF9" w14:textId="77777777" w:rsidTr="00391854">
        <w:trPr>
          <w:trHeight w:val="300"/>
        </w:trPr>
        <w:tc>
          <w:tcPr>
            <w:tcW w:w="1697" w:type="dxa"/>
            <w:hideMark/>
          </w:tcPr>
          <w:p w14:paraId="5F85506D" w14:textId="77777777" w:rsidR="000A152B" w:rsidRPr="00901194" w:rsidRDefault="000A152B" w:rsidP="000A152B">
            <w:pPr>
              <w:spacing w:line="240" w:lineRule="auto"/>
              <w:rPr>
                <w:rFonts w:cs="Times New Roman"/>
              </w:rPr>
            </w:pPr>
            <w:r w:rsidRPr="00901194">
              <w:rPr>
                <w:rFonts w:cs="Times New Roman"/>
              </w:rPr>
              <w:t>SB09</w:t>
            </w:r>
          </w:p>
        </w:tc>
        <w:tc>
          <w:tcPr>
            <w:tcW w:w="1530" w:type="dxa"/>
            <w:hideMark/>
          </w:tcPr>
          <w:p w14:paraId="186B61D5" w14:textId="77777777" w:rsidR="000A152B" w:rsidRPr="00901194" w:rsidRDefault="000A152B" w:rsidP="000A152B">
            <w:pPr>
              <w:spacing w:line="240" w:lineRule="auto"/>
              <w:rPr>
                <w:rFonts w:cs="Times New Roman"/>
              </w:rPr>
            </w:pPr>
            <w:r w:rsidRPr="00901194">
              <w:rPr>
                <w:rFonts w:cs="Times New Roman"/>
              </w:rPr>
              <w:t>Inga</w:t>
            </w:r>
          </w:p>
        </w:tc>
        <w:tc>
          <w:tcPr>
            <w:tcW w:w="2438" w:type="dxa"/>
            <w:hideMark/>
          </w:tcPr>
          <w:p w14:paraId="6A94E1FF"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CAEE7A0"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0CF8C5DC"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3ECB4F94"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18B8C59F"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023CE440" w14:textId="77777777" w:rsidTr="00391854">
        <w:trPr>
          <w:trHeight w:val="300"/>
        </w:trPr>
        <w:tc>
          <w:tcPr>
            <w:tcW w:w="1697" w:type="dxa"/>
            <w:hideMark/>
          </w:tcPr>
          <w:p w14:paraId="33B74D80" w14:textId="77777777" w:rsidR="000A152B" w:rsidRPr="00901194" w:rsidRDefault="000A152B" w:rsidP="000A152B">
            <w:pPr>
              <w:spacing w:line="240" w:lineRule="auto"/>
              <w:rPr>
                <w:rFonts w:cs="Times New Roman"/>
              </w:rPr>
            </w:pPr>
            <w:r w:rsidRPr="00901194">
              <w:rPr>
                <w:rFonts w:cs="Times New Roman"/>
              </w:rPr>
              <w:lastRenderedPageBreak/>
              <w:t>SB11</w:t>
            </w:r>
          </w:p>
        </w:tc>
        <w:tc>
          <w:tcPr>
            <w:tcW w:w="1530" w:type="dxa"/>
            <w:hideMark/>
          </w:tcPr>
          <w:p w14:paraId="1A250670" w14:textId="77777777" w:rsidR="000A152B" w:rsidRPr="00901194" w:rsidRDefault="000A152B" w:rsidP="000A152B">
            <w:pPr>
              <w:spacing w:line="240" w:lineRule="auto"/>
              <w:rPr>
                <w:rFonts w:cs="Times New Roman"/>
              </w:rPr>
            </w:pPr>
            <w:r w:rsidRPr="00901194">
              <w:rPr>
                <w:rFonts w:cs="Times New Roman"/>
              </w:rPr>
              <w:t>Saw Palmetto</w:t>
            </w:r>
          </w:p>
        </w:tc>
        <w:tc>
          <w:tcPr>
            <w:tcW w:w="2438" w:type="dxa"/>
            <w:hideMark/>
          </w:tcPr>
          <w:p w14:paraId="1974AF7C"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C7CF5C0"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50EC8816"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1D2D9CD2"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79E5DC2F"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11A15B8A" w14:textId="77777777" w:rsidTr="00391854">
        <w:trPr>
          <w:trHeight w:val="300"/>
        </w:trPr>
        <w:tc>
          <w:tcPr>
            <w:tcW w:w="1697" w:type="dxa"/>
            <w:hideMark/>
          </w:tcPr>
          <w:p w14:paraId="750D1163" w14:textId="77777777" w:rsidR="000A152B" w:rsidRPr="00901194" w:rsidRDefault="000A152B" w:rsidP="000A152B">
            <w:pPr>
              <w:spacing w:line="240" w:lineRule="auto"/>
              <w:rPr>
                <w:rFonts w:cs="Times New Roman"/>
              </w:rPr>
            </w:pPr>
            <w:r w:rsidRPr="00901194">
              <w:rPr>
                <w:rFonts w:cs="Times New Roman"/>
              </w:rPr>
              <w:t>SB12</w:t>
            </w:r>
          </w:p>
        </w:tc>
        <w:tc>
          <w:tcPr>
            <w:tcW w:w="1530" w:type="dxa"/>
            <w:hideMark/>
          </w:tcPr>
          <w:p w14:paraId="1160EE45" w14:textId="77777777" w:rsidR="000A152B" w:rsidRPr="00901194" w:rsidRDefault="000A152B" w:rsidP="000A152B">
            <w:pPr>
              <w:spacing w:line="240" w:lineRule="auto"/>
              <w:rPr>
                <w:rFonts w:cs="Times New Roman"/>
              </w:rPr>
            </w:pPr>
            <w:r w:rsidRPr="00901194">
              <w:rPr>
                <w:rFonts w:cs="Times New Roman"/>
              </w:rPr>
              <w:t>Pacaya</w:t>
            </w:r>
          </w:p>
        </w:tc>
        <w:tc>
          <w:tcPr>
            <w:tcW w:w="2438" w:type="dxa"/>
            <w:hideMark/>
          </w:tcPr>
          <w:p w14:paraId="4EA1757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323B94F"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2C88E132"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1A33F84F"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56C9AA91"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15B5B1E6" w14:textId="77777777" w:rsidTr="00391854">
        <w:trPr>
          <w:trHeight w:val="300"/>
        </w:trPr>
        <w:tc>
          <w:tcPr>
            <w:tcW w:w="1697" w:type="dxa"/>
            <w:hideMark/>
          </w:tcPr>
          <w:p w14:paraId="76416EF5" w14:textId="77777777" w:rsidR="000A152B" w:rsidRPr="00901194" w:rsidRDefault="000A152B" w:rsidP="000A152B">
            <w:pPr>
              <w:spacing w:line="240" w:lineRule="auto"/>
              <w:rPr>
                <w:rFonts w:cs="Times New Roman"/>
              </w:rPr>
            </w:pPr>
            <w:r w:rsidRPr="00901194">
              <w:rPr>
                <w:rFonts w:cs="Times New Roman"/>
              </w:rPr>
              <w:t>SB13</w:t>
            </w:r>
          </w:p>
        </w:tc>
        <w:tc>
          <w:tcPr>
            <w:tcW w:w="1530" w:type="dxa"/>
            <w:hideMark/>
          </w:tcPr>
          <w:p w14:paraId="474AA530" w14:textId="77777777" w:rsidR="000A152B" w:rsidRPr="00901194" w:rsidRDefault="000A152B" w:rsidP="000A152B">
            <w:pPr>
              <w:spacing w:line="240" w:lineRule="auto"/>
              <w:rPr>
                <w:rFonts w:cs="Times New Roman"/>
              </w:rPr>
            </w:pPr>
            <w:r w:rsidRPr="00901194">
              <w:rPr>
                <w:rFonts w:cs="Times New Roman"/>
              </w:rPr>
              <w:t xml:space="preserve">Wild passion fruit </w:t>
            </w:r>
          </w:p>
        </w:tc>
        <w:tc>
          <w:tcPr>
            <w:tcW w:w="2438" w:type="dxa"/>
            <w:hideMark/>
          </w:tcPr>
          <w:p w14:paraId="15B009C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D736A30"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6FBD7FF0" w14:textId="77777777" w:rsidR="000A152B" w:rsidRPr="00901194" w:rsidRDefault="000A152B" w:rsidP="000A152B">
            <w:pPr>
              <w:spacing w:line="240" w:lineRule="auto"/>
              <w:rPr>
                <w:rFonts w:cs="Times New Roman"/>
              </w:rPr>
            </w:pPr>
            <w:r w:rsidRPr="00901194">
              <w:rPr>
                <w:rFonts w:cs="Times New Roman"/>
              </w:rPr>
              <w:t xml:space="preserve">Bladen Nature Reserve </w:t>
            </w:r>
          </w:p>
        </w:tc>
        <w:tc>
          <w:tcPr>
            <w:tcW w:w="1440" w:type="dxa"/>
            <w:hideMark/>
          </w:tcPr>
          <w:p w14:paraId="53E2057C"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20F94416"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586FA98B" w14:textId="77777777" w:rsidTr="00391854">
        <w:trPr>
          <w:trHeight w:val="300"/>
        </w:trPr>
        <w:tc>
          <w:tcPr>
            <w:tcW w:w="1697" w:type="dxa"/>
            <w:hideMark/>
          </w:tcPr>
          <w:p w14:paraId="767676FA" w14:textId="77777777" w:rsidR="000A152B" w:rsidRPr="00901194" w:rsidRDefault="000A152B" w:rsidP="000A152B">
            <w:pPr>
              <w:spacing w:line="240" w:lineRule="auto"/>
              <w:rPr>
                <w:rFonts w:cs="Times New Roman"/>
              </w:rPr>
            </w:pPr>
            <w:r w:rsidRPr="00901194">
              <w:rPr>
                <w:rFonts w:cs="Times New Roman"/>
              </w:rPr>
              <w:t>SB14</w:t>
            </w:r>
          </w:p>
        </w:tc>
        <w:tc>
          <w:tcPr>
            <w:tcW w:w="1530" w:type="dxa"/>
            <w:hideMark/>
          </w:tcPr>
          <w:p w14:paraId="39BF5E64" w14:textId="77777777" w:rsidR="000A152B" w:rsidRPr="00901194" w:rsidRDefault="000A152B" w:rsidP="000A152B">
            <w:pPr>
              <w:spacing w:line="240" w:lineRule="auto"/>
              <w:rPr>
                <w:rFonts w:cs="Times New Roman"/>
              </w:rPr>
            </w:pPr>
            <w:r w:rsidRPr="00901194">
              <w:rPr>
                <w:rFonts w:cs="Times New Roman"/>
              </w:rPr>
              <w:t>Kulah, Jippy Jappa</w:t>
            </w:r>
          </w:p>
        </w:tc>
        <w:tc>
          <w:tcPr>
            <w:tcW w:w="2438" w:type="dxa"/>
            <w:hideMark/>
          </w:tcPr>
          <w:p w14:paraId="7D94E8AF"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4AF70EB"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698BBE36"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310D0B77"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5C7D92A5"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437F84D5" w14:textId="77777777" w:rsidTr="00391854">
        <w:trPr>
          <w:trHeight w:val="300"/>
        </w:trPr>
        <w:tc>
          <w:tcPr>
            <w:tcW w:w="1697" w:type="dxa"/>
            <w:hideMark/>
          </w:tcPr>
          <w:p w14:paraId="4EC81F06" w14:textId="77777777" w:rsidR="000A152B" w:rsidRPr="00901194" w:rsidRDefault="000A152B" w:rsidP="000A152B">
            <w:pPr>
              <w:spacing w:line="240" w:lineRule="auto"/>
              <w:rPr>
                <w:rFonts w:cs="Times New Roman"/>
              </w:rPr>
            </w:pPr>
            <w:r w:rsidRPr="00901194">
              <w:rPr>
                <w:rFonts w:cs="Times New Roman"/>
              </w:rPr>
              <w:t>SB15</w:t>
            </w:r>
          </w:p>
        </w:tc>
        <w:tc>
          <w:tcPr>
            <w:tcW w:w="1530" w:type="dxa"/>
            <w:hideMark/>
          </w:tcPr>
          <w:p w14:paraId="6E5B07BD" w14:textId="77777777" w:rsidR="000A152B" w:rsidRPr="00901194" w:rsidRDefault="000A152B" w:rsidP="000A152B">
            <w:pPr>
              <w:spacing w:line="240" w:lineRule="auto"/>
              <w:rPr>
                <w:rFonts w:cs="Times New Roman"/>
              </w:rPr>
            </w:pPr>
            <w:r w:rsidRPr="00901194">
              <w:rPr>
                <w:rFonts w:cs="Times New Roman"/>
              </w:rPr>
              <w:t xml:space="preserve">Chiki Ginger, Heleconia </w:t>
            </w:r>
          </w:p>
        </w:tc>
        <w:tc>
          <w:tcPr>
            <w:tcW w:w="2438" w:type="dxa"/>
            <w:hideMark/>
          </w:tcPr>
          <w:p w14:paraId="3544C05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993ABFD"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2139CF58"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41D432EB"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04B233F2"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2FD6D3EE" w14:textId="77777777" w:rsidTr="00391854">
        <w:trPr>
          <w:trHeight w:val="300"/>
        </w:trPr>
        <w:tc>
          <w:tcPr>
            <w:tcW w:w="1697" w:type="dxa"/>
            <w:hideMark/>
          </w:tcPr>
          <w:p w14:paraId="0E17C8E2" w14:textId="77777777" w:rsidR="000A152B" w:rsidRPr="00901194" w:rsidRDefault="000A152B" w:rsidP="000A152B">
            <w:pPr>
              <w:spacing w:line="240" w:lineRule="auto"/>
              <w:rPr>
                <w:rFonts w:cs="Times New Roman"/>
              </w:rPr>
            </w:pPr>
            <w:r w:rsidRPr="00901194">
              <w:rPr>
                <w:rFonts w:cs="Times New Roman"/>
              </w:rPr>
              <w:t>SB16</w:t>
            </w:r>
          </w:p>
        </w:tc>
        <w:tc>
          <w:tcPr>
            <w:tcW w:w="1530" w:type="dxa"/>
            <w:hideMark/>
          </w:tcPr>
          <w:p w14:paraId="41822FFD" w14:textId="77777777" w:rsidR="000A152B" w:rsidRPr="00901194" w:rsidRDefault="000A152B" w:rsidP="000A152B">
            <w:pPr>
              <w:spacing w:line="240" w:lineRule="auto"/>
              <w:rPr>
                <w:rFonts w:cs="Times New Roman"/>
              </w:rPr>
            </w:pPr>
            <w:r w:rsidRPr="00901194">
              <w:rPr>
                <w:rFonts w:cs="Times New Roman"/>
              </w:rPr>
              <w:t>Cat's Balls</w:t>
            </w:r>
          </w:p>
        </w:tc>
        <w:tc>
          <w:tcPr>
            <w:tcW w:w="2438" w:type="dxa"/>
            <w:hideMark/>
          </w:tcPr>
          <w:p w14:paraId="3A77C4F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FCD1413"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1987E18A"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0CE42D4C"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28AA7EFF"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63321206" w14:textId="77777777" w:rsidTr="00391854">
        <w:trPr>
          <w:trHeight w:val="300"/>
        </w:trPr>
        <w:tc>
          <w:tcPr>
            <w:tcW w:w="1697" w:type="dxa"/>
            <w:hideMark/>
          </w:tcPr>
          <w:p w14:paraId="5F8D1C63" w14:textId="77777777" w:rsidR="000A152B" w:rsidRPr="00901194" w:rsidRDefault="000A152B" w:rsidP="000A152B">
            <w:pPr>
              <w:spacing w:line="240" w:lineRule="auto"/>
              <w:rPr>
                <w:rFonts w:cs="Times New Roman"/>
              </w:rPr>
            </w:pPr>
            <w:r w:rsidRPr="00901194">
              <w:rPr>
                <w:rFonts w:cs="Times New Roman"/>
              </w:rPr>
              <w:t>SB17</w:t>
            </w:r>
          </w:p>
        </w:tc>
        <w:tc>
          <w:tcPr>
            <w:tcW w:w="1530" w:type="dxa"/>
            <w:hideMark/>
          </w:tcPr>
          <w:p w14:paraId="4386F461" w14:textId="77777777" w:rsidR="000A152B" w:rsidRPr="00901194" w:rsidRDefault="000A152B" w:rsidP="000A152B">
            <w:pPr>
              <w:spacing w:line="240" w:lineRule="auto"/>
              <w:rPr>
                <w:rFonts w:cs="Times New Roman"/>
              </w:rPr>
            </w:pPr>
            <w:r w:rsidRPr="00901194">
              <w:rPr>
                <w:rFonts w:cs="Times New Roman"/>
              </w:rPr>
              <w:t xml:space="preserve">Heleconia </w:t>
            </w:r>
          </w:p>
        </w:tc>
        <w:tc>
          <w:tcPr>
            <w:tcW w:w="2438" w:type="dxa"/>
            <w:hideMark/>
          </w:tcPr>
          <w:p w14:paraId="2B5A151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9E7E3C1"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10193922"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32B194E9"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61AA7407"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385B8B70" w14:textId="77777777" w:rsidTr="00391854">
        <w:trPr>
          <w:trHeight w:val="300"/>
        </w:trPr>
        <w:tc>
          <w:tcPr>
            <w:tcW w:w="1697" w:type="dxa"/>
            <w:hideMark/>
          </w:tcPr>
          <w:p w14:paraId="12EA5616" w14:textId="77777777" w:rsidR="000A152B" w:rsidRPr="00901194" w:rsidRDefault="000A152B" w:rsidP="000A152B">
            <w:pPr>
              <w:spacing w:line="240" w:lineRule="auto"/>
              <w:rPr>
                <w:rFonts w:cs="Times New Roman"/>
              </w:rPr>
            </w:pPr>
            <w:r w:rsidRPr="00901194">
              <w:rPr>
                <w:rFonts w:cs="Times New Roman"/>
              </w:rPr>
              <w:t>SB18</w:t>
            </w:r>
          </w:p>
        </w:tc>
        <w:tc>
          <w:tcPr>
            <w:tcW w:w="1530" w:type="dxa"/>
            <w:hideMark/>
          </w:tcPr>
          <w:p w14:paraId="42F53EAB" w14:textId="77777777" w:rsidR="000A152B" w:rsidRPr="00901194" w:rsidRDefault="000A152B" w:rsidP="000A152B">
            <w:pPr>
              <w:spacing w:line="240" w:lineRule="auto"/>
              <w:rPr>
                <w:rFonts w:cs="Times New Roman"/>
              </w:rPr>
            </w:pPr>
            <w:r w:rsidRPr="00901194">
              <w:rPr>
                <w:rFonts w:cs="Times New Roman"/>
              </w:rPr>
              <w:t>Cassava</w:t>
            </w:r>
          </w:p>
        </w:tc>
        <w:tc>
          <w:tcPr>
            <w:tcW w:w="2438" w:type="dxa"/>
            <w:hideMark/>
          </w:tcPr>
          <w:p w14:paraId="5571F432"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FB20659"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3BAA3230"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0B543B93"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397E2B9A"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30C0BE7A" w14:textId="77777777" w:rsidTr="00391854">
        <w:trPr>
          <w:trHeight w:val="300"/>
        </w:trPr>
        <w:tc>
          <w:tcPr>
            <w:tcW w:w="1697" w:type="dxa"/>
            <w:hideMark/>
          </w:tcPr>
          <w:p w14:paraId="2B010F05" w14:textId="77777777" w:rsidR="000A152B" w:rsidRPr="00901194" w:rsidRDefault="000A152B" w:rsidP="000A152B">
            <w:pPr>
              <w:spacing w:line="240" w:lineRule="auto"/>
              <w:rPr>
                <w:rFonts w:cs="Times New Roman"/>
              </w:rPr>
            </w:pPr>
            <w:r w:rsidRPr="00901194">
              <w:rPr>
                <w:rFonts w:cs="Times New Roman"/>
              </w:rPr>
              <w:t>SB19</w:t>
            </w:r>
          </w:p>
        </w:tc>
        <w:tc>
          <w:tcPr>
            <w:tcW w:w="1530" w:type="dxa"/>
            <w:hideMark/>
          </w:tcPr>
          <w:p w14:paraId="62AA09A8" w14:textId="77777777" w:rsidR="000A152B" w:rsidRPr="00901194" w:rsidRDefault="000A152B" w:rsidP="000A152B">
            <w:pPr>
              <w:spacing w:line="240" w:lineRule="auto"/>
              <w:rPr>
                <w:rFonts w:cs="Times New Roman"/>
              </w:rPr>
            </w:pPr>
            <w:r w:rsidRPr="00901194">
              <w:rPr>
                <w:rFonts w:cs="Times New Roman"/>
              </w:rPr>
              <w:t>Cohune nut</w:t>
            </w:r>
          </w:p>
        </w:tc>
        <w:tc>
          <w:tcPr>
            <w:tcW w:w="2438" w:type="dxa"/>
            <w:hideMark/>
          </w:tcPr>
          <w:p w14:paraId="30415FE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707F927"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67EE32C5"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381E9518"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084A9848"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7707DE5B" w14:textId="77777777" w:rsidTr="00391854">
        <w:trPr>
          <w:trHeight w:val="300"/>
        </w:trPr>
        <w:tc>
          <w:tcPr>
            <w:tcW w:w="1697" w:type="dxa"/>
            <w:hideMark/>
          </w:tcPr>
          <w:p w14:paraId="6D580A43" w14:textId="77777777" w:rsidR="000A152B" w:rsidRPr="00901194" w:rsidRDefault="000A152B" w:rsidP="000A152B">
            <w:pPr>
              <w:spacing w:line="240" w:lineRule="auto"/>
              <w:rPr>
                <w:rFonts w:cs="Times New Roman"/>
              </w:rPr>
            </w:pPr>
            <w:r w:rsidRPr="00901194">
              <w:rPr>
                <w:rFonts w:cs="Times New Roman"/>
              </w:rPr>
              <w:t>SB20</w:t>
            </w:r>
          </w:p>
        </w:tc>
        <w:tc>
          <w:tcPr>
            <w:tcW w:w="1530" w:type="dxa"/>
            <w:hideMark/>
          </w:tcPr>
          <w:p w14:paraId="658E922A" w14:textId="77777777" w:rsidR="000A152B" w:rsidRPr="00901194" w:rsidRDefault="000A152B" w:rsidP="000A152B">
            <w:pPr>
              <w:spacing w:line="240" w:lineRule="auto"/>
              <w:rPr>
                <w:rFonts w:cs="Times New Roman"/>
              </w:rPr>
            </w:pPr>
            <w:r w:rsidRPr="00901194">
              <w:rPr>
                <w:rFonts w:cs="Times New Roman"/>
              </w:rPr>
              <w:t>Cacao</w:t>
            </w:r>
          </w:p>
        </w:tc>
        <w:tc>
          <w:tcPr>
            <w:tcW w:w="2438" w:type="dxa"/>
            <w:hideMark/>
          </w:tcPr>
          <w:p w14:paraId="298A4FC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A22EB5E"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68AC54D4"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363F477F"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34A69DFE"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025D0F9B" w14:textId="77777777" w:rsidTr="00391854">
        <w:trPr>
          <w:trHeight w:val="300"/>
        </w:trPr>
        <w:tc>
          <w:tcPr>
            <w:tcW w:w="1697" w:type="dxa"/>
            <w:hideMark/>
          </w:tcPr>
          <w:p w14:paraId="03EA3509" w14:textId="77777777" w:rsidR="000A152B" w:rsidRPr="00901194" w:rsidRDefault="000A152B" w:rsidP="000A152B">
            <w:pPr>
              <w:spacing w:line="240" w:lineRule="auto"/>
              <w:rPr>
                <w:rFonts w:cs="Times New Roman"/>
              </w:rPr>
            </w:pPr>
            <w:r w:rsidRPr="00901194">
              <w:rPr>
                <w:rFonts w:cs="Times New Roman"/>
              </w:rPr>
              <w:t>SB21</w:t>
            </w:r>
          </w:p>
        </w:tc>
        <w:tc>
          <w:tcPr>
            <w:tcW w:w="1530" w:type="dxa"/>
            <w:hideMark/>
          </w:tcPr>
          <w:p w14:paraId="4B014401" w14:textId="77777777" w:rsidR="000A152B" w:rsidRPr="00901194" w:rsidRDefault="000A152B" w:rsidP="000A152B">
            <w:pPr>
              <w:spacing w:line="240" w:lineRule="auto"/>
              <w:rPr>
                <w:rFonts w:cs="Times New Roman"/>
              </w:rPr>
            </w:pPr>
            <w:r w:rsidRPr="00901194">
              <w:rPr>
                <w:rFonts w:cs="Times New Roman"/>
              </w:rPr>
              <w:t xml:space="preserve">White cacao </w:t>
            </w:r>
          </w:p>
        </w:tc>
        <w:tc>
          <w:tcPr>
            <w:tcW w:w="2438" w:type="dxa"/>
            <w:hideMark/>
          </w:tcPr>
          <w:p w14:paraId="0A9ABAE0"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CFFD50D"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2D9D3DF9"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045F42D1"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5592F8BB"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0F6F57F0" w14:textId="77777777" w:rsidTr="00391854">
        <w:trPr>
          <w:trHeight w:val="300"/>
        </w:trPr>
        <w:tc>
          <w:tcPr>
            <w:tcW w:w="1697" w:type="dxa"/>
            <w:hideMark/>
          </w:tcPr>
          <w:p w14:paraId="472C4F7A" w14:textId="77777777" w:rsidR="000A152B" w:rsidRPr="00901194" w:rsidRDefault="000A152B" w:rsidP="000A152B">
            <w:pPr>
              <w:spacing w:line="240" w:lineRule="auto"/>
              <w:rPr>
                <w:rFonts w:cs="Times New Roman"/>
              </w:rPr>
            </w:pPr>
            <w:r w:rsidRPr="00901194">
              <w:rPr>
                <w:rFonts w:cs="Times New Roman"/>
              </w:rPr>
              <w:t>SB22</w:t>
            </w:r>
          </w:p>
        </w:tc>
        <w:tc>
          <w:tcPr>
            <w:tcW w:w="1530" w:type="dxa"/>
            <w:hideMark/>
          </w:tcPr>
          <w:p w14:paraId="09F1CE92" w14:textId="77777777" w:rsidR="000A152B" w:rsidRPr="00901194" w:rsidRDefault="000A152B" w:rsidP="000A152B">
            <w:pPr>
              <w:spacing w:line="240" w:lineRule="auto"/>
              <w:rPr>
                <w:rFonts w:cs="Times New Roman"/>
              </w:rPr>
            </w:pPr>
            <w:r w:rsidRPr="00901194">
              <w:rPr>
                <w:rFonts w:cs="Times New Roman"/>
              </w:rPr>
              <w:t>Pumpkin</w:t>
            </w:r>
          </w:p>
        </w:tc>
        <w:tc>
          <w:tcPr>
            <w:tcW w:w="2438" w:type="dxa"/>
            <w:hideMark/>
          </w:tcPr>
          <w:p w14:paraId="1C8E79F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0E940FC"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2F6ED7FE"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4A60F9F3" w14:textId="77777777" w:rsidR="000A152B" w:rsidRPr="00901194" w:rsidRDefault="000A152B" w:rsidP="000A152B">
            <w:pPr>
              <w:spacing w:line="240" w:lineRule="auto"/>
              <w:rPr>
                <w:rFonts w:cs="Times New Roman"/>
              </w:rPr>
            </w:pPr>
            <w:r w:rsidRPr="00901194">
              <w:rPr>
                <w:rFonts w:cs="Times New Roman"/>
              </w:rPr>
              <w:t>NA</w:t>
            </w:r>
          </w:p>
        </w:tc>
        <w:tc>
          <w:tcPr>
            <w:tcW w:w="1463" w:type="dxa"/>
            <w:hideMark/>
          </w:tcPr>
          <w:p w14:paraId="0561AE7B"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703EF42F" w14:textId="77777777" w:rsidTr="00391854">
        <w:trPr>
          <w:trHeight w:val="300"/>
        </w:trPr>
        <w:tc>
          <w:tcPr>
            <w:tcW w:w="1697" w:type="dxa"/>
            <w:hideMark/>
          </w:tcPr>
          <w:p w14:paraId="3D8D4EF4" w14:textId="77777777" w:rsidR="000A152B" w:rsidRPr="00901194" w:rsidRDefault="000A152B" w:rsidP="000A152B">
            <w:pPr>
              <w:spacing w:line="240" w:lineRule="auto"/>
              <w:rPr>
                <w:rFonts w:cs="Times New Roman"/>
              </w:rPr>
            </w:pPr>
            <w:r w:rsidRPr="00901194">
              <w:rPr>
                <w:rFonts w:cs="Times New Roman"/>
              </w:rPr>
              <w:t>SB23</w:t>
            </w:r>
          </w:p>
        </w:tc>
        <w:tc>
          <w:tcPr>
            <w:tcW w:w="1530" w:type="dxa"/>
            <w:hideMark/>
          </w:tcPr>
          <w:p w14:paraId="711ACC64" w14:textId="77777777" w:rsidR="000A152B" w:rsidRPr="00901194" w:rsidRDefault="000A152B" w:rsidP="000A152B">
            <w:pPr>
              <w:spacing w:line="240" w:lineRule="auto"/>
              <w:rPr>
                <w:rFonts w:cs="Times New Roman"/>
              </w:rPr>
            </w:pPr>
            <w:r w:rsidRPr="00901194">
              <w:rPr>
                <w:rFonts w:cs="Times New Roman"/>
              </w:rPr>
              <w:t>Cohune nut</w:t>
            </w:r>
          </w:p>
        </w:tc>
        <w:tc>
          <w:tcPr>
            <w:tcW w:w="2438" w:type="dxa"/>
            <w:hideMark/>
          </w:tcPr>
          <w:p w14:paraId="2C200BCB"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4714123"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67DCC61C"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1BA91DAE" w14:textId="77777777" w:rsidR="000A152B" w:rsidRPr="00901194" w:rsidRDefault="000A152B" w:rsidP="000A152B">
            <w:pPr>
              <w:spacing w:line="240" w:lineRule="auto"/>
              <w:rPr>
                <w:rFonts w:cs="Times New Roman"/>
              </w:rPr>
            </w:pPr>
            <w:r w:rsidRPr="00901194">
              <w:rPr>
                <w:rFonts w:cs="Times New Roman"/>
              </w:rPr>
              <w:t>Nut</w:t>
            </w:r>
          </w:p>
        </w:tc>
        <w:tc>
          <w:tcPr>
            <w:tcW w:w="1463" w:type="dxa"/>
            <w:hideMark/>
          </w:tcPr>
          <w:p w14:paraId="41E45934"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14842E25" w14:textId="77777777" w:rsidTr="00391854">
        <w:trPr>
          <w:trHeight w:val="300"/>
        </w:trPr>
        <w:tc>
          <w:tcPr>
            <w:tcW w:w="1697" w:type="dxa"/>
            <w:hideMark/>
          </w:tcPr>
          <w:p w14:paraId="3A2A962D" w14:textId="77777777" w:rsidR="000A152B" w:rsidRPr="00901194" w:rsidRDefault="000A152B" w:rsidP="000A152B">
            <w:pPr>
              <w:spacing w:line="240" w:lineRule="auto"/>
              <w:rPr>
                <w:rFonts w:cs="Times New Roman"/>
              </w:rPr>
            </w:pPr>
            <w:r w:rsidRPr="00901194">
              <w:rPr>
                <w:rFonts w:cs="Times New Roman"/>
              </w:rPr>
              <w:t>SB24</w:t>
            </w:r>
          </w:p>
        </w:tc>
        <w:tc>
          <w:tcPr>
            <w:tcW w:w="1530" w:type="dxa"/>
            <w:hideMark/>
          </w:tcPr>
          <w:p w14:paraId="0ED013CB" w14:textId="77777777" w:rsidR="000A152B" w:rsidRPr="00901194" w:rsidRDefault="000A152B" w:rsidP="000A152B">
            <w:pPr>
              <w:spacing w:line="240" w:lineRule="auto"/>
              <w:rPr>
                <w:rFonts w:cs="Times New Roman"/>
              </w:rPr>
            </w:pPr>
            <w:r w:rsidRPr="00901194">
              <w:rPr>
                <w:rFonts w:cs="Times New Roman"/>
              </w:rPr>
              <w:t>Red bean</w:t>
            </w:r>
          </w:p>
        </w:tc>
        <w:tc>
          <w:tcPr>
            <w:tcW w:w="2438" w:type="dxa"/>
            <w:hideMark/>
          </w:tcPr>
          <w:p w14:paraId="5F94053F"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C9A2C0F"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5199240C"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7B08D013" w14:textId="77777777" w:rsidR="000A152B" w:rsidRPr="00901194" w:rsidRDefault="000A152B" w:rsidP="000A152B">
            <w:pPr>
              <w:spacing w:line="240" w:lineRule="auto"/>
              <w:rPr>
                <w:rFonts w:cs="Times New Roman"/>
              </w:rPr>
            </w:pPr>
            <w:r w:rsidRPr="00901194">
              <w:rPr>
                <w:rFonts w:cs="Times New Roman"/>
              </w:rPr>
              <w:t>Bean</w:t>
            </w:r>
          </w:p>
        </w:tc>
        <w:tc>
          <w:tcPr>
            <w:tcW w:w="1463" w:type="dxa"/>
            <w:hideMark/>
          </w:tcPr>
          <w:p w14:paraId="1C236270"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06896426" w14:textId="77777777" w:rsidTr="00391854">
        <w:trPr>
          <w:trHeight w:val="300"/>
        </w:trPr>
        <w:tc>
          <w:tcPr>
            <w:tcW w:w="1697" w:type="dxa"/>
            <w:hideMark/>
          </w:tcPr>
          <w:p w14:paraId="2DEAF18C" w14:textId="77777777" w:rsidR="000A152B" w:rsidRPr="00901194" w:rsidRDefault="000A152B" w:rsidP="000A152B">
            <w:pPr>
              <w:spacing w:line="240" w:lineRule="auto"/>
              <w:rPr>
                <w:rFonts w:cs="Times New Roman"/>
              </w:rPr>
            </w:pPr>
            <w:r w:rsidRPr="00901194">
              <w:rPr>
                <w:rFonts w:cs="Times New Roman"/>
              </w:rPr>
              <w:lastRenderedPageBreak/>
              <w:t>SB25</w:t>
            </w:r>
          </w:p>
        </w:tc>
        <w:tc>
          <w:tcPr>
            <w:tcW w:w="1530" w:type="dxa"/>
            <w:hideMark/>
          </w:tcPr>
          <w:p w14:paraId="294152DD" w14:textId="77777777" w:rsidR="000A152B" w:rsidRPr="00901194" w:rsidRDefault="000A152B" w:rsidP="000A152B">
            <w:pPr>
              <w:spacing w:line="240" w:lineRule="auto"/>
              <w:rPr>
                <w:rFonts w:cs="Times New Roman"/>
              </w:rPr>
            </w:pPr>
            <w:r w:rsidRPr="00901194">
              <w:rPr>
                <w:rFonts w:cs="Times New Roman"/>
              </w:rPr>
              <w:t>Black bean</w:t>
            </w:r>
          </w:p>
        </w:tc>
        <w:tc>
          <w:tcPr>
            <w:tcW w:w="2438" w:type="dxa"/>
            <w:hideMark/>
          </w:tcPr>
          <w:p w14:paraId="4A14BB4E"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8628311"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164AF3F4"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547D83C6" w14:textId="77777777" w:rsidR="000A152B" w:rsidRPr="00901194" w:rsidRDefault="000A152B" w:rsidP="000A152B">
            <w:pPr>
              <w:spacing w:line="240" w:lineRule="auto"/>
              <w:rPr>
                <w:rFonts w:cs="Times New Roman"/>
              </w:rPr>
            </w:pPr>
            <w:r w:rsidRPr="00901194">
              <w:rPr>
                <w:rFonts w:cs="Times New Roman"/>
              </w:rPr>
              <w:t>Bean</w:t>
            </w:r>
          </w:p>
        </w:tc>
        <w:tc>
          <w:tcPr>
            <w:tcW w:w="1463" w:type="dxa"/>
            <w:hideMark/>
          </w:tcPr>
          <w:p w14:paraId="6E351C3E"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061FAABA" w14:textId="77777777" w:rsidTr="00391854">
        <w:trPr>
          <w:trHeight w:val="300"/>
        </w:trPr>
        <w:tc>
          <w:tcPr>
            <w:tcW w:w="1697" w:type="dxa"/>
            <w:hideMark/>
          </w:tcPr>
          <w:p w14:paraId="5FD3AF63" w14:textId="77777777" w:rsidR="000A152B" w:rsidRPr="00901194" w:rsidRDefault="000A152B" w:rsidP="000A152B">
            <w:pPr>
              <w:spacing w:line="240" w:lineRule="auto"/>
              <w:rPr>
                <w:rFonts w:cs="Times New Roman"/>
              </w:rPr>
            </w:pPr>
            <w:r w:rsidRPr="00901194">
              <w:rPr>
                <w:rFonts w:cs="Times New Roman"/>
              </w:rPr>
              <w:t>SB26</w:t>
            </w:r>
          </w:p>
        </w:tc>
        <w:tc>
          <w:tcPr>
            <w:tcW w:w="1530" w:type="dxa"/>
            <w:hideMark/>
          </w:tcPr>
          <w:p w14:paraId="56FC61E6" w14:textId="77777777" w:rsidR="000A152B" w:rsidRPr="00901194" w:rsidRDefault="000A152B" w:rsidP="000A152B">
            <w:pPr>
              <w:spacing w:line="240" w:lineRule="auto"/>
              <w:rPr>
                <w:rFonts w:cs="Times New Roman"/>
              </w:rPr>
            </w:pPr>
            <w:r w:rsidRPr="00901194">
              <w:rPr>
                <w:rFonts w:cs="Times New Roman"/>
              </w:rPr>
              <w:t>Red corn</w:t>
            </w:r>
          </w:p>
        </w:tc>
        <w:tc>
          <w:tcPr>
            <w:tcW w:w="2438" w:type="dxa"/>
            <w:hideMark/>
          </w:tcPr>
          <w:p w14:paraId="2B4494D7"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10EBF3F"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2DCB7DC6"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72A4DD02"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39BF9764"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23334602" w14:textId="77777777" w:rsidTr="00391854">
        <w:trPr>
          <w:trHeight w:val="300"/>
        </w:trPr>
        <w:tc>
          <w:tcPr>
            <w:tcW w:w="1697" w:type="dxa"/>
            <w:hideMark/>
          </w:tcPr>
          <w:p w14:paraId="07E55B6B" w14:textId="77777777" w:rsidR="000A152B" w:rsidRPr="00901194" w:rsidRDefault="000A152B" w:rsidP="000A152B">
            <w:pPr>
              <w:spacing w:line="240" w:lineRule="auto"/>
              <w:rPr>
                <w:rFonts w:cs="Times New Roman"/>
              </w:rPr>
            </w:pPr>
            <w:r w:rsidRPr="00901194">
              <w:rPr>
                <w:rFonts w:cs="Times New Roman"/>
              </w:rPr>
              <w:t>SB27</w:t>
            </w:r>
          </w:p>
        </w:tc>
        <w:tc>
          <w:tcPr>
            <w:tcW w:w="1530" w:type="dxa"/>
            <w:hideMark/>
          </w:tcPr>
          <w:p w14:paraId="04F0D40B" w14:textId="77777777" w:rsidR="000A152B" w:rsidRPr="00901194" w:rsidRDefault="000A152B" w:rsidP="000A152B">
            <w:pPr>
              <w:spacing w:line="240" w:lineRule="auto"/>
              <w:rPr>
                <w:rFonts w:cs="Times New Roman"/>
              </w:rPr>
            </w:pPr>
            <w:r w:rsidRPr="00901194">
              <w:rPr>
                <w:rFonts w:cs="Times New Roman"/>
              </w:rPr>
              <w:t>Purple corn</w:t>
            </w:r>
          </w:p>
        </w:tc>
        <w:tc>
          <w:tcPr>
            <w:tcW w:w="2438" w:type="dxa"/>
            <w:hideMark/>
          </w:tcPr>
          <w:p w14:paraId="2603580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953E611"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52AE13DC"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7B3CB828"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6371E38B"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56EA7A9B" w14:textId="77777777" w:rsidTr="00391854">
        <w:trPr>
          <w:trHeight w:val="300"/>
        </w:trPr>
        <w:tc>
          <w:tcPr>
            <w:tcW w:w="1697" w:type="dxa"/>
            <w:hideMark/>
          </w:tcPr>
          <w:p w14:paraId="01116D88" w14:textId="77777777" w:rsidR="000A152B" w:rsidRPr="00901194" w:rsidRDefault="000A152B" w:rsidP="000A152B">
            <w:pPr>
              <w:spacing w:line="240" w:lineRule="auto"/>
              <w:rPr>
                <w:rFonts w:cs="Times New Roman"/>
              </w:rPr>
            </w:pPr>
            <w:r w:rsidRPr="00901194">
              <w:rPr>
                <w:rFonts w:cs="Times New Roman"/>
              </w:rPr>
              <w:t>SB28</w:t>
            </w:r>
          </w:p>
        </w:tc>
        <w:tc>
          <w:tcPr>
            <w:tcW w:w="1530" w:type="dxa"/>
            <w:hideMark/>
          </w:tcPr>
          <w:p w14:paraId="14A3B3BB" w14:textId="77777777" w:rsidR="000A152B" w:rsidRPr="00901194" w:rsidRDefault="000A152B" w:rsidP="000A152B">
            <w:pPr>
              <w:spacing w:line="240" w:lineRule="auto"/>
              <w:rPr>
                <w:rFonts w:cs="Times New Roman"/>
              </w:rPr>
            </w:pPr>
            <w:r w:rsidRPr="00901194">
              <w:rPr>
                <w:rFonts w:cs="Times New Roman"/>
              </w:rPr>
              <w:t>White corn</w:t>
            </w:r>
          </w:p>
        </w:tc>
        <w:tc>
          <w:tcPr>
            <w:tcW w:w="2438" w:type="dxa"/>
            <w:hideMark/>
          </w:tcPr>
          <w:p w14:paraId="6732BEAF"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0CA3C4B"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0977DD05"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5666BF23"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3EBF9601"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435599A1" w14:textId="77777777" w:rsidTr="00391854">
        <w:trPr>
          <w:trHeight w:val="300"/>
        </w:trPr>
        <w:tc>
          <w:tcPr>
            <w:tcW w:w="1697" w:type="dxa"/>
            <w:hideMark/>
          </w:tcPr>
          <w:p w14:paraId="7C6E68C4" w14:textId="77777777" w:rsidR="000A152B" w:rsidRPr="00901194" w:rsidRDefault="000A152B" w:rsidP="000A152B">
            <w:pPr>
              <w:spacing w:line="240" w:lineRule="auto"/>
              <w:rPr>
                <w:rFonts w:cs="Times New Roman"/>
              </w:rPr>
            </w:pPr>
            <w:r w:rsidRPr="00901194">
              <w:rPr>
                <w:rFonts w:cs="Times New Roman"/>
              </w:rPr>
              <w:t>SB29</w:t>
            </w:r>
          </w:p>
        </w:tc>
        <w:tc>
          <w:tcPr>
            <w:tcW w:w="1530" w:type="dxa"/>
            <w:hideMark/>
          </w:tcPr>
          <w:p w14:paraId="32B62CF4" w14:textId="77777777" w:rsidR="000A152B" w:rsidRPr="00901194" w:rsidRDefault="000A152B" w:rsidP="000A152B">
            <w:pPr>
              <w:spacing w:line="240" w:lineRule="auto"/>
              <w:rPr>
                <w:rFonts w:cs="Times New Roman"/>
              </w:rPr>
            </w:pPr>
            <w:r w:rsidRPr="00901194">
              <w:rPr>
                <w:rFonts w:cs="Times New Roman"/>
              </w:rPr>
              <w:t>Yellow corn</w:t>
            </w:r>
          </w:p>
        </w:tc>
        <w:tc>
          <w:tcPr>
            <w:tcW w:w="2438" w:type="dxa"/>
            <w:hideMark/>
          </w:tcPr>
          <w:p w14:paraId="11E748F6"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0E6C14F"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5F92D986"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1FAFE431"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39D1DE9A"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1FBD5211" w14:textId="77777777" w:rsidTr="00391854">
        <w:trPr>
          <w:trHeight w:val="300"/>
        </w:trPr>
        <w:tc>
          <w:tcPr>
            <w:tcW w:w="1697" w:type="dxa"/>
            <w:hideMark/>
          </w:tcPr>
          <w:p w14:paraId="45F38D9B" w14:textId="77777777" w:rsidR="000A152B" w:rsidRPr="00901194" w:rsidRDefault="000A152B" w:rsidP="000A152B">
            <w:pPr>
              <w:spacing w:line="240" w:lineRule="auto"/>
              <w:rPr>
                <w:rFonts w:cs="Times New Roman"/>
              </w:rPr>
            </w:pPr>
            <w:r w:rsidRPr="00901194">
              <w:rPr>
                <w:rFonts w:cs="Times New Roman"/>
              </w:rPr>
              <w:t>SB30</w:t>
            </w:r>
          </w:p>
        </w:tc>
        <w:tc>
          <w:tcPr>
            <w:tcW w:w="1530" w:type="dxa"/>
            <w:hideMark/>
          </w:tcPr>
          <w:p w14:paraId="2B8C3E2A" w14:textId="77777777" w:rsidR="000A152B" w:rsidRPr="00901194" w:rsidRDefault="000A152B" w:rsidP="000A152B">
            <w:pPr>
              <w:spacing w:line="240" w:lineRule="auto"/>
              <w:rPr>
                <w:rFonts w:cs="Times New Roman"/>
              </w:rPr>
            </w:pPr>
            <w:r w:rsidRPr="00901194">
              <w:rPr>
                <w:rFonts w:cs="Times New Roman"/>
              </w:rPr>
              <w:t>Yellow corn</w:t>
            </w:r>
          </w:p>
        </w:tc>
        <w:tc>
          <w:tcPr>
            <w:tcW w:w="2438" w:type="dxa"/>
            <w:hideMark/>
          </w:tcPr>
          <w:p w14:paraId="3E399658"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42497394"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16E3C4CB"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3B0152EC"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3CD703E6"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5E382430" w14:textId="77777777" w:rsidTr="00391854">
        <w:trPr>
          <w:trHeight w:val="300"/>
        </w:trPr>
        <w:tc>
          <w:tcPr>
            <w:tcW w:w="1697" w:type="dxa"/>
            <w:hideMark/>
          </w:tcPr>
          <w:p w14:paraId="3D0222E7" w14:textId="77777777" w:rsidR="000A152B" w:rsidRPr="00901194" w:rsidRDefault="000A152B" w:rsidP="000A152B">
            <w:pPr>
              <w:spacing w:line="240" w:lineRule="auto"/>
              <w:rPr>
                <w:rFonts w:cs="Times New Roman"/>
              </w:rPr>
            </w:pPr>
            <w:r w:rsidRPr="00901194">
              <w:rPr>
                <w:rFonts w:cs="Times New Roman"/>
              </w:rPr>
              <w:t>SB31</w:t>
            </w:r>
          </w:p>
        </w:tc>
        <w:tc>
          <w:tcPr>
            <w:tcW w:w="1530" w:type="dxa"/>
            <w:hideMark/>
          </w:tcPr>
          <w:p w14:paraId="1601D1C3" w14:textId="77777777" w:rsidR="000A152B" w:rsidRPr="00901194" w:rsidRDefault="000A152B" w:rsidP="000A152B">
            <w:pPr>
              <w:spacing w:line="240" w:lineRule="auto"/>
              <w:rPr>
                <w:rFonts w:cs="Times New Roman"/>
              </w:rPr>
            </w:pPr>
            <w:r w:rsidRPr="00901194">
              <w:rPr>
                <w:rFonts w:cs="Times New Roman"/>
              </w:rPr>
              <w:t>White corn</w:t>
            </w:r>
          </w:p>
        </w:tc>
        <w:tc>
          <w:tcPr>
            <w:tcW w:w="2438" w:type="dxa"/>
            <w:hideMark/>
          </w:tcPr>
          <w:p w14:paraId="5ED8D126"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EDC7832"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2AFBE464"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1C759C15"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66F19D9B"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363F8A52" w14:textId="77777777" w:rsidTr="00391854">
        <w:trPr>
          <w:trHeight w:val="300"/>
        </w:trPr>
        <w:tc>
          <w:tcPr>
            <w:tcW w:w="1697" w:type="dxa"/>
            <w:hideMark/>
          </w:tcPr>
          <w:p w14:paraId="2AD14052" w14:textId="77777777" w:rsidR="000A152B" w:rsidRPr="00901194" w:rsidRDefault="000A152B" w:rsidP="000A152B">
            <w:pPr>
              <w:spacing w:line="240" w:lineRule="auto"/>
              <w:rPr>
                <w:rFonts w:cs="Times New Roman"/>
              </w:rPr>
            </w:pPr>
            <w:r w:rsidRPr="00901194">
              <w:rPr>
                <w:rFonts w:cs="Times New Roman"/>
              </w:rPr>
              <w:t>SB32</w:t>
            </w:r>
          </w:p>
        </w:tc>
        <w:tc>
          <w:tcPr>
            <w:tcW w:w="1530" w:type="dxa"/>
            <w:hideMark/>
          </w:tcPr>
          <w:p w14:paraId="389D5F6F" w14:textId="77777777" w:rsidR="000A152B" w:rsidRPr="00901194" w:rsidRDefault="000A152B" w:rsidP="000A152B">
            <w:pPr>
              <w:spacing w:line="240" w:lineRule="auto"/>
              <w:rPr>
                <w:rFonts w:cs="Times New Roman"/>
              </w:rPr>
            </w:pPr>
            <w:r w:rsidRPr="00901194">
              <w:rPr>
                <w:rFonts w:cs="Times New Roman"/>
              </w:rPr>
              <w:t>Purple corn</w:t>
            </w:r>
          </w:p>
        </w:tc>
        <w:tc>
          <w:tcPr>
            <w:tcW w:w="2438" w:type="dxa"/>
            <w:hideMark/>
          </w:tcPr>
          <w:p w14:paraId="0862F068"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56AD7968"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58176A63"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15594F7A"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1E4ACA4C" w14:textId="77777777" w:rsidR="000A152B" w:rsidRPr="00901194" w:rsidRDefault="000A152B" w:rsidP="000A152B">
            <w:pPr>
              <w:spacing w:line="240" w:lineRule="auto"/>
              <w:rPr>
                <w:rFonts w:cs="Times New Roman"/>
              </w:rPr>
            </w:pPr>
            <w:r w:rsidRPr="00901194">
              <w:rPr>
                <w:rFonts w:cs="Times New Roman"/>
              </w:rPr>
              <w:t>2021</w:t>
            </w:r>
          </w:p>
        </w:tc>
      </w:tr>
      <w:tr w:rsidR="00796762" w:rsidRPr="00901194" w14:paraId="403CF0C3" w14:textId="77777777" w:rsidTr="00391854">
        <w:trPr>
          <w:trHeight w:val="300"/>
        </w:trPr>
        <w:tc>
          <w:tcPr>
            <w:tcW w:w="1697" w:type="dxa"/>
            <w:hideMark/>
          </w:tcPr>
          <w:p w14:paraId="3EAA34EB" w14:textId="77777777" w:rsidR="000A152B" w:rsidRPr="00901194" w:rsidRDefault="000A152B" w:rsidP="000A152B">
            <w:pPr>
              <w:spacing w:line="240" w:lineRule="auto"/>
              <w:rPr>
                <w:rFonts w:cs="Times New Roman"/>
              </w:rPr>
            </w:pPr>
            <w:r w:rsidRPr="00901194">
              <w:rPr>
                <w:rFonts w:cs="Times New Roman"/>
              </w:rPr>
              <w:t>SB33</w:t>
            </w:r>
          </w:p>
        </w:tc>
        <w:tc>
          <w:tcPr>
            <w:tcW w:w="1530" w:type="dxa"/>
            <w:hideMark/>
          </w:tcPr>
          <w:p w14:paraId="22BD0000" w14:textId="77777777" w:rsidR="000A152B" w:rsidRPr="00901194" w:rsidRDefault="000A152B" w:rsidP="000A152B">
            <w:pPr>
              <w:spacing w:line="240" w:lineRule="auto"/>
              <w:rPr>
                <w:rFonts w:cs="Times New Roman"/>
              </w:rPr>
            </w:pPr>
            <w:r w:rsidRPr="00901194">
              <w:rPr>
                <w:rFonts w:cs="Times New Roman"/>
              </w:rPr>
              <w:t>Yellow corn</w:t>
            </w:r>
          </w:p>
        </w:tc>
        <w:tc>
          <w:tcPr>
            <w:tcW w:w="2438" w:type="dxa"/>
            <w:hideMark/>
          </w:tcPr>
          <w:p w14:paraId="47B5D7AA"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261F8288"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21DF52DB"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0F7A5EEC"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64984286"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70AFD924" w14:textId="77777777" w:rsidTr="00391854">
        <w:trPr>
          <w:trHeight w:val="300"/>
        </w:trPr>
        <w:tc>
          <w:tcPr>
            <w:tcW w:w="1697" w:type="dxa"/>
            <w:hideMark/>
          </w:tcPr>
          <w:p w14:paraId="7CED39C2" w14:textId="77777777" w:rsidR="000A152B" w:rsidRPr="00901194" w:rsidRDefault="000A152B" w:rsidP="000A152B">
            <w:pPr>
              <w:spacing w:line="240" w:lineRule="auto"/>
              <w:rPr>
                <w:rFonts w:cs="Times New Roman"/>
              </w:rPr>
            </w:pPr>
            <w:r w:rsidRPr="00901194">
              <w:rPr>
                <w:rFonts w:cs="Times New Roman"/>
              </w:rPr>
              <w:t>SB34</w:t>
            </w:r>
          </w:p>
        </w:tc>
        <w:tc>
          <w:tcPr>
            <w:tcW w:w="1530" w:type="dxa"/>
            <w:hideMark/>
          </w:tcPr>
          <w:p w14:paraId="33CDCE46" w14:textId="77777777" w:rsidR="000A152B" w:rsidRPr="00901194" w:rsidRDefault="000A152B" w:rsidP="000A152B">
            <w:pPr>
              <w:spacing w:line="240" w:lineRule="auto"/>
              <w:rPr>
                <w:rFonts w:cs="Times New Roman"/>
              </w:rPr>
            </w:pPr>
            <w:r w:rsidRPr="00901194">
              <w:rPr>
                <w:rFonts w:cs="Times New Roman"/>
              </w:rPr>
              <w:t>White corn</w:t>
            </w:r>
          </w:p>
        </w:tc>
        <w:tc>
          <w:tcPr>
            <w:tcW w:w="2438" w:type="dxa"/>
            <w:hideMark/>
          </w:tcPr>
          <w:p w14:paraId="796F2493"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37DB10BE"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6A1E0DE1"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1E076E2C"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1E1A4403"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64A6439C" w14:textId="77777777" w:rsidTr="00391854">
        <w:trPr>
          <w:trHeight w:val="300"/>
        </w:trPr>
        <w:tc>
          <w:tcPr>
            <w:tcW w:w="1697" w:type="dxa"/>
            <w:hideMark/>
          </w:tcPr>
          <w:p w14:paraId="252A20CF" w14:textId="77777777" w:rsidR="000A152B" w:rsidRPr="00901194" w:rsidRDefault="000A152B" w:rsidP="000A152B">
            <w:pPr>
              <w:spacing w:line="240" w:lineRule="auto"/>
              <w:rPr>
                <w:rFonts w:cs="Times New Roman"/>
              </w:rPr>
            </w:pPr>
            <w:r w:rsidRPr="00901194">
              <w:rPr>
                <w:rFonts w:cs="Times New Roman"/>
              </w:rPr>
              <w:t>SB35</w:t>
            </w:r>
          </w:p>
        </w:tc>
        <w:tc>
          <w:tcPr>
            <w:tcW w:w="1530" w:type="dxa"/>
            <w:hideMark/>
          </w:tcPr>
          <w:p w14:paraId="5C3959DF" w14:textId="77777777" w:rsidR="000A152B" w:rsidRPr="00901194" w:rsidRDefault="000A152B" w:rsidP="000A152B">
            <w:pPr>
              <w:spacing w:line="240" w:lineRule="auto"/>
              <w:rPr>
                <w:rFonts w:cs="Times New Roman"/>
              </w:rPr>
            </w:pPr>
            <w:r w:rsidRPr="00901194">
              <w:rPr>
                <w:rFonts w:cs="Times New Roman"/>
              </w:rPr>
              <w:t>Purple corn</w:t>
            </w:r>
          </w:p>
        </w:tc>
        <w:tc>
          <w:tcPr>
            <w:tcW w:w="2438" w:type="dxa"/>
            <w:hideMark/>
          </w:tcPr>
          <w:p w14:paraId="1F39B47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03CC83F6" w14:textId="77777777" w:rsidR="000A152B" w:rsidRPr="00901194" w:rsidRDefault="000A152B" w:rsidP="000A152B">
            <w:pPr>
              <w:spacing w:line="240" w:lineRule="auto"/>
              <w:rPr>
                <w:rFonts w:cs="Times New Roman"/>
              </w:rPr>
            </w:pPr>
            <w:r w:rsidRPr="00901194">
              <w:rPr>
                <w:rFonts w:cs="Times New Roman"/>
              </w:rPr>
              <w:t>Southern Belize</w:t>
            </w:r>
          </w:p>
        </w:tc>
        <w:tc>
          <w:tcPr>
            <w:tcW w:w="2622" w:type="dxa"/>
            <w:hideMark/>
          </w:tcPr>
          <w:p w14:paraId="57EF2239" w14:textId="77777777" w:rsidR="000A152B" w:rsidRPr="00901194" w:rsidRDefault="000A152B" w:rsidP="000A152B">
            <w:pPr>
              <w:spacing w:line="240" w:lineRule="auto"/>
              <w:rPr>
                <w:rFonts w:cs="Times New Roman"/>
              </w:rPr>
            </w:pPr>
            <w:r w:rsidRPr="00901194">
              <w:rPr>
                <w:rFonts w:cs="Times New Roman"/>
              </w:rPr>
              <w:t>Toledo district</w:t>
            </w:r>
          </w:p>
        </w:tc>
        <w:tc>
          <w:tcPr>
            <w:tcW w:w="1440" w:type="dxa"/>
            <w:hideMark/>
          </w:tcPr>
          <w:p w14:paraId="0C00C4D8" w14:textId="77777777" w:rsidR="000A152B" w:rsidRPr="00901194" w:rsidRDefault="000A152B" w:rsidP="000A152B">
            <w:pPr>
              <w:spacing w:line="240" w:lineRule="auto"/>
              <w:rPr>
                <w:rFonts w:cs="Times New Roman"/>
              </w:rPr>
            </w:pPr>
            <w:r w:rsidRPr="00901194">
              <w:rPr>
                <w:rFonts w:cs="Times New Roman"/>
              </w:rPr>
              <w:t>Kernel</w:t>
            </w:r>
          </w:p>
        </w:tc>
        <w:tc>
          <w:tcPr>
            <w:tcW w:w="1463" w:type="dxa"/>
            <w:hideMark/>
          </w:tcPr>
          <w:p w14:paraId="148C47AC"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11C98AC7" w14:textId="77777777" w:rsidTr="00391854">
        <w:trPr>
          <w:trHeight w:val="300"/>
        </w:trPr>
        <w:tc>
          <w:tcPr>
            <w:tcW w:w="1697" w:type="dxa"/>
            <w:hideMark/>
          </w:tcPr>
          <w:p w14:paraId="597CA55E" w14:textId="77777777" w:rsidR="000A152B" w:rsidRPr="00901194" w:rsidRDefault="000A152B" w:rsidP="000A152B">
            <w:pPr>
              <w:spacing w:line="240" w:lineRule="auto"/>
              <w:rPr>
                <w:rFonts w:cs="Times New Roman"/>
              </w:rPr>
            </w:pPr>
            <w:r w:rsidRPr="00901194">
              <w:rPr>
                <w:rFonts w:cs="Times New Roman"/>
              </w:rPr>
              <w:t>ApisA</w:t>
            </w:r>
          </w:p>
        </w:tc>
        <w:tc>
          <w:tcPr>
            <w:tcW w:w="1530" w:type="dxa"/>
            <w:hideMark/>
          </w:tcPr>
          <w:p w14:paraId="1DE0DDFE" w14:textId="77777777" w:rsidR="000A152B" w:rsidRPr="00901194" w:rsidRDefault="000A152B" w:rsidP="000A152B">
            <w:pPr>
              <w:spacing w:line="240" w:lineRule="auto"/>
              <w:rPr>
                <w:rFonts w:cs="Times New Roman"/>
              </w:rPr>
            </w:pPr>
            <w:r w:rsidRPr="00901194">
              <w:rPr>
                <w:rFonts w:cs="Times New Roman"/>
              </w:rPr>
              <w:t>European honeybee</w:t>
            </w:r>
          </w:p>
        </w:tc>
        <w:tc>
          <w:tcPr>
            <w:tcW w:w="2438" w:type="dxa"/>
            <w:hideMark/>
          </w:tcPr>
          <w:p w14:paraId="56B120C1"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44270E4" w14:textId="77777777" w:rsidR="000A152B" w:rsidRPr="00901194" w:rsidRDefault="000A152B" w:rsidP="000A152B">
            <w:pPr>
              <w:spacing w:line="240" w:lineRule="auto"/>
              <w:rPr>
                <w:rFonts w:cs="Times New Roman"/>
              </w:rPr>
            </w:pPr>
            <w:r w:rsidRPr="00901194">
              <w:rPr>
                <w:rFonts w:cs="Times New Roman"/>
              </w:rPr>
              <w:t>NA</w:t>
            </w:r>
          </w:p>
        </w:tc>
        <w:tc>
          <w:tcPr>
            <w:tcW w:w="2622" w:type="dxa"/>
            <w:hideMark/>
          </w:tcPr>
          <w:p w14:paraId="63F1C06E" w14:textId="77777777" w:rsidR="000A152B" w:rsidRPr="00901194" w:rsidRDefault="000A152B" w:rsidP="000A152B">
            <w:pPr>
              <w:spacing w:line="240" w:lineRule="auto"/>
              <w:rPr>
                <w:rFonts w:cs="Times New Roman"/>
              </w:rPr>
            </w:pPr>
            <w:r w:rsidRPr="00901194">
              <w:rPr>
                <w:rFonts w:cs="Times New Roman"/>
              </w:rPr>
              <w:t>NA</w:t>
            </w:r>
          </w:p>
        </w:tc>
        <w:tc>
          <w:tcPr>
            <w:tcW w:w="1440" w:type="dxa"/>
            <w:hideMark/>
          </w:tcPr>
          <w:p w14:paraId="4C70217D" w14:textId="77777777" w:rsidR="000A152B" w:rsidRPr="00901194" w:rsidRDefault="000A152B" w:rsidP="000A152B">
            <w:pPr>
              <w:spacing w:line="240" w:lineRule="auto"/>
              <w:rPr>
                <w:rFonts w:cs="Times New Roman"/>
              </w:rPr>
            </w:pPr>
            <w:r w:rsidRPr="00901194">
              <w:rPr>
                <w:rFonts w:cs="Times New Roman"/>
              </w:rPr>
              <w:t>Honey</w:t>
            </w:r>
          </w:p>
        </w:tc>
        <w:tc>
          <w:tcPr>
            <w:tcW w:w="1463" w:type="dxa"/>
            <w:hideMark/>
          </w:tcPr>
          <w:p w14:paraId="04C196F9"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3B86D13C" w14:textId="77777777" w:rsidTr="00391854">
        <w:trPr>
          <w:trHeight w:val="300"/>
        </w:trPr>
        <w:tc>
          <w:tcPr>
            <w:tcW w:w="1697" w:type="dxa"/>
            <w:hideMark/>
          </w:tcPr>
          <w:p w14:paraId="7BDDB03B" w14:textId="77777777" w:rsidR="000A152B" w:rsidRPr="00901194" w:rsidRDefault="000A152B" w:rsidP="000A152B">
            <w:pPr>
              <w:spacing w:line="240" w:lineRule="auto"/>
              <w:rPr>
                <w:rFonts w:cs="Times New Roman"/>
              </w:rPr>
            </w:pPr>
            <w:r w:rsidRPr="00901194">
              <w:rPr>
                <w:rFonts w:cs="Times New Roman"/>
              </w:rPr>
              <w:t>ApisB</w:t>
            </w:r>
          </w:p>
        </w:tc>
        <w:tc>
          <w:tcPr>
            <w:tcW w:w="1530" w:type="dxa"/>
            <w:hideMark/>
          </w:tcPr>
          <w:p w14:paraId="02BED3A1" w14:textId="77777777" w:rsidR="000A152B" w:rsidRPr="00901194" w:rsidRDefault="000A152B" w:rsidP="000A152B">
            <w:pPr>
              <w:spacing w:line="240" w:lineRule="auto"/>
              <w:rPr>
                <w:rFonts w:cs="Times New Roman"/>
              </w:rPr>
            </w:pPr>
            <w:r w:rsidRPr="00901194">
              <w:rPr>
                <w:rFonts w:cs="Times New Roman"/>
              </w:rPr>
              <w:t>European honeybee</w:t>
            </w:r>
          </w:p>
        </w:tc>
        <w:tc>
          <w:tcPr>
            <w:tcW w:w="2438" w:type="dxa"/>
            <w:hideMark/>
          </w:tcPr>
          <w:p w14:paraId="6DC97544"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64A4B13B" w14:textId="77777777" w:rsidR="000A152B" w:rsidRPr="00901194" w:rsidRDefault="000A152B" w:rsidP="000A152B">
            <w:pPr>
              <w:spacing w:line="240" w:lineRule="auto"/>
              <w:rPr>
                <w:rFonts w:cs="Times New Roman"/>
              </w:rPr>
            </w:pPr>
            <w:r w:rsidRPr="00901194">
              <w:rPr>
                <w:rFonts w:cs="Times New Roman"/>
              </w:rPr>
              <w:t>NA</w:t>
            </w:r>
          </w:p>
        </w:tc>
        <w:tc>
          <w:tcPr>
            <w:tcW w:w="2622" w:type="dxa"/>
            <w:hideMark/>
          </w:tcPr>
          <w:p w14:paraId="1D301B33" w14:textId="77777777" w:rsidR="000A152B" w:rsidRPr="00901194" w:rsidRDefault="000A152B" w:rsidP="000A152B">
            <w:pPr>
              <w:spacing w:line="240" w:lineRule="auto"/>
              <w:rPr>
                <w:rFonts w:cs="Times New Roman"/>
              </w:rPr>
            </w:pPr>
            <w:r w:rsidRPr="00901194">
              <w:rPr>
                <w:rFonts w:cs="Times New Roman"/>
              </w:rPr>
              <w:t>NA</w:t>
            </w:r>
          </w:p>
        </w:tc>
        <w:tc>
          <w:tcPr>
            <w:tcW w:w="1440" w:type="dxa"/>
            <w:hideMark/>
          </w:tcPr>
          <w:p w14:paraId="5990232E" w14:textId="77777777" w:rsidR="000A152B" w:rsidRPr="00901194" w:rsidRDefault="000A152B" w:rsidP="000A152B">
            <w:pPr>
              <w:spacing w:line="240" w:lineRule="auto"/>
              <w:rPr>
                <w:rFonts w:cs="Times New Roman"/>
              </w:rPr>
            </w:pPr>
            <w:r w:rsidRPr="00901194">
              <w:rPr>
                <w:rFonts w:cs="Times New Roman"/>
              </w:rPr>
              <w:t>Honey</w:t>
            </w:r>
          </w:p>
        </w:tc>
        <w:tc>
          <w:tcPr>
            <w:tcW w:w="1463" w:type="dxa"/>
            <w:hideMark/>
          </w:tcPr>
          <w:p w14:paraId="09A289A2"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04BF2258" w14:textId="77777777" w:rsidTr="00391854">
        <w:trPr>
          <w:trHeight w:val="300"/>
        </w:trPr>
        <w:tc>
          <w:tcPr>
            <w:tcW w:w="1697" w:type="dxa"/>
            <w:hideMark/>
          </w:tcPr>
          <w:p w14:paraId="3E15CC47" w14:textId="77777777" w:rsidR="000A152B" w:rsidRPr="00901194" w:rsidRDefault="000A152B" w:rsidP="000A152B">
            <w:pPr>
              <w:spacing w:line="240" w:lineRule="auto"/>
              <w:rPr>
                <w:rFonts w:cs="Times New Roman"/>
              </w:rPr>
            </w:pPr>
            <w:r w:rsidRPr="00901194">
              <w:rPr>
                <w:rFonts w:cs="Times New Roman"/>
              </w:rPr>
              <w:t>MelA</w:t>
            </w:r>
          </w:p>
        </w:tc>
        <w:tc>
          <w:tcPr>
            <w:tcW w:w="1530" w:type="dxa"/>
            <w:hideMark/>
          </w:tcPr>
          <w:p w14:paraId="654AA5B2" w14:textId="77777777" w:rsidR="000A152B" w:rsidRPr="00901194" w:rsidRDefault="000A152B" w:rsidP="000A152B">
            <w:pPr>
              <w:spacing w:line="240" w:lineRule="auto"/>
              <w:rPr>
                <w:rFonts w:cs="Times New Roman"/>
              </w:rPr>
            </w:pPr>
            <w:r w:rsidRPr="00901194">
              <w:rPr>
                <w:rFonts w:cs="Times New Roman"/>
              </w:rPr>
              <w:t>Melipona bee</w:t>
            </w:r>
          </w:p>
        </w:tc>
        <w:tc>
          <w:tcPr>
            <w:tcW w:w="2438" w:type="dxa"/>
            <w:hideMark/>
          </w:tcPr>
          <w:p w14:paraId="7BC378B3"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14FA5F78" w14:textId="77777777" w:rsidR="000A152B" w:rsidRPr="00901194" w:rsidRDefault="000A152B" w:rsidP="000A152B">
            <w:pPr>
              <w:spacing w:line="240" w:lineRule="auto"/>
              <w:rPr>
                <w:rFonts w:cs="Times New Roman"/>
              </w:rPr>
            </w:pPr>
            <w:r w:rsidRPr="00901194">
              <w:rPr>
                <w:rFonts w:cs="Times New Roman"/>
              </w:rPr>
              <w:t>NA</w:t>
            </w:r>
          </w:p>
        </w:tc>
        <w:tc>
          <w:tcPr>
            <w:tcW w:w="2622" w:type="dxa"/>
            <w:hideMark/>
          </w:tcPr>
          <w:p w14:paraId="642D3C8F" w14:textId="77777777" w:rsidR="000A152B" w:rsidRPr="00901194" w:rsidRDefault="000A152B" w:rsidP="000A152B">
            <w:pPr>
              <w:spacing w:line="240" w:lineRule="auto"/>
              <w:rPr>
                <w:rFonts w:cs="Times New Roman"/>
              </w:rPr>
            </w:pPr>
            <w:r w:rsidRPr="00901194">
              <w:rPr>
                <w:rFonts w:cs="Times New Roman"/>
              </w:rPr>
              <w:t>NA</w:t>
            </w:r>
          </w:p>
        </w:tc>
        <w:tc>
          <w:tcPr>
            <w:tcW w:w="1440" w:type="dxa"/>
            <w:hideMark/>
          </w:tcPr>
          <w:p w14:paraId="36791C1B" w14:textId="77777777" w:rsidR="000A152B" w:rsidRPr="00901194" w:rsidRDefault="000A152B" w:rsidP="000A152B">
            <w:pPr>
              <w:spacing w:line="240" w:lineRule="auto"/>
              <w:rPr>
                <w:rFonts w:cs="Times New Roman"/>
              </w:rPr>
            </w:pPr>
            <w:r w:rsidRPr="00901194">
              <w:rPr>
                <w:rFonts w:cs="Times New Roman"/>
              </w:rPr>
              <w:t>Honey</w:t>
            </w:r>
          </w:p>
        </w:tc>
        <w:tc>
          <w:tcPr>
            <w:tcW w:w="1463" w:type="dxa"/>
            <w:hideMark/>
          </w:tcPr>
          <w:p w14:paraId="5F380FB3" w14:textId="77777777" w:rsidR="000A152B" w:rsidRPr="00901194" w:rsidRDefault="000A152B" w:rsidP="000A152B">
            <w:pPr>
              <w:spacing w:line="240" w:lineRule="auto"/>
              <w:rPr>
                <w:rFonts w:cs="Times New Roman"/>
              </w:rPr>
            </w:pPr>
            <w:r w:rsidRPr="00901194">
              <w:rPr>
                <w:rFonts w:cs="Times New Roman"/>
              </w:rPr>
              <w:t>2022</w:t>
            </w:r>
          </w:p>
        </w:tc>
      </w:tr>
      <w:tr w:rsidR="00796762" w:rsidRPr="00901194" w14:paraId="4DEC759C" w14:textId="77777777" w:rsidTr="00391854">
        <w:trPr>
          <w:trHeight w:val="300"/>
        </w:trPr>
        <w:tc>
          <w:tcPr>
            <w:tcW w:w="1697" w:type="dxa"/>
            <w:hideMark/>
          </w:tcPr>
          <w:p w14:paraId="3395350E" w14:textId="77777777" w:rsidR="000A152B" w:rsidRPr="00901194" w:rsidRDefault="000A152B" w:rsidP="000A152B">
            <w:pPr>
              <w:spacing w:line="240" w:lineRule="auto"/>
              <w:rPr>
                <w:rFonts w:cs="Times New Roman"/>
              </w:rPr>
            </w:pPr>
            <w:r w:rsidRPr="00901194">
              <w:rPr>
                <w:rFonts w:cs="Times New Roman"/>
              </w:rPr>
              <w:t>MelB</w:t>
            </w:r>
          </w:p>
        </w:tc>
        <w:tc>
          <w:tcPr>
            <w:tcW w:w="1530" w:type="dxa"/>
            <w:hideMark/>
          </w:tcPr>
          <w:p w14:paraId="7E211E91" w14:textId="77777777" w:rsidR="000A152B" w:rsidRPr="00901194" w:rsidRDefault="000A152B" w:rsidP="000A152B">
            <w:pPr>
              <w:spacing w:line="240" w:lineRule="auto"/>
              <w:rPr>
                <w:rFonts w:cs="Times New Roman"/>
              </w:rPr>
            </w:pPr>
            <w:r w:rsidRPr="00901194">
              <w:rPr>
                <w:rFonts w:cs="Times New Roman"/>
              </w:rPr>
              <w:t>Melipona bee</w:t>
            </w:r>
          </w:p>
        </w:tc>
        <w:tc>
          <w:tcPr>
            <w:tcW w:w="2438" w:type="dxa"/>
            <w:hideMark/>
          </w:tcPr>
          <w:p w14:paraId="579EA1A0" w14:textId="77777777" w:rsidR="000A152B" w:rsidRPr="00901194" w:rsidRDefault="000A152B" w:rsidP="000A152B">
            <w:pPr>
              <w:spacing w:line="240" w:lineRule="auto"/>
              <w:rPr>
                <w:rFonts w:cs="Times New Roman"/>
              </w:rPr>
            </w:pPr>
            <w:r w:rsidRPr="00901194">
              <w:rPr>
                <w:rFonts w:cs="Times New Roman"/>
              </w:rPr>
              <w:t>NA</w:t>
            </w:r>
          </w:p>
        </w:tc>
        <w:tc>
          <w:tcPr>
            <w:tcW w:w="1108" w:type="dxa"/>
            <w:hideMark/>
          </w:tcPr>
          <w:p w14:paraId="7BAB6830" w14:textId="77777777" w:rsidR="000A152B" w:rsidRPr="00901194" w:rsidRDefault="000A152B" w:rsidP="000A152B">
            <w:pPr>
              <w:spacing w:line="240" w:lineRule="auto"/>
              <w:rPr>
                <w:rFonts w:cs="Times New Roman"/>
              </w:rPr>
            </w:pPr>
            <w:r w:rsidRPr="00901194">
              <w:rPr>
                <w:rFonts w:cs="Times New Roman"/>
              </w:rPr>
              <w:t>NA</w:t>
            </w:r>
          </w:p>
        </w:tc>
        <w:tc>
          <w:tcPr>
            <w:tcW w:w="2622" w:type="dxa"/>
            <w:hideMark/>
          </w:tcPr>
          <w:p w14:paraId="79C8FD4F" w14:textId="77777777" w:rsidR="000A152B" w:rsidRPr="00901194" w:rsidRDefault="000A152B" w:rsidP="000A152B">
            <w:pPr>
              <w:spacing w:line="240" w:lineRule="auto"/>
              <w:rPr>
                <w:rFonts w:cs="Times New Roman"/>
              </w:rPr>
            </w:pPr>
            <w:r w:rsidRPr="00901194">
              <w:rPr>
                <w:rFonts w:cs="Times New Roman"/>
              </w:rPr>
              <w:t>NA</w:t>
            </w:r>
          </w:p>
        </w:tc>
        <w:tc>
          <w:tcPr>
            <w:tcW w:w="1440" w:type="dxa"/>
            <w:hideMark/>
          </w:tcPr>
          <w:p w14:paraId="2EAAB3EA" w14:textId="77777777" w:rsidR="000A152B" w:rsidRPr="00901194" w:rsidRDefault="000A152B" w:rsidP="000A152B">
            <w:pPr>
              <w:spacing w:line="240" w:lineRule="auto"/>
              <w:rPr>
                <w:rFonts w:cs="Times New Roman"/>
              </w:rPr>
            </w:pPr>
            <w:r w:rsidRPr="00901194">
              <w:rPr>
                <w:rFonts w:cs="Times New Roman"/>
              </w:rPr>
              <w:t>Honey</w:t>
            </w:r>
          </w:p>
        </w:tc>
        <w:tc>
          <w:tcPr>
            <w:tcW w:w="1463" w:type="dxa"/>
            <w:hideMark/>
          </w:tcPr>
          <w:p w14:paraId="65C4E75B" w14:textId="77777777" w:rsidR="000A152B" w:rsidRPr="00901194" w:rsidRDefault="000A152B" w:rsidP="000A152B">
            <w:pPr>
              <w:spacing w:line="240" w:lineRule="auto"/>
              <w:rPr>
                <w:rFonts w:cs="Times New Roman"/>
              </w:rPr>
            </w:pPr>
            <w:r w:rsidRPr="00901194">
              <w:rPr>
                <w:rFonts w:cs="Times New Roman"/>
              </w:rPr>
              <w:t>2022</w:t>
            </w:r>
          </w:p>
        </w:tc>
      </w:tr>
    </w:tbl>
    <w:p w14:paraId="53F4E9E0" w14:textId="77777777" w:rsidR="00F75C51" w:rsidRPr="00901194" w:rsidRDefault="00F75C51" w:rsidP="00FA7ED2">
      <w:pPr>
        <w:spacing w:line="240" w:lineRule="auto"/>
        <w:rPr>
          <w:rFonts w:cs="Times New Roman"/>
        </w:rPr>
      </w:pPr>
    </w:p>
    <w:p w14:paraId="049DCED8" w14:textId="77777777" w:rsidR="00D14220" w:rsidRPr="00901194" w:rsidRDefault="00D14220" w:rsidP="00161AD0">
      <w:pPr>
        <w:spacing w:line="240" w:lineRule="auto"/>
        <w:rPr>
          <w:rFonts w:cs="Times New Roman"/>
          <w:szCs w:val="24"/>
        </w:rPr>
      </w:pPr>
    </w:p>
    <w:sectPr w:rsidR="00D14220" w:rsidRPr="00901194" w:rsidSect="0039185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65AB6" w14:textId="77777777" w:rsidR="00A330EC" w:rsidRDefault="00A330EC" w:rsidP="0046150D">
      <w:pPr>
        <w:spacing w:after="0" w:line="240" w:lineRule="auto"/>
      </w:pPr>
      <w:r>
        <w:separator/>
      </w:r>
    </w:p>
  </w:endnote>
  <w:endnote w:type="continuationSeparator" w:id="0">
    <w:p w14:paraId="667FFA46" w14:textId="77777777" w:rsidR="00A330EC" w:rsidRDefault="00A330EC" w:rsidP="0046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90425"/>
      <w:docPartObj>
        <w:docPartGallery w:val="Page Numbers (Bottom of Page)"/>
        <w:docPartUnique/>
      </w:docPartObj>
    </w:sdtPr>
    <w:sdtEndPr>
      <w:rPr>
        <w:noProof/>
      </w:rPr>
    </w:sdtEndPr>
    <w:sdtContent>
      <w:p w14:paraId="75C41AD6" w14:textId="59F09A4C" w:rsidR="001220FB" w:rsidRDefault="001220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AC05E6" w14:textId="77777777" w:rsidR="001220FB" w:rsidRDefault="001220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010128"/>
      <w:docPartObj>
        <w:docPartGallery w:val="Page Numbers (Bottom of Page)"/>
        <w:docPartUnique/>
      </w:docPartObj>
    </w:sdtPr>
    <w:sdtEndPr>
      <w:rPr>
        <w:noProof/>
      </w:rPr>
    </w:sdtEndPr>
    <w:sdtContent>
      <w:p w14:paraId="4D9C7938" w14:textId="77777777" w:rsidR="00E20C39" w:rsidRDefault="00E20C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E33B47" w14:textId="77777777" w:rsidR="00E20C39" w:rsidRDefault="00E20C3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052784"/>
      <w:docPartObj>
        <w:docPartGallery w:val="Page Numbers (Bottom of Page)"/>
        <w:docPartUnique/>
      </w:docPartObj>
    </w:sdtPr>
    <w:sdtContent>
      <w:p w14:paraId="6DFC908D" w14:textId="77777777" w:rsidR="004826F9" w:rsidRDefault="004826F9">
        <w:pPr>
          <w:ind w:left="4680" w:firstLine="4680"/>
        </w:pPr>
        <w:r>
          <w:fldChar w:fldCharType="begin"/>
        </w:r>
        <w:r>
          <w:instrText>PAGE</w:instrText>
        </w:r>
        <w:r>
          <w:fldChar w:fldCharType="separate"/>
        </w:r>
        <w:r>
          <w:t>8</w:t>
        </w:r>
        <w:r>
          <w:fldChar w:fldCharType="end"/>
        </w:r>
      </w:p>
    </w:sdtContent>
  </w:sdt>
  <w:p w14:paraId="0D426EBB" w14:textId="77777777" w:rsidR="004826F9" w:rsidRDefault="004826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A7C27" w14:textId="77777777" w:rsidR="00A330EC" w:rsidRDefault="00A330EC" w:rsidP="0046150D">
      <w:pPr>
        <w:spacing w:after="0" w:line="240" w:lineRule="auto"/>
      </w:pPr>
      <w:r>
        <w:separator/>
      </w:r>
    </w:p>
  </w:footnote>
  <w:footnote w:type="continuationSeparator" w:id="0">
    <w:p w14:paraId="72F6E618" w14:textId="77777777" w:rsidR="00A330EC" w:rsidRDefault="00A330EC" w:rsidP="0046150D">
      <w:pPr>
        <w:spacing w:after="0" w:line="240" w:lineRule="auto"/>
      </w:pPr>
      <w:r>
        <w:continuationSeparator/>
      </w:r>
    </w:p>
  </w:footnote>
  <w:footnote w:id="1">
    <w:p w14:paraId="64E49866" w14:textId="37CCEAA2" w:rsidR="0046150D" w:rsidRPr="0046150D" w:rsidRDefault="0046150D">
      <w:pPr>
        <w:pStyle w:val="FootnoteText"/>
      </w:pPr>
      <w:r w:rsidRPr="005F1501">
        <w:rPr>
          <w:rStyle w:val="FootnoteReference"/>
        </w:rPr>
        <w:footnoteRef/>
      </w:r>
      <w:r>
        <w:t xml:space="preserve">Adapted from Haffner et al. (2022). Untargeted Fecal Metabolomic Analyses across an Industrialization Gradient Reveal Shared Metabolites and Impact of Industrialization on Fecal Microbiome-Metabolome Interactions”. </w:t>
      </w:r>
      <w:r>
        <w:rPr>
          <w:i/>
          <w:iCs/>
        </w:rPr>
        <w:t xml:space="preserve">Msystems </w:t>
      </w:r>
      <w:r>
        <w:t>7(6), 300710-22. (</w:t>
      </w:r>
      <w:hyperlink r:id="rId1" w:history="1">
        <w:r w:rsidRPr="0046150D">
          <w:rPr>
            <w:rStyle w:val="Hyperlink"/>
          </w:rPr>
          <w:t>https://journals.asm.org/doi/10.1128/msystems.00710-22</w:t>
        </w:r>
      </w:hyperlink>
      <w:r>
        <w:t>)</w:t>
      </w:r>
    </w:p>
  </w:footnote>
  <w:footnote w:id="2">
    <w:p w14:paraId="107CD476" w14:textId="679BC4B0" w:rsidR="00CE7AC9" w:rsidRDefault="00CE7AC9">
      <w:pPr>
        <w:pStyle w:val="FootnoteText"/>
      </w:pPr>
      <w:r w:rsidRPr="005F1501">
        <w:rPr>
          <w:rStyle w:val="FootnoteReference"/>
        </w:rPr>
        <w:footnoteRef/>
      </w:r>
      <w:r>
        <w:t xml:space="preserve"> Full author list available in Supplementary Material A.</w:t>
      </w:r>
    </w:p>
  </w:footnote>
  <w:footnote w:id="3">
    <w:p w14:paraId="6FC8E2E3" w14:textId="3A863B0D" w:rsidR="00CE3669" w:rsidRDefault="00CE3669">
      <w:pPr>
        <w:pStyle w:val="FootnoteText"/>
      </w:pPr>
      <w:r w:rsidRPr="005F1501">
        <w:rPr>
          <w:rStyle w:val="FootnoteReference"/>
        </w:rPr>
        <w:footnoteRef/>
      </w:r>
      <w:r>
        <w:t xml:space="preserve"> Full author list available in Supplementary Material B.</w:t>
      </w:r>
    </w:p>
  </w:footnote>
  <w:footnote w:id="4">
    <w:p w14:paraId="2915BDAC" w14:textId="0F2DB5B3" w:rsidR="00005504" w:rsidRDefault="00005504">
      <w:pPr>
        <w:pStyle w:val="FootnoteText"/>
      </w:pPr>
      <w:r w:rsidRPr="005F1501">
        <w:rPr>
          <w:rStyle w:val="FootnoteReference"/>
        </w:rPr>
        <w:footnoteRef/>
      </w:r>
      <w:r w:rsidR="00D67041">
        <w:t>Full author list available in Supplementary Material C</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E0FCC"/>
    <w:multiLevelType w:val="multilevel"/>
    <w:tmpl w:val="84869D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2794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90"/>
    <w:rsid w:val="000000CA"/>
    <w:rsid w:val="0000099E"/>
    <w:rsid w:val="0000445D"/>
    <w:rsid w:val="00004B91"/>
    <w:rsid w:val="00004F8B"/>
    <w:rsid w:val="00005504"/>
    <w:rsid w:val="00005B75"/>
    <w:rsid w:val="00010D25"/>
    <w:rsid w:val="00012230"/>
    <w:rsid w:val="0001276E"/>
    <w:rsid w:val="00014FEF"/>
    <w:rsid w:val="00016D4B"/>
    <w:rsid w:val="00020D13"/>
    <w:rsid w:val="000212FD"/>
    <w:rsid w:val="000215DB"/>
    <w:rsid w:val="00022165"/>
    <w:rsid w:val="0002370F"/>
    <w:rsid w:val="00025375"/>
    <w:rsid w:val="0003050C"/>
    <w:rsid w:val="00030779"/>
    <w:rsid w:val="00032CB7"/>
    <w:rsid w:val="00034CF3"/>
    <w:rsid w:val="00034F8D"/>
    <w:rsid w:val="000350A5"/>
    <w:rsid w:val="00036B93"/>
    <w:rsid w:val="00040784"/>
    <w:rsid w:val="00041D85"/>
    <w:rsid w:val="000471C6"/>
    <w:rsid w:val="00050C9D"/>
    <w:rsid w:val="00050D80"/>
    <w:rsid w:val="000520F7"/>
    <w:rsid w:val="000620F9"/>
    <w:rsid w:val="0006374B"/>
    <w:rsid w:val="00063E09"/>
    <w:rsid w:val="00064330"/>
    <w:rsid w:val="000705F4"/>
    <w:rsid w:val="00071F0B"/>
    <w:rsid w:val="00072B6D"/>
    <w:rsid w:val="000743F9"/>
    <w:rsid w:val="000744AB"/>
    <w:rsid w:val="00076B0B"/>
    <w:rsid w:val="00084686"/>
    <w:rsid w:val="0009051D"/>
    <w:rsid w:val="00090B0E"/>
    <w:rsid w:val="00092D71"/>
    <w:rsid w:val="00093CF3"/>
    <w:rsid w:val="00096BE4"/>
    <w:rsid w:val="00097C24"/>
    <w:rsid w:val="000A0C4F"/>
    <w:rsid w:val="000A152B"/>
    <w:rsid w:val="000A1931"/>
    <w:rsid w:val="000A2983"/>
    <w:rsid w:val="000B05FF"/>
    <w:rsid w:val="000B33A6"/>
    <w:rsid w:val="000B3A73"/>
    <w:rsid w:val="000B5822"/>
    <w:rsid w:val="000B5AEE"/>
    <w:rsid w:val="000C0D27"/>
    <w:rsid w:val="000C136A"/>
    <w:rsid w:val="000C158B"/>
    <w:rsid w:val="000C3FB7"/>
    <w:rsid w:val="000C76DD"/>
    <w:rsid w:val="000D0072"/>
    <w:rsid w:val="000D0CA3"/>
    <w:rsid w:val="000D16CC"/>
    <w:rsid w:val="000D731C"/>
    <w:rsid w:val="000E0759"/>
    <w:rsid w:val="000E36E0"/>
    <w:rsid w:val="000E42DB"/>
    <w:rsid w:val="000E59C1"/>
    <w:rsid w:val="000E5D04"/>
    <w:rsid w:val="000E6034"/>
    <w:rsid w:val="000F03D9"/>
    <w:rsid w:val="000F1AA3"/>
    <w:rsid w:val="000F7D92"/>
    <w:rsid w:val="00104042"/>
    <w:rsid w:val="00105057"/>
    <w:rsid w:val="00105DCC"/>
    <w:rsid w:val="0011067B"/>
    <w:rsid w:val="00113FAA"/>
    <w:rsid w:val="00114796"/>
    <w:rsid w:val="00120812"/>
    <w:rsid w:val="001220FB"/>
    <w:rsid w:val="001224C4"/>
    <w:rsid w:val="001346DE"/>
    <w:rsid w:val="00134AA8"/>
    <w:rsid w:val="00135686"/>
    <w:rsid w:val="00135C10"/>
    <w:rsid w:val="00135C35"/>
    <w:rsid w:val="00137ED1"/>
    <w:rsid w:val="00140345"/>
    <w:rsid w:val="00140EFB"/>
    <w:rsid w:val="00145C0D"/>
    <w:rsid w:val="001472EF"/>
    <w:rsid w:val="00147D39"/>
    <w:rsid w:val="0015033A"/>
    <w:rsid w:val="00150ACD"/>
    <w:rsid w:val="00151842"/>
    <w:rsid w:val="00155CB5"/>
    <w:rsid w:val="00157D3E"/>
    <w:rsid w:val="00161AD0"/>
    <w:rsid w:val="00161E80"/>
    <w:rsid w:val="001637C0"/>
    <w:rsid w:val="0016571A"/>
    <w:rsid w:val="00173E10"/>
    <w:rsid w:val="0017729D"/>
    <w:rsid w:val="00181DE1"/>
    <w:rsid w:val="0018351F"/>
    <w:rsid w:val="001867C5"/>
    <w:rsid w:val="00190278"/>
    <w:rsid w:val="00190328"/>
    <w:rsid w:val="001940AB"/>
    <w:rsid w:val="00196830"/>
    <w:rsid w:val="00196E95"/>
    <w:rsid w:val="00197203"/>
    <w:rsid w:val="001A0742"/>
    <w:rsid w:val="001A0F34"/>
    <w:rsid w:val="001A2367"/>
    <w:rsid w:val="001A2627"/>
    <w:rsid w:val="001A3471"/>
    <w:rsid w:val="001A3E4B"/>
    <w:rsid w:val="001A47AC"/>
    <w:rsid w:val="001A4F8C"/>
    <w:rsid w:val="001A53CA"/>
    <w:rsid w:val="001B2202"/>
    <w:rsid w:val="001B4763"/>
    <w:rsid w:val="001B5349"/>
    <w:rsid w:val="001B5743"/>
    <w:rsid w:val="001B7FD1"/>
    <w:rsid w:val="001C4F8D"/>
    <w:rsid w:val="001D0566"/>
    <w:rsid w:val="001D5650"/>
    <w:rsid w:val="001D5AB4"/>
    <w:rsid w:val="001D5D71"/>
    <w:rsid w:val="001E4610"/>
    <w:rsid w:val="001E5B5B"/>
    <w:rsid w:val="001E7B9C"/>
    <w:rsid w:val="001F10D3"/>
    <w:rsid w:val="001F468B"/>
    <w:rsid w:val="002002B5"/>
    <w:rsid w:val="00200536"/>
    <w:rsid w:val="00200E55"/>
    <w:rsid w:val="002019D0"/>
    <w:rsid w:val="00207662"/>
    <w:rsid w:val="00211513"/>
    <w:rsid w:val="0021319B"/>
    <w:rsid w:val="002142AE"/>
    <w:rsid w:val="00214BA0"/>
    <w:rsid w:val="00215DA8"/>
    <w:rsid w:val="00215F9C"/>
    <w:rsid w:val="00216AD9"/>
    <w:rsid w:val="00222F4C"/>
    <w:rsid w:val="002253B3"/>
    <w:rsid w:val="00227A29"/>
    <w:rsid w:val="00231933"/>
    <w:rsid w:val="00235101"/>
    <w:rsid w:val="00237855"/>
    <w:rsid w:val="00241B4E"/>
    <w:rsid w:val="002444E9"/>
    <w:rsid w:val="00245272"/>
    <w:rsid w:val="002472A9"/>
    <w:rsid w:val="00250D17"/>
    <w:rsid w:val="00252946"/>
    <w:rsid w:val="00253568"/>
    <w:rsid w:val="002548A1"/>
    <w:rsid w:val="0025493E"/>
    <w:rsid w:val="002571CE"/>
    <w:rsid w:val="00260521"/>
    <w:rsid w:val="00260D5C"/>
    <w:rsid w:val="00260E59"/>
    <w:rsid w:val="0026179B"/>
    <w:rsid w:val="00264D85"/>
    <w:rsid w:val="00266D98"/>
    <w:rsid w:val="00266FF3"/>
    <w:rsid w:val="00267AFA"/>
    <w:rsid w:val="0027327C"/>
    <w:rsid w:val="00273C28"/>
    <w:rsid w:val="00274ADB"/>
    <w:rsid w:val="00275276"/>
    <w:rsid w:val="002765B2"/>
    <w:rsid w:val="0027795B"/>
    <w:rsid w:val="00277D55"/>
    <w:rsid w:val="0028094F"/>
    <w:rsid w:val="00280E2D"/>
    <w:rsid w:val="00282B01"/>
    <w:rsid w:val="002907A6"/>
    <w:rsid w:val="00291D9D"/>
    <w:rsid w:val="00292206"/>
    <w:rsid w:val="0029596C"/>
    <w:rsid w:val="0029724E"/>
    <w:rsid w:val="00297A1A"/>
    <w:rsid w:val="002A2A52"/>
    <w:rsid w:val="002A3EEC"/>
    <w:rsid w:val="002A4872"/>
    <w:rsid w:val="002A692E"/>
    <w:rsid w:val="002B1027"/>
    <w:rsid w:val="002B10BA"/>
    <w:rsid w:val="002C154F"/>
    <w:rsid w:val="002C1CA2"/>
    <w:rsid w:val="002C302A"/>
    <w:rsid w:val="002C6A34"/>
    <w:rsid w:val="002D05FC"/>
    <w:rsid w:val="002D17D7"/>
    <w:rsid w:val="002D2DFC"/>
    <w:rsid w:val="002D3BCA"/>
    <w:rsid w:val="002D4F9C"/>
    <w:rsid w:val="002D780B"/>
    <w:rsid w:val="002E13BF"/>
    <w:rsid w:val="002E5139"/>
    <w:rsid w:val="002F48FD"/>
    <w:rsid w:val="002F73BF"/>
    <w:rsid w:val="002F7483"/>
    <w:rsid w:val="002F799A"/>
    <w:rsid w:val="00301D07"/>
    <w:rsid w:val="003041CE"/>
    <w:rsid w:val="0030717B"/>
    <w:rsid w:val="003162D4"/>
    <w:rsid w:val="00317D15"/>
    <w:rsid w:val="00317D7C"/>
    <w:rsid w:val="00320E80"/>
    <w:rsid w:val="00321364"/>
    <w:rsid w:val="0032784A"/>
    <w:rsid w:val="00331AA8"/>
    <w:rsid w:val="00331BBA"/>
    <w:rsid w:val="00335EC4"/>
    <w:rsid w:val="003460E3"/>
    <w:rsid w:val="00351C22"/>
    <w:rsid w:val="003543C0"/>
    <w:rsid w:val="003549BA"/>
    <w:rsid w:val="00355693"/>
    <w:rsid w:val="00357832"/>
    <w:rsid w:val="00360C94"/>
    <w:rsid w:val="00360EC1"/>
    <w:rsid w:val="00363853"/>
    <w:rsid w:val="003669D4"/>
    <w:rsid w:val="003748DA"/>
    <w:rsid w:val="003766E3"/>
    <w:rsid w:val="003767E3"/>
    <w:rsid w:val="00376A21"/>
    <w:rsid w:val="00380235"/>
    <w:rsid w:val="0038058F"/>
    <w:rsid w:val="00383C83"/>
    <w:rsid w:val="0038613A"/>
    <w:rsid w:val="0038647F"/>
    <w:rsid w:val="00386B0F"/>
    <w:rsid w:val="00391854"/>
    <w:rsid w:val="003A2F39"/>
    <w:rsid w:val="003A31C1"/>
    <w:rsid w:val="003A4BBD"/>
    <w:rsid w:val="003A5319"/>
    <w:rsid w:val="003A5BBD"/>
    <w:rsid w:val="003B0687"/>
    <w:rsid w:val="003B06F6"/>
    <w:rsid w:val="003C161A"/>
    <w:rsid w:val="003C28CF"/>
    <w:rsid w:val="003C70B2"/>
    <w:rsid w:val="003E1979"/>
    <w:rsid w:val="003E462C"/>
    <w:rsid w:val="003E4791"/>
    <w:rsid w:val="00400AE7"/>
    <w:rsid w:val="0040208B"/>
    <w:rsid w:val="004031D9"/>
    <w:rsid w:val="00403A52"/>
    <w:rsid w:val="004058E0"/>
    <w:rsid w:val="004102F1"/>
    <w:rsid w:val="0041080D"/>
    <w:rsid w:val="00412AE7"/>
    <w:rsid w:val="0041457A"/>
    <w:rsid w:val="00417158"/>
    <w:rsid w:val="00422B63"/>
    <w:rsid w:val="00426796"/>
    <w:rsid w:val="00430BFC"/>
    <w:rsid w:val="0043103D"/>
    <w:rsid w:val="00431697"/>
    <w:rsid w:val="00433408"/>
    <w:rsid w:val="00433996"/>
    <w:rsid w:val="00437A15"/>
    <w:rsid w:val="00443DA3"/>
    <w:rsid w:val="00445B5B"/>
    <w:rsid w:val="004553C1"/>
    <w:rsid w:val="00455803"/>
    <w:rsid w:val="00457038"/>
    <w:rsid w:val="0046150D"/>
    <w:rsid w:val="00461EE6"/>
    <w:rsid w:val="00471152"/>
    <w:rsid w:val="00473112"/>
    <w:rsid w:val="00473768"/>
    <w:rsid w:val="00473BF7"/>
    <w:rsid w:val="00476DA3"/>
    <w:rsid w:val="004778C7"/>
    <w:rsid w:val="00477BB2"/>
    <w:rsid w:val="00482518"/>
    <w:rsid w:val="004826F9"/>
    <w:rsid w:val="00485EF0"/>
    <w:rsid w:val="004863E7"/>
    <w:rsid w:val="00491844"/>
    <w:rsid w:val="00491E6B"/>
    <w:rsid w:val="00492854"/>
    <w:rsid w:val="004942CF"/>
    <w:rsid w:val="0049679E"/>
    <w:rsid w:val="004A0444"/>
    <w:rsid w:val="004A089F"/>
    <w:rsid w:val="004A1B78"/>
    <w:rsid w:val="004A25BA"/>
    <w:rsid w:val="004A3D96"/>
    <w:rsid w:val="004A48F7"/>
    <w:rsid w:val="004A4EB9"/>
    <w:rsid w:val="004A5F84"/>
    <w:rsid w:val="004B04B2"/>
    <w:rsid w:val="004B405C"/>
    <w:rsid w:val="004B53E8"/>
    <w:rsid w:val="004B5CF6"/>
    <w:rsid w:val="004C3193"/>
    <w:rsid w:val="004C3A54"/>
    <w:rsid w:val="004C6028"/>
    <w:rsid w:val="004D1CA2"/>
    <w:rsid w:val="004D4399"/>
    <w:rsid w:val="004D4681"/>
    <w:rsid w:val="004D6901"/>
    <w:rsid w:val="004E1021"/>
    <w:rsid w:val="004E5234"/>
    <w:rsid w:val="004F3E36"/>
    <w:rsid w:val="004F4263"/>
    <w:rsid w:val="00502505"/>
    <w:rsid w:val="00503BAF"/>
    <w:rsid w:val="005058C7"/>
    <w:rsid w:val="00505C98"/>
    <w:rsid w:val="00506FE4"/>
    <w:rsid w:val="0051144E"/>
    <w:rsid w:val="00513597"/>
    <w:rsid w:val="005140DC"/>
    <w:rsid w:val="00520788"/>
    <w:rsid w:val="005225EC"/>
    <w:rsid w:val="00523637"/>
    <w:rsid w:val="00530F59"/>
    <w:rsid w:val="005317BF"/>
    <w:rsid w:val="00532545"/>
    <w:rsid w:val="005401CA"/>
    <w:rsid w:val="00540431"/>
    <w:rsid w:val="00541B14"/>
    <w:rsid w:val="00541CE4"/>
    <w:rsid w:val="00547EF5"/>
    <w:rsid w:val="00551A96"/>
    <w:rsid w:val="00552325"/>
    <w:rsid w:val="00561F12"/>
    <w:rsid w:val="00565D1F"/>
    <w:rsid w:val="00566665"/>
    <w:rsid w:val="00566A37"/>
    <w:rsid w:val="0057228E"/>
    <w:rsid w:val="0057388C"/>
    <w:rsid w:val="005777A3"/>
    <w:rsid w:val="00581C88"/>
    <w:rsid w:val="00583320"/>
    <w:rsid w:val="00584AE4"/>
    <w:rsid w:val="00584CEB"/>
    <w:rsid w:val="00585D7D"/>
    <w:rsid w:val="00585DD8"/>
    <w:rsid w:val="005869E0"/>
    <w:rsid w:val="00590295"/>
    <w:rsid w:val="00591A28"/>
    <w:rsid w:val="00591DB9"/>
    <w:rsid w:val="00594656"/>
    <w:rsid w:val="005946A1"/>
    <w:rsid w:val="005A3900"/>
    <w:rsid w:val="005A77CD"/>
    <w:rsid w:val="005B174F"/>
    <w:rsid w:val="005B30E3"/>
    <w:rsid w:val="005B3523"/>
    <w:rsid w:val="005B55F9"/>
    <w:rsid w:val="005B5728"/>
    <w:rsid w:val="005B5785"/>
    <w:rsid w:val="005B5811"/>
    <w:rsid w:val="005B6CBC"/>
    <w:rsid w:val="005B783C"/>
    <w:rsid w:val="005C00B7"/>
    <w:rsid w:val="005C1FA5"/>
    <w:rsid w:val="005C595C"/>
    <w:rsid w:val="005C6807"/>
    <w:rsid w:val="005C73C2"/>
    <w:rsid w:val="005C7EEB"/>
    <w:rsid w:val="005D0AA2"/>
    <w:rsid w:val="005D0FAD"/>
    <w:rsid w:val="005D1114"/>
    <w:rsid w:val="005D1A3D"/>
    <w:rsid w:val="005D6CF6"/>
    <w:rsid w:val="005D757B"/>
    <w:rsid w:val="005D7B2D"/>
    <w:rsid w:val="005E09EF"/>
    <w:rsid w:val="005E7B96"/>
    <w:rsid w:val="005F040B"/>
    <w:rsid w:val="005F1501"/>
    <w:rsid w:val="005F3946"/>
    <w:rsid w:val="005F3AA2"/>
    <w:rsid w:val="005F4CCF"/>
    <w:rsid w:val="00603B8F"/>
    <w:rsid w:val="00613056"/>
    <w:rsid w:val="00613803"/>
    <w:rsid w:val="006142AE"/>
    <w:rsid w:val="00615397"/>
    <w:rsid w:val="00615648"/>
    <w:rsid w:val="006157F8"/>
    <w:rsid w:val="00615803"/>
    <w:rsid w:val="00615D5B"/>
    <w:rsid w:val="006178F2"/>
    <w:rsid w:val="006202D6"/>
    <w:rsid w:val="00621848"/>
    <w:rsid w:val="0062678F"/>
    <w:rsid w:val="006268B5"/>
    <w:rsid w:val="0063284A"/>
    <w:rsid w:val="00632851"/>
    <w:rsid w:val="00633771"/>
    <w:rsid w:val="00633D12"/>
    <w:rsid w:val="00633F81"/>
    <w:rsid w:val="006347DC"/>
    <w:rsid w:val="00634A77"/>
    <w:rsid w:val="006402C2"/>
    <w:rsid w:val="00640FBE"/>
    <w:rsid w:val="006418F5"/>
    <w:rsid w:val="006459EB"/>
    <w:rsid w:val="00645E0E"/>
    <w:rsid w:val="006466D2"/>
    <w:rsid w:val="006555AC"/>
    <w:rsid w:val="00655CB5"/>
    <w:rsid w:val="00656FC5"/>
    <w:rsid w:val="0065734E"/>
    <w:rsid w:val="00657FE5"/>
    <w:rsid w:val="006625BF"/>
    <w:rsid w:val="006627BA"/>
    <w:rsid w:val="00662E8D"/>
    <w:rsid w:val="006633FD"/>
    <w:rsid w:val="006660D5"/>
    <w:rsid w:val="0066663A"/>
    <w:rsid w:val="006676DF"/>
    <w:rsid w:val="006712D7"/>
    <w:rsid w:val="0067328D"/>
    <w:rsid w:val="00674D9A"/>
    <w:rsid w:val="00681FC3"/>
    <w:rsid w:val="006901F4"/>
    <w:rsid w:val="006911A9"/>
    <w:rsid w:val="00693151"/>
    <w:rsid w:val="00694441"/>
    <w:rsid w:val="006949C9"/>
    <w:rsid w:val="006952AD"/>
    <w:rsid w:val="006971FC"/>
    <w:rsid w:val="006A0A57"/>
    <w:rsid w:val="006B000C"/>
    <w:rsid w:val="006B197C"/>
    <w:rsid w:val="006B1E8A"/>
    <w:rsid w:val="006B4176"/>
    <w:rsid w:val="006B6CD4"/>
    <w:rsid w:val="006B6E43"/>
    <w:rsid w:val="006C12A9"/>
    <w:rsid w:val="006C17C1"/>
    <w:rsid w:val="006C50DC"/>
    <w:rsid w:val="006C739A"/>
    <w:rsid w:val="006D1577"/>
    <w:rsid w:val="006D3BD2"/>
    <w:rsid w:val="006E0E52"/>
    <w:rsid w:val="006E345F"/>
    <w:rsid w:val="006E5553"/>
    <w:rsid w:val="006E7810"/>
    <w:rsid w:val="006F0CC5"/>
    <w:rsid w:val="006F3F6E"/>
    <w:rsid w:val="006F7BE7"/>
    <w:rsid w:val="006F7E54"/>
    <w:rsid w:val="00702284"/>
    <w:rsid w:val="007036F6"/>
    <w:rsid w:val="00704495"/>
    <w:rsid w:val="00705A41"/>
    <w:rsid w:val="007118D6"/>
    <w:rsid w:val="00711D99"/>
    <w:rsid w:val="00712BDB"/>
    <w:rsid w:val="0071440B"/>
    <w:rsid w:val="007153C1"/>
    <w:rsid w:val="007161E6"/>
    <w:rsid w:val="00716E48"/>
    <w:rsid w:val="00720FE8"/>
    <w:rsid w:val="007234DD"/>
    <w:rsid w:val="00727FF0"/>
    <w:rsid w:val="00732EB0"/>
    <w:rsid w:val="00734139"/>
    <w:rsid w:val="0073484A"/>
    <w:rsid w:val="00734A06"/>
    <w:rsid w:val="00740862"/>
    <w:rsid w:val="00750066"/>
    <w:rsid w:val="00750CAB"/>
    <w:rsid w:val="007510F5"/>
    <w:rsid w:val="00751247"/>
    <w:rsid w:val="0075416B"/>
    <w:rsid w:val="00756578"/>
    <w:rsid w:val="007661AD"/>
    <w:rsid w:val="007677AD"/>
    <w:rsid w:val="0077427C"/>
    <w:rsid w:val="0077499E"/>
    <w:rsid w:val="00774A35"/>
    <w:rsid w:val="00780677"/>
    <w:rsid w:val="00781FC5"/>
    <w:rsid w:val="0078446C"/>
    <w:rsid w:val="00785F7F"/>
    <w:rsid w:val="00790840"/>
    <w:rsid w:val="00792C5E"/>
    <w:rsid w:val="00793B67"/>
    <w:rsid w:val="00793EF9"/>
    <w:rsid w:val="00795AB2"/>
    <w:rsid w:val="0079612C"/>
    <w:rsid w:val="00796762"/>
    <w:rsid w:val="00796AC1"/>
    <w:rsid w:val="007A1794"/>
    <w:rsid w:val="007A34D1"/>
    <w:rsid w:val="007A3724"/>
    <w:rsid w:val="007A5AA1"/>
    <w:rsid w:val="007B150D"/>
    <w:rsid w:val="007B3E0C"/>
    <w:rsid w:val="007B41ED"/>
    <w:rsid w:val="007B61E6"/>
    <w:rsid w:val="007C0A3E"/>
    <w:rsid w:val="007C445A"/>
    <w:rsid w:val="007C57CC"/>
    <w:rsid w:val="007C6955"/>
    <w:rsid w:val="007D3A68"/>
    <w:rsid w:val="007D79D0"/>
    <w:rsid w:val="007E0470"/>
    <w:rsid w:val="007E16F9"/>
    <w:rsid w:val="007E25E1"/>
    <w:rsid w:val="007E3305"/>
    <w:rsid w:val="007E36C5"/>
    <w:rsid w:val="007E3CD5"/>
    <w:rsid w:val="007E550F"/>
    <w:rsid w:val="007E560D"/>
    <w:rsid w:val="007F4308"/>
    <w:rsid w:val="007F72B3"/>
    <w:rsid w:val="008000AE"/>
    <w:rsid w:val="00802ECE"/>
    <w:rsid w:val="0080621C"/>
    <w:rsid w:val="00806988"/>
    <w:rsid w:val="008078E6"/>
    <w:rsid w:val="008105EA"/>
    <w:rsid w:val="00812D80"/>
    <w:rsid w:val="008132FE"/>
    <w:rsid w:val="008142EB"/>
    <w:rsid w:val="008206D3"/>
    <w:rsid w:val="00825F9D"/>
    <w:rsid w:val="00827AB2"/>
    <w:rsid w:val="0083179B"/>
    <w:rsid w:val="00832F1D"/>
    <w:rsid w:val="00836B13"/>
    <w:rsid w:val="00845435"/>
    <w:rsid w:val="00847356"/>
    <w:rsid w:val="00850EB1"/>
    <w:rsid w:val="00850FA0"/>
    <w:rsid w:val="00852D48"/>
    <w:rsid w:val="0085307A"/>
    <w:rsid w:val="00853CF1"/>
    <w:rsid w:val="00855DAF"/>
    <w:rsid w:val="00855EF2"/>
    <w:rsid w:val="00864EF8"/>
    <w:rsid w:val="0086550D"/>
    <w:rsid w:val="00870B4E"/>
    <w:rsid w:val="00877B0A"/>
    <w:rsid w:val="0088209E"/>
    <w:rsid w:val="00884449"/>
    <w:rsid w:val="00884F05"/>
    <w:rsid w:val="00887368"/>
    <w:rsid w:val="0089295C"/>
    <w:rsid w:val="008934F8"/>
    <w:rsid w:val="0089683D"/>
    <w:rsid w:val="00896A27"/>
    <w:rsid w:val="008A262C"/>
    <w:rsid w:val="008A5A36"/>
    <w:rsid w:val="008B00D5"/>
    <w:rsid w:val="008B1347"/>
    <w:rsid w:val="008B359D"/>
    <w:rsid w:val="008B4CC2"/>
    <w:rsid w:val="008B537B"/>
    <w:rsid w:val="008B5532"/>
    <w:rsid w:val="008B6DC5"/>
    <w:rsid w:val="008B785D"/>
    <w:rsid w:val="008C01A0"/>
    <w:rsid w:val="008C16EB"/>
    <w:rsid w:val="008C1D2C"/>
    <w:rsid w:val="008C63E5"/>
    <w:rsid w:val="008C666D"/>
    <w:rsid w:val="008D415C"/>
    <w:rsid w:val="008D5539"/>
    <w:rsid w:val="008D66E5"/>
    <w:rsid w:val="008E1E74"/>
    <w:rsid w:val="008E2A81"/>
    <w:rsid w:val="008E6389"/>
    <w:rsid w:val="008F1015"/>
    <w:rsid w:val="008F1B6C"/>
    <w:rsid w:val="008F3746"/>
    <w:rsid w:val="00901194"/>
    <w:rsid w:val="009042BD"/>
    <w:rsid w:val="00905F9E"/>
    <w:rsid w:val="00906A10"/>
    <w:rsid w:val="0091116B"/>
    <w:rsid w:val="00911D93"/>
    <w:rsid w:val="00913085"/>
    <w:rsid w:val="00914298"/>
    <w:rsid w:val="00916771"/>
    <w:rsid w:val="00920143"/>
    <w:rsid w:val="0092271B"/>
    <w:rsid w:val="00922791"/>
    <w:rsid w:val="00922C1C"/>
    <w:rsid w:val="00925EB1"/>
    <w:rsid w:val="00930151"/>
    <w:rsid w:val="00930E50"/>
    <w:rsid w:val="00931A47"/>
    <w:rsid w:val="00932383"/>
    <w:rsid w:val="009344A7"/>
    <w:rsid w:val="009352CD"/>
    <w:rsid w:val="0093543D"/>
    <w:rsid w:val="00940C23"/>
    <w:rsid w:val="00942542"/>
    <w:rsid w:val="00946326"/>
    <w:rsid w:val="00946958"/>
    <w:rsid w:val="0095086B"/>
    <w:rsid w:val="009525ED"/>
    <w:rsid w:val="009529C1"/>
    <w:rsid w:val="00956649"/>
    <w:rsid w:val="00957696"/>
    <w:rsid w:val="00961A07"/>
    <w:rsid w:val="009656F1"/>
    <w:rsid w:val="00966934"/>
    <w:rsid w:val="00967FF3"/>
    <w:rsid w:val="009727B4"/>
    <w:rsid w:val="00975211"/>
    <w:rsid w:val="00975A3E"/>
    <w:rsid w:val="009772A7"/>
    <w:rsid w:val="00977D04"/>
    <w:rsid w:val="00980942"/>
    <w:rsid w:val="00982238"/>
    <w:rsid w:val="00982378"/>
    <w:rsid w:val="00982422"/>
    <w:rsid w:val="009844B9"/>
    <w:rsid w:val="009866AF"/>
    <w:rsid w:val="0099190B"/>
    <w:rsid w:val="00991CFF"/>
    <w:rsid w:val="009A0F97"/>
    <w:rsid w:val="009A284F"/>
    <w:rsid w:val="009A500E"/>
    <w:rsid w:val="009A58A9"/>
    <w:rsid w:val="009A7116"/>
    <w:rsid w:val="009A7F39"/>
    <w:rsid w:val="009B071D"/>
    <w:rsid w:val="009B2C68"/>
    <w:rsid w:val="009B52A3"/>
    <w:rsid w:val="009B6A78"/>
    <w:rsid w:val="009C14E2"/>
    <w:rsid w:val="009C1BCD"/>
    <w:rsid w:val="009C2171"/>
    <w:rsid w:val="009C3940"/>
    <w:rsid w:val="009D0A1D"/>
    <w:rsid w:val="009D364B"/>
    <w:rsid w:val="009D5035"/>
    <w:rsid w:val="009D6152"/>
    <w:rsid w:val="009D6B5E"/>
    <w:rsid w:val="009D72C2"/>
    <w:rsid w:val="009E5BC7"/>
    <w:rsid w:val="009F14B1"/>
    <w:rsid w:val="009F1A7C"/>
    <w:rsid w:val="009F695F"/>
    <w:rsid w:val="009F7E9A"/>
    <w:rsid w:val="00A00839"/>
    <w:rsid w:val="00A04A1A"/>
    <w:rsid w:val="00A06585"/>
    <w:rsid w:val="00A07B44"/>
    <w:rsid w:val="00A11F03"/>
    <w:rsid w:val="00A15735"/>
    <w:rsid w:val="00A20817"/>
    <w:rsid w:val="00A26A35"/>
    <w:rsid w:val="00A330EC"/>
    <w:rsid w:val="00A340B0"/>
    <w:rsid w:val="00A346EB"/>
    <w:rsid w:val="00A41702"/>
    <w:rsid w:val="00A423B3"/>
    <w:rsid w:val="00A44551"/>
    <w:rsid w:val="00A44B3F"/>
    <w:rsid w:val="00A456D9"/>
    <w:rsid w:val="00A474EF"/>
    <w:rsid w:val="00A5053F"/>
    <w:rsid w:val="00A55025"/>
    <w:rsid w:val="00A550D3"/>
    <w:rsid w:val="00A66D35"/>
    <w:rsid w:val="00A67914"/>
    <w:rsid w:val="00A706DF"/>
    <w:rsid w:val="00A707CB"/>
    <w:rsid w:val="00A716E1"/>
    <w:rsid w:val="00A72B2C"/>
    <w:rsid w:val="00A74366"/>
    <w:rsid w:val="00A80346"/>
    <w:rsid w:val="00A803A2"/>
    <w:rsid w:val="00A80776"/>
    <w:rsid w:val="00A81022"/>
    <w:rsid w:val="00A84C42"/>
    <w:rsid w:val="00A84EF9"/>
    <w:rsid w:val="00A87488"/>
    <w:rsid w:val="00A940BE"/>
    <w:rsid w:val="00A96B22"/>
    <w:rsid w:val="00A96B9E"/>
    <w:rsid w:val="00AA0A52"/>
    <w:rsid w:val="00AA0BF0"/>
    <w:rsid w:val="00AB3C02"/>
    <w:rsid w:val="00AB4312"/>
    <w:rsid w:val="00AB5632"/>
    <w:rsid w:val="00AC026A"/>
    <w:rsid w:val="00AC1688"/>
    <w:rsid w:val="00AC1FAA"/>
    <w:rsid w:val="00AD1947"/>
    <w:rsid w:val="00AD3198"/>
    <w:rsid w:val="00AD36FE"/>
    <w:rsid w:val="00AD7E45"/>
    <w:rsid w:val="00AF118D"/>
    <w:rsid w:val="00AF4598"/>
    <w:rsid w:val="00AF54B6"/>
    <w:rsid w:val="00AF72CB"/>
    <w:rsid w:val="00AF72E9"/>
    <w:rsid w:val="00B13413"/>
    <w:rsid w:val="00B21BFA"/>
    <w:rsid w:val="00B269E3"/>
    <w:rsid w:val="00B337F9"/>
    <w:rsid w:val="00B348BA"/>
    <w:rsid w:val="00B34FD9"/>
    <w:rsid w:val="00B356AB"/>
    <w:rsid w:val="00B40D28"/>
    <w:rsid w:val="00B41086"/>
    <w:rsid w:val="00B43385"/>
    <w:rsid w:val="00B434B2"/>
    <w:rsid w:val="00B43607"/>
    <w:rsid w:val="00B467FC"/>
    <w:rsid w:val="00B46A40"/>
    <w:rsid w:val="00B46EF3"/>
    <w:rsid w:val="00B50D87"/>
    <w:rsid w:val="00B50EE0"/>
    <w:rsid w:val="00B5324C"/>
    <w:rsid w:val="00B577E6"/>
    <w:rsid w:val="00B57DA9"/>
    <w:rsid w:val="00B617D4"/>
    <w:rsid w:val="00B66858"/>
    <w:rsid w:val="00B672C4"/>
    <w:rsid w:val="00B717C2"/>
    <w:rsid w:val="00B72A05"/>
    <w:rsid w:val="00B76588"/>
    <w:rsid w:val="00B813C8"/>
    <w:rsid w:val="00B86F3F"/>
    <w:rsid w:val="00B87F35"/>
    <w:rsid w:val="00B9242E"/>
    <w:rsid w:val="00B92503"/>
    <w:rsid w:val="00B92DF9"/>
    <w:rsid w:val="00B963D4"/>
    <w:rsid w:val="00B971BC"/>
    <w:rsid w:val="00B977E3"/>
    <w:rsid w:val="00BA119E"/>
    <w:rsid w:val="00BA1AAD"/>
    <w:rsid w:val="00BA32E1"/>
    <w:rsid w:val="00BA6EC6"/>
    <w:rsid w:val="00BB4B98"/>
    <w:rsid w:val="00BC141C"/>
    <w:rsid w:val="00BC1C91"/>
    <w:rsid w:val="00BC34BF"/>
    <w:rsid w:val="00BC55A2"/>
    <w:rsid w:val="00BC5947"/>
    <w:rsid w:val="00BC62EA"/>
    <w:rsid w:val="00BD000A"/>
    <w:rsid w:val="00BD07E7"/>
    <w:rsid w:val="00BD2BF3"/>
    <w:rsid w:val="00BD3DC9"/>
    <w:rsid w:val="00BE18FC"/>
    <w:rsid w:val="00BF33F7"/>
    <w:rsid w:val="00BF7435"/>
    <w:rsid w:val="00BF76DB"/>
    <w:rsid w:val="00C03F3C"/>
    <w:rsid w:val="00C058CF"/>
    <w:rsid w:val="00C1048B"/>
    <w:rsid w:val="00C12632"/>
    <w:rsid w:val="00C137B9"/>
    <w:rsid w:val="00C20BA8"/>
    <w:rsid w:val="00C230C5"/>
    <w:rsid w:val="00C23F8C"/>
    <w:rsid w:val="00C24D5E"/>
    <w:rsid w:val="00C25B98"/>
    <w:rsid w:val="00C26FEE"/>
    <w:rsid w:val="00C31FB6"/>
    <w:rsid w:val="00C33FEC"/>
    <w:rsid w:val="00C34F1B"/>
    <w:rsid w:val="00C357FC"/>
    <w:rsid w:val="00C413E3"/>
    <w:rsid w:val="00C427BD"/>
    <w:rsid w:val="00C43CB1"/>
    <w:rsid w:val="00C46A0E"/>
    <w:rsid w:val="00C473CB"/>
    <w:rsid w:val="00C504AF"/>
    <w:rsid w:val="00C50BFF"/>
    <w:rsid w:val="00C511BA"/>
    <w:rsid w:val="00C51849"/>
    <w:rsid w:val="00C53584"/>
    <w:rsid w:val="00C53819"/>
    <w:rsid w:val="00C551C9"/>
    <w:rsid w:val="00C57BEC"/>
    <w:rsid w:val="00C57D4B"/>
    <w:rsid w:val="00C60231"/>
    <w:rsid w:val="00C63D5D"/>
    <w:rsid w:val="00C71DC4"/>
    <w:rsid w:val="00C726E2"/>
    <w:rsid w:val="00C8299D"/>
    <w:rsid w:val="00C837CE"/>
    <w:rsid w:val="00C84C39"/>
    <w:rsid w:val="00C876F6"/>
    <w:rsid w:val="00C93077"/>
    <w:rsid w:val="00C93323"/>
    <w:rsid w:val="00C9398D"/>
    <w:rsid w:val="00C93B0F"/>
    <w:rsid w:val="00C94890"/>
    <w:rsid w:val="00C95DCA"/>
    <w:rsid w:val="00CA0338"/>
    <w:rsid w:val="00CA29FA"/>
    <w:rsid w:val="00CA2FEA"/>
    <w:rsid w:val="00CA336B"/>
    <w:rsid w:val="00CA6386"/>
    <w:rsid w:val="00CB00F6"/>
    <w:rsid w:val="00CB24F6"/>
    <w:rsid w:val="00CB4522"/>
    <w:rsid w:val="00CB544F"/>
    <w:rsid w:val="00CB5FE0"/>
    <w:rsid w:val="00CB6AF2"/>
    <w:rsid w:val="00CB6D79"/>
    <w:rsid w:val="00CC0E3F"/>
    <w:rsid w:val="00CC184B"/>
    <w:rsid w:val="00CC1870"/>
    <w:rsid w:val="00CC26D9"/>
    <w:rsid w:val="00CC38C6"/>
    <w:rsid w:val="00CD1CA5"/>
    <w:rsid w:val="00CD2A53"/>
    <w:rsid w:val="00CD3406"/>
    <w:rsid w:val="00CD34E7"/>
    <w:rsid w:val="00CD43F5"/>
    <w:rsid w:val="00CD4B3F"/>
    <w:rsid w:val="00CE1541"/>
    <w:rsid w:val="00CE185F"/>
    <w:rsid w:val="00CE34AF"/>
    <w:rsid w:val="00CE3669"/>
    <w:rsid w:val="00CE3796"/>
    <w:rsid w:val="00CE54CF"/>
    <w:rsid w:val="00CE7533"/>
    <w:rsid w:val="00CE7AC1"/>
    <w:rsid w:val="00CE7AC9"/>
    <w:rsid w:val="00CF3C16"/>
    <w:rsid w:val="00CF449C"/>
    <w:rsid w:val="00D02195"/>
    <w:rsid w:val="00D06C5E"/>
    <w:rsid w:val="00D10076"/>
    <w:rsid w:val="00D101FC"/>
    <w:rsid w:val="00D11254"/>
    <w:rsid w:val="00D1257F"/>
    <w:rsid w:val="00D14220"/>
    <w:rsid w:val="00D1531F"/>
    <w:rsid w:val="00D15CDD"/>
    <w:rsid w:val="00D21648"/>
    <w:rsid w:val="00D21ED4"/>
    <w:rsid w:val="00D22139"/>
    <w:rsid w:val="00D22FED"/>
    <w:rsid w:val="00D252A4"/>
    <w:rsid w:val="00D314D1"/>
    <w:rsid w:val="00D315BA"/>
    <w:rsid w:val="00D33C0B"/>
    <w:rsid w:val="00D34F30"/>
    <w:rsid w:val="00D4113F"/>
    <w:rsid w:val="00D41158"/>
    <w:rsid w:val="00D424FF"/>
    <w:rsid w:val="00D450D7"/>
    <w:rsid w:val="00D455BE"/>
    <w:rsid w:val="00D45AB5"/>
    <w:rsid w:val="00D505DD"/>
    <w:rsid w:val="00D51E6F"/>
    <w:rsid w:val="00D52866"/>
    <w:rsid w:val="00D54499"/>
    <w:rsid w:val="00D55020"/>
    <w:rsid w:val="00D60413"/>
    <w:rsid w:val="00D626B8"/>
    <w:rsid w:val="00D67041"/>
    <w:rsid w:val="00D711C2"/>
    <w:rsid w:val="00D712B3"/>
    <w:rsid w:val="00D744D5"/>
    <w:rsid w:val="00D77988"/>
    <w:rsid w:val="00D82583"/>
    <w:rsid w:val="00D82C3E"/>
    <w:rsid w:val="00D84B89"/>
    <w:rsid w:val="00D86F6E"/>
    <w:rsid w:val="00D86FEC"/>
    <w:rsid w:val="00D90CFA"/>
    <w:rsid w:val="00D91ADB"/>
    <w:rsid w:val="00D95D76"/>
    <w:rsid w:val="00D965EA"/>
    <w:rsid w:val="00DA0692"/>
    <w:rsid w:val="00DA0ACD"/>
    <w:rsid w:val="00DA3FA6"/>
    <w:rsid w:val="00DA48F8"/>
    <w:rsid w:val="00DA731C"/>
    <w:rsid w:val="00DA7A8A"/>
    <w:rsid w:val="00DB6A76"/>
    <w:rsid w:val="00DC3A70"/>
    <w:rsid w:val="00DC5576"/>
    <w:rsid w:val="00DD0AC8"/>
    <w:rsid w:val="00DD29B8"/>
    <w:rsid w:val="00DD2EAA"/>
    <w:rsid w:val="00DD6B8A"/>
    <w:rsid w:val="00DD744B"/>
    <w:rsid w:val="00DD7B87"/>
    <w:rsid w:val="00DE5BBA"/>
    <w:rsid w:val="00DE6612"/>
    <w:rsid w:val="00DE7322"/>
    <w:rsid w:val="00DF151C"/>
    <w:rsid w:val="00DF17BF"/>
    <w:rsid w:val="00DF2482"/>
    <w:rsid w:val="00DF740D"/>
    <w:rsid w:val="00DF76CA"/>
    <w:rsid w:val="00E0487C"/>
    <w:rsid w:val="00E056EB"/>
    <w:rsid w:val="00E20A89"/>
    <w:rsid w:val="00E20C39"/>
    <w:rsid w:val="00E2299D"/>
    <w:rsid w:val="00E2516A"/>
    <w:rsid w:val="00E25C7A"/>
    <w:rsid w:val="00E36B0E"/>
    <w:rsid w:val="00E3771D"/>
    <w:rsid w:val="00E37A4C"/>
    <w:rsid w:val="00E4172C"/>
    <w:rsid w:val="00E42E28"/>
    <w:rsid w:val="00E47664"/>
    <w:rsid w:val="00E50770"/>
    <w:rsid w:val="00E51E43"/>
    <w:rsid w:val="00E525F8"/>
    <w:rsid w:val="00E5572D"/>
    <w:rsid w:val="00E60800"/>
    <w:rsid w:val="00E60840"/>
    <w:rsid w:val="00E61D55"/>
    <w:rsid w:val="00E65CD6"/>
    <w:rsid w:val="00E6744D"/>
    <w:rsid w:val="00E70112"/>
    <w:rsid w:val="00E71237"/>
    <w:rsid w:val="00E74F43"/>
    <w:rsid w:val="00E75101"/>
    <w:rsid w:val="00E762E6"/>
    <w:rsid w:val="00E81237"/>
    <w:rsid w:val="00E817F2"/>
    <w:rsid w:val="00E81DE2"/>
    <w:rsid w:val="00E844A3"/>
    <w:rsid w:val="00E911BF"/>
    <w:rsid w:val="00E91279"/>
    <w:rsid w:val="00E91625"/>
    <w:rsid w:val="00E92B39"/>
    <w:rsid w:val="00E9662A"/>
    <w:rsid w:val="00EA04F7"/>
    <w:rsid w:val="00EA1302"/>
    <w:rsid w:val="00EA4B57"/>
    <w:rsid w:val="00EA7DFC"/>
    <w:rsid w:val="00EB0A91"/>
    <w:rsid w:val="00EB325A"/>
    <w:rsid w:val="00EB5269"/>
    <w:rsid w:val="00EB6279"/>
    <w:rsid w:val="00EB7D49"/>
    <w:rsid w:val="00EC0065"/>
    <w:rsid w:val="00EC187C"/>
    <w:rsid w:val="00EC528D"/>
    <w:rsid w:val="00EC70FF"/>
    <w:rsid w:val="00EC76AB"/>
    <w:rsid w:val="00ED1CD5"/>
    <w:rsid w:val="00ED314E"/>
    <w:rsid w:val="00ED38D8"/>
    <w:rsid w:val="00EE088F"/>
    <w:rsid w:val="00EE0905"/>
    <w:rsid w:val="00EE1306"/>
    <w:rsid w:val="00EE447E"/>
    <w:rsid w:val="00EE462A"/>
    <w:rsid w:val="00EE584B"/>
    <w:rsid w:val="00EE785E"/>
    <w:rsid w:val="00EE7BA0"/>
    <w:rsid w:val="00EF06F2"/>
    <w:rsid w:val="00EF09EE"/>
    <w:rsid w:val="00EF19E2"/>
    <w:rsid w:val="00EF65D9"/>
    <w:rsid w:val="00EF7A9E"/>
    <w:rsid w:val="00EF7CAC"/>
    <w:rsid w:val="00F04E39"/>
    <w:rsid w:val="00F057C0"/>
    <w:rsid w:val="00F1075D"/>
    <w:rsid w:val="00F109A8"/>
    <w:rsid w:val="00F12A03"/>
    <w:rsid w:val="00F12CA1"/>
    <w:rsid w:val="00F15C00"/>
    <w:rsid w:val="00F16482"/>
    <w:rsid w:val="00F17A42"/>
    <w:rsid w:val="00F21076"/>
    <w:rsid w:val="00F211BA"/>
    <w:rsid w:val="00F22965"/>
    <w:rsid w:val="00F276EA"/>
    <w:rsid w:val="00F31C88"/>
    <w:rsid w:val="00F33FC1"/>
    <w:rsid w:val="00F3621A"/>
    <w:rsid w:val="00F41E05"/>
    <w:rsid w:val="00F41EFF"/>
    <w:rsid w:val="00F427AD"/>
    <w:rsid w:val="00F42F48"/>
    <w:rsid w:val="00F435D4"/>
    <w:rsid w:val="00F4412E"/>
    <w:rsid w:val="00F45A4F"/>
    <w:rsid w:val="00F45D1B"/>
    <w:rsid w:val="00F46DFA"/>
    <w:rsid w:val="00F47E53"/>
    <w:rsid w:val="00F516F5"/>
    <w:rsid w:val="00F5191C"/>
    <w:rsid w:val="00F51993"/>
    <w:rsid w:val="00F532B5"/>
    <w:rsid w:val="00F53D25"/>
    <w:rsid w:val="00F605CE"/>
    <w:rsid w:val="00F64B64"/>
    <w:rsid w:val="00F6629E"/>
    <w:rsid w:val="00F74F90"/>
    <w:rsid w:val="00F75C51"/>
    <w:rsid w:val="00F76893"/>
    <w:rsid w:val="00F810D1"/>
    <w:rsid w:val="00F811F1"/>
    <w:rsid w:val="00F81A90"/>
    <w:rsid w:val="00F84D27"/>
    <w:rsid w:val="00F851DC"/>
    <w:rsid w:val="00F856A7"/>
    <w:rsid w:val="00F913F6"/>
    <w:rsid w:val="00F94315"/>
    <w:rsid w:val="00FA1854"/>
    <w:rsid w:val="00FA1A4F"/>
    <w:rsid w:val="00FA26BE"/>
    <w:rsid w:val="00FA5578"/>
    <w:rsid w:val="00FA7510"/>
    <w:rsid w:val="00FA7ED2"/>
    <w:rsid w:val="00FB649E"/>
    <w:rsid w:val="00FC10F6"/>
    <w:rsid w:val="00FC2908"/>
    <w:rsid w:val="00FC2FA2"/>
    <w:rsid w:val="00FC3A5B"/>
    <w:rsid w:val="00FC3A95"/>
    <w:rsid w:val="00FD218C"/>
    <w:rsid w:val="00FD37FB"/>
    <w:rsid w:val="00FD4192"/>
    <w:rsid w:val="00FE0E8F"/>
    <w:rsid w:val="00FE5EB3"/>
    <w:rsid w:val="00FE5FC4"/>
    <w:rsid w:val="00FE727D"/>
    <w:rsid w:val="00FF3658"/>
    <w:rsid w:val="00FF3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05472"/>
  <w15:chartTrackingRefBased/>
  <w15:docId w15:val="{59520979-1061-4583-8EA2-C7353742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C1"/>
    <w:pPr>
      <w:spacing w:line="480" w:lineRule="auto"/>
    </w:pPr>
    <w:rPr>
      <w:rFonts w:ascii="Times New Roman" w:hAnsi="Times New Roman"/>
      <w:color w:val="000000" w:themeColor="text1"/>
      <w:sz w:val="24"/>
    </w:rPr>
  </w:style>
  <w:style w:type="paragraph" w:styleId="Heading1">
    <w:name w:val="heading 1"/>
    <w:basedOn w:val="Normal"/>
    <w:next w:val="Normal"/>
    <w:link w:val="Heading1Char"/>
    <w:uiPriority w:val="9"/>
    <w:qFormat/>
    <w:rsid w:val="00BE18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E18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971B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6555AC"/>
    <w:rPr>
      <w:sz w:val="16"/>
      <w:szCs w:val="16"/>
    </w:rPr>
  </w:style>
  <w:style w:type="paragraph" w:styleId="CommentText">
    <w:name w:val="annotation text"/>
    <w:basedOn w:val="Normal"/>
    <w:link w:val="CommentTextChar"/>
    <w:uiPriority w:val="99"/>
    <w:unhideWhenUsed/>
    <w:qFormat/>
    <w:rsid w:val="006555AC"/>
    <w:pPr>
      <w:spacing w:line="240" w:lineRule="auto"/>
    </w:pPr>
    <w:rPr>
      <w:sz w:val="20"/>
      <w:szCs w:val="20"/>
    </w:rPr>
  </w:style>
  <w:style w:type="character" w:customStyle="1" w:styleId="CommentTextChar">
    <w:name w:val="Comment Text Char"/>
    <w:basedOn w:val="DefaultParagraphFont"/>
    <w:link w:val="CommentText"/>
    <w:uiPriority w:val="99"/>
    <w:qFormat/>
    <w:rsid w:val="006555AC"/>
    <w:rPr>
      <w:sz w:val="20"/>
      <w:szCs w:val="20"/>
    </w:rPr>
  </w:style>
  <w:style w:type="paragraph" w:styleId="CommentSubject">
    <w:name w:val="annotation subject"/>
    <w:basedOn w:val="CommentText"/>
    <w:next w:val="CommentText"/>
    <w:link w:val="CommentSubjectChar"/>
    <w:uiPriority w:val="99"/>
    <w:semiHidden/>
    <w:unhideWhenUsed/>
    <w:rsid w:val="006555AC"/>
    <w:rPr>
      <w:b/>
      <w:bCs/>
    </w:rPr>
  </w:style>
  <w:style w:type="character" w:customStyle="1" w:styleId="CommentSubjectChar">
    <w:name w:val="Comment Subject Char"/>
    <w:basedOn w:val="CommentTextChar"/>
    <w:link w:val="CommentSubject"/>
    <w:uiPriority w:val="99"/>
    <w:semiHidden/>
    <w:rsid w:val="006555AC"/>
    <w:rPr>
      <w:b/>
      <w:bCs/>
      <w:sz w:val="20"/>
      <w:szCs w:val="20"/>
    </w:rPr>
  </w:style>
  <w:style w:type="paragraph" w:styleId="ListParagraph">
    <w:name w:val="List Paragraph"/>
    <w:basedOn w:val="Normal"/>
    <w:uiPriority w:val="34"/>
    <w:qFormat/>
    <w:rsid w:val="00827AB2"/>
    <w:pPr>
      <w:ind w:left="720"/>
      <w:contextualSpacing/>
    </w:pPr>
  </w:style>
  <w:style w:type="paragraph" w:customStyle="1" w:styleId="ChapterHeading1">
    <w:name w:val="Chapter Heading 1"/>
    <w:basedOn w:val="Heading1"/>
    <w:link w:val="ChapterHeading1Char"/>
    <w:qFormat/>
    <w:rsid w:val="00E75101"/>
    <w:rPr>
      <w:rFonts w:ascii="Times New Roman" w:hAnsi="Times New Roman" w:cs="Times New Roman"/>
      <w:b/>
      <w:bCs/>
      <w:color w:val="000000" w:themeColor="text1"/>
      <w:sz w:val="28"/>
      <w:szCs w:val="28"/>
    </w:rPr>
  </w:style>
  <w:style w:type="character" w:customStyle="1" w:styleId="Heading2Char">
    <w:name w:val="Heading 2 Char"/>
    <w:basedOn w:val="DefaultParagraphFont"/>
    <w:link w:val="Heading2"/>
    <w:uiPriority w:val="9"/>
    <w:semiHidden/>
    <w:rsid w:val="00BE18FC"/>
    <w:rPr>
      <w:rFonts w:asciiTheme="majorHAnsi" w:eastAsiaTheme="majorEastAsia" w:hAnsiTheme="majorHAnsi" w:cstheme="majorBidi"/>
      <w:color w:val="2F5496" w:themeColor="accent1" w:themeShade="BF"/>
      <w:sz w:val="26"/>
      <w:szCs w:val="26"/>
    </w:rPr>
  </w:style>
  <w:style w:type="character" w:customStyle="1" w:styleId="ChapterHeading1Char">
    <w:name w:val="Chapter Heading 1 Char"/>
    <w:basedOn w:val="DefaultParagraphFont"/>
    <w:link w:val="ChapterHeading1"/>
    <w:rsid w:val="00E75101"/>
    <w:rPr>
      <w:rFonts w:ascii="Times New Roman" w:eastAsiaTheme="majorEastAsia" w:hAnsi="Times New Roman" w:cs="Times New Roman"/>
      <w:b/>
      <w:bCs/>
      <w:color w:val="000000" w:themeColor="text1"/>
      <w:sz w:val="28"/>
      <w:szCs w:val="28"/>
    </w:rPr>
  </w:style>
  <w:style w:type="character" w:customStyle="1" w:styleId="Heading1Char">
    <w:name w:val="Heading 1 Char"/>
    <w:basedOn w:val="DefaultParagraphFont"/>
    <w:link w:val="Heading1"/>
    <w:uiPriority w:val="9"/>
    <w:rsid w:val="00BE18FC"/>
    <w:rPr>
      <w:rFonts w:asciiTheme="majorHAnsi" w:eastAsiaTheme="majorEastAsia" w:hAnsiTheme="majorHAnsi" w:cstheme="majorBidi"/>
      <w:color w:val="2F5496" w:themeColor="accent1" w:themeShade="BF"/>
      <w:sz w:val="32"/>
      <w:szCs w:val="32"/>
    </w:rPr>
  </w:style>
  <w:style w:type="paragraph" w:customStyle="1" w:styleId="Sub-ChapterHading">
    <w:name w:val="Sub-Chapter Hading"/>
    <w:basedOn w:val="Heading2"/>
    <w:link w:val="Sub-ChapterHadingChar"/>
    <w:qFormat/>
    <w:rsid w:val="00850EB1"/>
    <w:pPr>
      <w:spacing w:before="240"/>
      <w:ind w:left="720" w:hanging="720"/>
    </w:pPr>
    <w:rPr>
      <w:rFonts w:ascii="Times New Roman" w:hAnsi="Times New Roman" w:cs="Times New Roman"/>
      <w:b/>
      <w:bCs/>
      <w:color w:val="000000" w:themeColor="text1"/>
      <w:szCs w:val="24"/>
    </w:rPr>
  </w:style>
  <w:style w:type="paragraph" w:styleId="TOCHeading">
    <w:name w:val="TOC Heading"/>
    <w:basedOn w:val="Heading1"/>
    <w:next w:val="Normal"/>
    <w:uiPriority w:val="39"/>
    <w:unhideWhenUsed/>
    <w:qFormat/>
    <w:rsid w:val="00455803"/>
    <w:pPr>
      <w:outlineLvl w:val="9"/>
    </w:pPr>
  </w:style>
  <w:style w:type="character" w:customStyle="1" w:styleId="Sub-ChapterHadingChar">
    <w:name w:val="Sub-Chapter Hading Char"/>
    <w:basedOn w:val="Heading2Char"/>
    <w:link w:val="Sub-ChapterHading"/>
    <w:rsid w:val="00850EB1"/>
    <w:rPr>
      <w:rFonts w:ascii="Times New Roman" w:eastAsiaTheme="majorEastAsia" w:hAnsi="Times New Roman" w:cs="Times New Roman"/>
      <w:b/>
      <w:bCs/>
      <w:color w:val="000000" w:themeColor="text1"/>
      <w:sz w:val="26"/>
      <w:szCs w:val="24"/>
    </w:rPr>
  </w:style>
  <w:style w:type="paragraph" w:styleId="TOC1">
    <w:name w:val="toc 1"/>
    <w:basedOn w:val="Normal"/>
    <w:next w:val="Normal"/>
    <w:autoRedefine/>
    <w:uiPriority w:val="39"/>
    <w:unhideWhenUsed/>
    <w:rsid w:val="00455803"/>
    <w:pPr>
      <w:spacing w:after="100"/>
    </w:pPr>
  </w:style>
  <w:style w:type="paragraph" w:styleId="TOC2">
    <w:name w:val="toc 2"/>
    <w:basedOn w:val="Normal"/>
    <w:next w:val="Normal"/>
    <w:autoRedefine/>
    <w:uiPriority w:val="39"/>
    <w:unhideWhenUsed/>
    <w:rsid w:val="00455803"/>
    <w:pPr>
      <w:spacing w:after="100"/>
      <w:ind w:left="240"/>
    </w:pPr>
  </w:style>
  <w:style w:type="character" w:styleId="Hyperlink">
    <w:name w:val="Hyperlink"/>
    <w:basedOn w:val="DefaultParagraphFont"/>
    <w:uiPriority w:val="99"/>
    <w:unhideWhenUsed/>
    <w:rsid w:val="00455803"/>
    <w:rPr>
      <w:color w:val="0563C1" w:themeColor="hyperlink"/>
      <w:u w:val="single"/>
    </w:rPr>
  </w:style>
  <w:style w:type="paragraph" w:styleId="FootnoteText">
    <w:name w:val="footnote text"/>
    <w:basedOn w:val="Normal"/>
    <w:link w:val="FootnoteTextChar"/>
    <w:uiPriority w:val="99"/>
    <w:semiHidden/>
    <w:unhideWhenUsed/>
    <w:rsid w:val="004615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50D"/>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46150D"/>
    <w:rPr>
      <w:vertAlign w:val="superscript"/>
    </w:rPr>
  </w:style>
  <w:style w:type="character" w:styleId="UnresolvedMention">
    <w:name w:val="Unresolved Mention"/>
    <w:basedOn w:val="DefaultParagraphFont"/>
    <w:uiPriority w:val="99"/>
    <w:semiHidden/>
    <w:unhideWhenUsed/>
    <w:rsid w:val="0046150D"/>
    <w:rPr>
      <w:color w:val="605E5C"/>
      <w:shd w:val="clear" w:color="auto" w:fill="E1DFDD"/>
    </w:rPr>
  </w:style>
  <w:style w:type="character" w:styleId="LineNumber">
    <w:name w:val="line number"/>
    <w:basedOn w:val="DefaultParagraphFont"/>
    <w:uiPriority w:val="99"/>
    <w:semiHidden/>
    <w:unhideWhenUsed/>
    <w:rsid w:val="004826F9"/>
  </w:style>
  <w:style w:type="paragraph" w:styleId="Header">
    <w:name w:val="header"/>
    <w:basedOn w:val="Normal"/>
    <w:link w:val="HeaderChar"/>
    <w:uiPriority w:val="99"/>
    <w:unhideWhenUsed/>
    <w:rsid w:val="00D41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158"/>
    <w:rPr>
      <w:rFonts w:ascii="Times New Roman" w:hAnsi="Times New Roman"/>
      <w:color w:val="000000" w:themeColor="text1"/>
      <w:sz w:val="24"/>
    </w:rPr>
  </w:style>
  <w:style w:type="paragraph" w:styleId="Footer">
    <w:name w:val="footer"/>
    <w:basedOn w:val="Normal"/>
    <w:link w:val="FooterChar"/>
    <w:uiPriority w:val="99"/>
    <w:unhideWhenUsed/>
    <w:rsid w:val="00D41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158"/>
    <w:rPr>
      <w:rFonts w:ascii="Times New Roman" w:hAnsi="Times New Roman"/>
      <w:color w:val="000000" w:themeColor="text1"/>
      <w:sz w:val="24"/>
    </w:rPr>
  </w:style>
  <w:style w:type="paragraph" w:customStyle="1" w:styleId="ChapterSubsub-headingItalics">
    <w:name w:val="Chapter Subsub-heading. Italics"/>
    <w:basedOn w:val="Heading3"/>
    <w:link w:val="ChapterSubsub-headingItalicsChar"/>
    <w:qFormat/>
    <w:rsid w:val="00B971BC"/>
    <w:pPr>
      <w:spacing w:before="0" w:line="240" w:lineRule="auto"/>
    </w:pPr>
    <w:rPr>
      <w:rFonts w:ascii="Times New Roman" w:hAnsi="Times New Roman" w:cs="Times New Roman"/>
      <w:i/>
      <w:iCs/>
      <w:color w:val="000000" w:themeColor="text1"/>
    </w:rPr>
  </w:style>
  <w:style w:type="paragraph" w:customStyle="1" w:styleId="Subsub-chapterHeading">
    <w:name w:val="Subsub-chapter Heading"/>
    <w:basedOn w:val="Heading3"/>
    <w:link w:val="Subsub-chapterHeadingChar"/>
    <w:qFormat/>
    <w:rsid w:val="00B971BC"/>
    <w:pPr>
      <w:spacing w:before="0"/>
    </w:pPr>
    <w:rPr>
      <w:rFonts w:ascii="Times New Roman" w:hAnsi="Times New Roman" w:cs="Times New Roman"/>
      <w:i/>
      <w:iCs/>
      <w:color w:val="000000" w:themeColor="text1"/>
    </w:rPr>
  </w:style>
  <w:style w:type="character" w:customStyle="1" w:styleId="Heading3Char">
    <w:name w:val="Heading 3 Char"/>
    <w:basedOn w:val="DefaultParagraphFont"/>
    <w:link w:val="Heading3"/>
    <w:uiPriority w:val="9"/>
    <w:semiHidden/>
    <w:rsid w:val="00B971BC"/>
    <w:rPr>
      <w:rFonts w:asciiTheme="majorHAnsi" w:eastAsiaTheme="majorEastAsia" w:hAnsiTheme="majorHAnsi" w:cstheme="majorBidi"/>
      <w:color w:val="1F3763" w:themeColor="accent1" w:themeShade="7F"/>
      <w:sz w:val="24"/>
      <w:szCs w:val="24"/>
    </w:rPr>
  </w:style>
  <w:style w:type="character" w:customStyle="1" w:styleId="ChapterSubsub-headingItalicsChar">
    <w:name w:val="Chapter Subsub-heading. Italics Char"/>
    <w:basedOn w:val="Heading3Char"/>
    <w:link w:val="ChapterSubsub-headingItalics"/>
    <w:rsid w:val="00B971BC"/>
    <w:rPr>
      <w:rFonts w:ascii="Times New Roman" w:eastAsiaTheme="majorEastAsia" w:hAnsi="Times New Roman" w:cs="Times New Roman"/>
      <w:i/>
      <w:iCs/>
      <w:color w:val="000000" w:themeColor="text1"/>
      <w:sz w:val="24"/>
      <w:szCs w:val="24"/>
    </w:rPr>
  </w:style>
  <w:style w:type="paragraph" w:styleId="TOC3">
    <w:name w:val="toc 3"/>
    <w:basedOn w:val="Normal"/>
    <w:next w:val="Normal"/>
    <w:autoRedefine/>
    <w:uiPriority w:val="39"/>
    <w:unhideWhenUsed/>
    <w:rsid w:val="00B971BC"/>
    <w:pPr>
      <w:spacing w:after="100"/>
      <w:ind w:left="480"/>
    </w:pPr>
  </w:style>
  <w:style w:type="character" w:customStyle="1" w:styleId="Subsub-chapterHeadingChar">
    <w:name w:val="Subsub-chapter Heading Char"/>
    <w:basedOn w:val="Heading3Char"/>
    <w:link w:val="Subsub-chapterHeading"/>
    <w:rsid w:val="00B971BC"/>
    <w:rPr>
      <w:rFonts w:ascii="Times New Roman" w:eastAsiaTheme="majorEastAsia" w:hAnsi="Times New Roman" w:cs="Times New Roman"/>
      <w:i/>
      <w:iCs/>
      <w:color w:val="000000" w:themeColor="text1"/>
      <w:sz w:val="24"/>
      <w:szCs w:val="24"/>
    </w:rPr>
  </w:style>
  <w:style w:type="paragraph" w:styleId="EndnoteText">
    <w:name w:val="endnote text"/>
    <w:basedOn w:val="Normal"/>
    <w:link w:val="EndnoteTextChar"/>
    <w:uiPriority w:val="99"/>
    <w:semiHidden/>
    <w:unhideWhenUsed/>
    <w:rsid w:val="00CE36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3669"/>
    <w:rPr>
      <w:rFonts w:ascii="Times New Roman" w:hAnsi="Times New Roman"/>
      <w:color w:val="000000" w:themeColor="text1"/>
      <w:sz w:val="20"/>
      <w:szCs w:val="20"/>
    </w:rPr>
  </w:style>
  <w:style w:type="character" w:styleId="EndnoteReference">
    <w:name w:val="endnote reference"/>
    <w:basedOn w:val="DefaultParagraphFont"/>
    <w:uiPriority w:val="99"/>
    <w:semiHidden/>
    <w:unhideWhenUsed/>
    <w:rsid w:val="00CE3669"/>
    <w:rPr>
      <w:vertAlign w:val="superscript"/>
    </w:rPr>
  </w:style>
  <w:style w:type="character" w:styleId="Emphasis">
    <w:name w:val="Emphasis"/>
    <w:basedOn w:val="DefaultParagraphFont"/>
    <w:uiPriority w:val="20"/>
    <w:qFormat/>
    <w:rsid w:val="00EF09EE"/>
    <w:rPr>
      <w:i/>
      <w:iCs/>
    </w:rPr>
  </w:style>
  <w:style w:type="paragraph" w:customStyle="1" w:styleId="CaptionJH">
    <w:name w:val="Caption_JH"/>
    <w:basedOn w:val="Normal"/>
    <w:next w:val="Normal"/>
    <w:qFormat/>
    <w:rsid w:val="00615648"/>
    <w:pPr>
      <w:spacing w:after="0"/>
    </w:pPr>
    <w:rPr>
      <w:rFonts w:cs="Times New Roman"/>
      <w:bCs/>
      <w:i/>
      <w:color w:val="auto"/>
      <w:szCs w:val="24"/>
    </w:rPr>
  </w:style>
  <w:style w:type="paragraph" w:styleId="Revision">
    <w:name w:val="Revision"/>
    <w:hidden/>
    <w:uiPriority w:val="99"/>
    <w:semiHidden/>
    <w:rsid w:val="00E525F8"/>
    <w:pPr>
      <w:spacing w:after="0" w:line="240" w:lineRule="auto"/>
    </w:pPr>
    <w:rPr>
      <w:rFonts w:ascii="Times New Roman" w:hAnsi="Times New Roman"/>
      <w:color w:val="000000" w:themeColor="text1"/>
      <w:sz w:val="24"/>
    </w:rPr>
  </w:style>
  <w:style w:type="character" w:styleId="FollowedHyperlink">
    <w:name w:val="FollowedHyperlink"/>
    <w:basedOn w:val="DefaultParagraphFont"/>
    <w:uiPriority w:val="99"/>
    <w:semiHidden/>
    <w:unhideWhenUsed/>
    <w:rsid w:val="00C53819"/>
    <w:rPr>
      <w:color w:val="954F72" w:themeColor="followedHyperlink"/>
      <w:u w:val="single"/>
    </w:rPr>
  </w:style>
  <w:style w:type="paragraph" w:customStyle="1" w:styleId="msonormal0">
    <w:name w:val="msonormal"/>
    <w:basedOn w:val="Normal"/>
    <w:rsid w:val="00237855"/>
    <w:pPr>
      <w:spacing w:before="100" w:beforeAutospacing="1" w:after="100" w:afterAutospacing="1" w:line="240" w:lineRule="auto"/>
    </w:pPr>
    <w:rPr>
      <w:rFonts w:eastAsia="Times New Roman" w:cs="Times New Roman"/>
      <w:color w:val="auto"/>
      <w:szCs w:val="24"/>
    </w:rPr>
  </w:style>
  <w:style w:type="paragraph" w:customStyle="1" w:styleId="font5">
    <w:name w:val="font5"/>
    <w:basedOn w:val="Normal"/>
    <w:rsid w:val="00237855"/>
    <w:pPr>
      <w:spacing w:before="100" w:beforeAutospacing="1" w:after="100" w:afterAutospacing="1" w:line="240" w:lineRule="auto"/>
    </w:pPr>
    <w:rPr>
      <w:rFonts w:eastAsia="Times New Roman" w:cs="Times New Roman"/>
      <w:color w:val="000000"/>
      <w:sz w:val="20"/>
      <w:szCs w:val="20"/>
    </w:rPr>
  </w:style>
  <w:style w:type="paragraph" w:customStyle="1" w:styleId="font6">
    <w:name w:val="font6"/>
    <w:basedOn w:val="Normal"/>
    <w:rsid w:val="00237855"/>
    <w:pPr>
      <w:spacing w:before="100" w:beforeAutospacing="1" w:after="100" w:afterAutospacing="1" w:line="240" w:lineRule="auto"/>
    </w:pPr>
    <w:rPr>
      <w:rFonts w:eastAsia="Times New Roman" w:cs="Times New Roman"/>
      <w:color w:val="000000"/>
      <w:sz w:val="20"/>
      <w:szCs w:val="20"/>
    </w:rPr>
  </w:style>
  <w:style w:type="paragraph" w:customStyle="1" w:styleId="xl65">
    <w:name w:val="xl65"/>
    <w:basedOn w:val="Normal"/>
    <w:rsid w:val="00237855"/>
    <w:pPr>
      <w:spacing w:before="100" w:beforeAutospacing="1" w:after="100" w:afterAutospacing="1" w:line="240" w:lineRule="auto"/>
    </w:pPr>
    <w:rPr>
      <w:rFonts w:eastAsia="Times New Roman" w:cs="Times New Roman"/>
      <w:b/>
      <w:bCs/>
      <w:color w:val="auto"/>
      <w:szCs w:val="24"/>
    </w:rPr>
  </w:style>
  <w:style w:type="paragraph" w:customStyle="1" w:styleId="xl66">
    <w:name w:val="xl66"/>
    <w:basedOn w:val="Normal"/>
    <w:rsid w:val="00237855"/>
    <w:pPr>
      <w:spacing w:before="100" w:beforeAutospacing="1" w:after="100" w:afterAutospacing="1" w:line="240" w:lineRule="auto"/>
    </w:pPr>
    <w:rPr>
      <w:rFonts w:eastAsia="Times New Roman" w:cs="Times New Roman"/>
      <w:color w:val="auto"/>
      <w:szCs w:val="24"/>
    </w:rPr>
  </w:style>
  <w:style w:type="paragraph" w:customStyle="1" w:styleId="xl67">
    <w:name w:val="xl67"/>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auto"/>
      <w:szCs w:val="24"/>
    </w:rPr>
  </w:style>
  <w:style w:type="paragraph" w:customStyle="1" w:styleId="xl68">
    <w:name w:val="xl68"/>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auto"/>
      <w:szCs w:val="24"/>
    </w:rPr>
  </w:style>
  <w:style w:type="paragraph" w:customStyle="1" w:styleId="xl69">
    <w:name w:val="xl69"/>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sz w:val="20"/>
      <w:szCs w:val="20"/>
    </w:rPr>
  </w:style>
  <w:style w:type="paragraph" w:customStyle="1" w:styleId="xl70">
    <w:name w:val="xl70"/>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i/>
      <w:iCs/>
      <w:color w:val="000000"/>
      <w:sz w:val="20"/>
      <w:szCs w:val="20"/>
    </w:rPr>
  </w:style>
  <w:style w:type="paragraph" w:customStyle="1" w:styleId="xl71">
    <w:name w:val="xl71"/>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auto"/>
      <w:szCs w:val="24"/>
    </w:rPr>
  </w:style>
  <w:style w:type="paragraph" w:customStyle="1" w:styleId="xl72">
    <w:name w:val="xl72"/>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auto"/>
      <w:sz w:val="20"/>
      <w:szCs w:val="20"/>
    </w:rPr>
  </w:style>
  <w:style w:type="paragraph" w:customStyle="1" w:styleId="xl73">
    <w:name w:val="xl73"/>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i/>
      <w:iCs/>
      <w:color w:val="auto"/>
      <w:sz w:val="20"/>
      <w:szCs w:val="20"/>
    </w:rPr>
  </w:style>
  <w:style w:type="paragraph" w:customStyle="1" w:styleId="xl74">
    <w:name w:val="xl74"/>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auto"/>
      <w:szCs w:val="24"/>
    </w:rPr>
  </w:style>
  <w:style w:type="paragraph" w:customStyle="1" w:styleId="xl75">
    <w:name w:val="xl75"/>
    <w:basedOn w:val="Normal"/>
    <w:rsid w:val="002378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auto"/>
      <w:sz w:val="20"/>
      <w:szCs w:val="20"/>
    </w:rPr>
  </w:style>
  <w:style w:type="paragraph" w:styleId="TableofFigures">
    <w:name w:val="table of figures"/>
    <w:basedOn w:val="Normal"/>
    <w:next w:val="Normal"/>
    <w:uiPriority w:val="99"/>
    <w:unhideWhenUsed/>
    <w:rsid w:val="00C551C9"/>
    <w:pPr>
      <w:spacing w:after="0"/>
    </w:pPr>
  </w:style>
  <w:style w:type="table" w:styleId="TableGrid">
    <w:name w:val="Table Grid"/>
    <w:basedOn w:val="TableNormal"/>
    <w:uiPriority w:val="39"/>
    <w:rsid w:val="00F75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30728">
      <w:bodyDiv w:val="1"/>
      <w:marLeft w:val="0"/>
      <w:marRight w:val="0"/>
      <w:marTop w:val="0"/>
      <w:marBottom w:val="0"/>
      <w:divBdr>
        <w:top w:val="none" w:sz="0" w:space="0" w:color="auto"/>
        <w:left w:val="none" w:sz="0" w:space="0" w:color="auto"/>
        <w:bottom w:val="none" w:sz="0" w:space="0" w:color="auto"/>
        <w:right w:val="none" w:sz="0" w:space="0" w:color="auto"/>
      </w:divBdr>
      <w:divsChild>
        <w:div w:id="923883177">
          <w:marLeft w:val="0"/>
          <w:marRight w:val="0"/>
          <w:marTop w:val="0"/>
          <w:marBottom w:val="0"/>
          <w:divBdr>
            <w:top w:val="none" w:sz="0" w:space="0" w:color="auto"/>
            <w:left w:val="none" w:sz="0" w:space="0" w:color="auto"/>
            <w:bottom w:val="none" w:sz="0" w:space="0" w:color="auto"/>
            <w:right w:val="none" w:sz="0" w:space="0" w:color="auto"/>
          </w:divBdr>
        </w:div>
        <w:div w:id="1074201170">
          <w:marLeft w:val="0"/>
          <w:marRight w:val="0"/>
          <w:marTop w:val="0"/>
          <w:marBottom w:val="0"/>
          <w:divBdr>
            <w:top w:val="none" w:sz="0" w:space="0" w:color="auto"/>
            <w:left w:val="none" w:sz="0" w:space="0" w:color="auto"/>
            <w:bottom w:val="none" w:sz="0" w:space="0" w:color="auto"/>
            <w:right w:val="none" w:sz="0" w:space="0" w:color="auto"/>
          </w:divBdr>
        </w:div>
        <w:div w:id="273443764">
          <w:marLeft w:val="0"/>
          <w:marRight w:val="0"/>
          <w:marTop w:val="0"/>
          <w:marBottom w:val="0"/>
          <w:divBdr>
            <w:top w:val="none" w:sz="0" w:space="0" w:color="auto"/>
            <w:left w:val="none" w:sz="0" w:space="0" w:color="auto"/>
            <w:bottom w:val="none" w:sz="0" w:space="0" w:color="auto"/>
            <w:right w:val="none" w:sz="0" w:space="0" w:color="auto"/>
          </w:divBdr>
        </w:div>
      </w:divsChild>
    </w:div>
    <w:div w:id="180559221">
      <w:bodyDiv w:val="1"/>
      <w:marLeft w:val="0"/>
      <w:marRight w:val="0"/>
      <w:marTop w:val="0"/>
      <w:marBottom w:val="0"/>
      <w:divBdr>
        <w:top w:val="none" w:sz="0" w:space="0" w:color="auto"/>
        <w:left w:val="none" w:sz="0" w:space="0" w:color="auto"/>
        <w:bottom w:val="none" w:sz="0" w:space="0" w:color="auto"/>
        <w:right w:val="none" w:sz="0" w:space="0" w:color="auto"/>
      </w:divBdr>
    </w:div>
    <w:div w:id="600525214">
      <w:bodyDiv w:val="1"/>
      <w:marLeft w:val="0"/>
      <w:marRight w:val="0"/>
      <w:marTop w:val="0"/>
      <w:marBottom w:val="0"/>
      <w:divBdr>
        <w:top w:val="none" w:sz="0" w:space="0" w:color="auto"/>
        <w:left w:val="none" w:sz="0" w:space="0" w:color="auto"/>
        <w:bottom w:val="none" w:sz="0" w:space="0" w:color="auto"/>
        <w:right w:val="none" w:sz="0" w:space="0" w:color="auto"/>
      </w:divBdr>
    </w:div>
    <w:div w:id="907694963">
      <w:bodyDiv w:val="1"/>
      <w:marLeft w:val="0"/>
      <w:marRight w:val="0"/>
      <w:marTop w:val="0"/>
      <w:marBottom w:val="0"/>
      <w:divBdr>
        <w:top w:val="none" w:sz="0" w:space="0" w:color="auto"/>
        <w:left w:val="none" w:sz="0" w:space="0" w:color="auto"/>
        <w:bottom w:val="none" w:sz="0" w:space="0" w:color="auto"/>
        <w:right w:val="none" w:sz="0" w:space="0" w:color="auto"/>
      </w:divBdr>
    </w:div>
    <w:div w:id="1136028125">
      <w:bodyDiv w:val="1"/>
      <w:marLeft w:val="0"/>
      <w:marRight w:val="0"/>
      <w:marTop w:val="0"/>
      <w:marBottom w:val="0"/>
      <w:divBdr>
        <w:top w:val="none" w:sz="0" w:space="0" w:color="auto"/>
        <w:left w:val="none" w:sz="0" w:space="0" w:color="auto"/>
        <w:bottom w:val="none" w:sz="0" w:space="0" w:color="auto"/>
        <w:right w:val="none" w:sz="0" w:space="0" w:color="auto"/>
      </w:divBdr>
    </w:div>
    <w:div w:id="1160654563">
      <w:bodyDiv w:val="1"/>
      <w:marLeft w:val="0"/>
      <w:marRight w:val="0"/>
      <w:marTop w:val="0"/>
      <w:marBottom w:val="0"/>
      <w:divBdr>
        <w:top w:val="none" w:sz="0" w:space="0" w:color="auto"/>
        <w:left w:val="none" w:sz="0" w:space="0" w:color="auto"/>
        <w:bottom w:val="none" w:sz="0" w:space="0" w:color="auto"/>
        <w:right w:val="none" w:sz="0" w:space="0" w:color="auto"/>
      </w:divBdr>
      <w:divsChild>
        <w:div w:id="1647975263">
          <w:marLeft w:val="0"/>
          <w:marRight w:val="0"/>
          <w:marTop w:val="0"/>
          <w:marBottom w:val="0"/>
          <w:divBdr>
            <w:top w:val="none" w:sz="0" w:space="0" w:color="auto"/>
            <w:left w:val="none" w:sz="0" w:space="0" w:color="auto"/>
            <w:bottom w:val="none" w:sz="0" w:space="0" w:color="auto"/>
            <w:right w:val="none" w:sz="0" w:space="0" w:color="auto"/>
          </w:divBdr>
        </w:div>
        <w:div w:id="724715272">
          <w:marLeft w:val="0"/>
          <w:marRight w:val="0"/>
          <w:marTop w:val="0"/>
          <w:marBottom w:val="0"/>
          <w:divBdr>
            <w:top w:val="none" w:sz="0" w:space="0" w:color="auto"/>
            <w:left w:val="none" w:sz="0" w:space="0" w:color="auto"/>
            <w:bottom w:val="none" w:sz="0" w:space="0" w:color="auto"/>
            <w:right w:val="none" w:sz="0" w:space="0" w:color="auto"/>
          </w:divBdr>
        </w:div>
        <w:div w:id="605815850">
          <w:marLeft w:val="0"/>
          <w:marRight w:val="0"/>
          <w:marTop w:val="0"/>
          <w:marBottom w:val="0"/>
          <w:divBdr>
            <w:top w:val="none" w:sz="0" w:space="0" w:color="auto"/>
            <w:left w:val="none" w:sz="0" w:space="0" w:color="auto"/>
            <w:bottom w:val="none" w:sz="0" w:space="0" w:color="auto"/>
            <w:right w:val="none" w:sz="0" w:space="0" w:color="auto"/>
          </w:divBdr>
        </w:div>
      </w:divsChild>
    </w:div>
    <w:div w:id="1282298797">
      <w:bodyDiv w:val="1"/>
      <w:marLeft w:val="0"/>
      <w:marRight w:val="0"/>
      <w:marTop w:val="0"/>
      <w:marBottom w:val="0"/>
      <w:divBdr>
        <w:top w:val="none" w:sz="0" w:space="0" w:color="auto"/>
        <w:left w:val="none" w:sz="0" w:space="0" w:color="auto"/>
        <w:bottom w:val="none" w:sz="0" w:space="0" w:color="auto"/>
        <w:right w:val="none" w:sz="0" w:space="0" w:color="auto"/>
      </w:divBdr>
    </w:div>
    <w:div w:id="1495338609">
      <w:bodyDiv w:val="1"/>
      <w:marLeft w:val="0"/>
      <w:marRight w:val="0"/>
      <w:marTop w:val="0"/>
      <w:marBottom w:val="0"/>
      <w:divBdr>
        <w:top w:val="none" w:sz="0" w:space="0" w:color="auto"/>
        <w:left w:val="none" w:sz="0" w:space="0" w:color="auto"/>
        <w:bottom w:val="none" w:sz="0" w:space="0" w:color="auto"/>
        <w:right w:val="none" w:sz="0" w:space="0" w:color="auto"/>
      </w:divBdr>
    </w:div>
    <w:div w:id="1568150260">
      <w:bodyDiv w:val="1"/>
      <w:marLeft w:val="0"/>
      <w:marRight w:val="0"/>
      <w:marTop w:val="0"/>
      <w:marBottom w:val="0"/>
      <w:divBdr>
        <w:top w:val="none" w:sz="0" w:space="0" w:color="auto"/>
        <w:left w:val="none" w:sz="0" w:space="0" w:color="auto"/>
        <w:bottom w:val="none" w:sz="0" w:space="0" w:color="auto"/>
        <w:right w:val="none" w:sz="0" w:space="0" w:color="auto"/>
      </w:divBdr>
    </w:div>
    <w:div w:id="1576090387">
      <w:bodyDiv w:val="1"/>
      <w:marLeft w:val="0"/>
      <w:marRight w:val="0"/>
      <w:marTop w:val="0"/>
      <w:marBottom w:val="0"/>
      <w:divBdr>
        <w:top w:val="none" w:sz="0" w:space="0" w:color="auto"/>
        <w:left w:val="none" w:sz="0" w:space="0" w:color="auto"/>
        <w:bottom w:val="none" w:sz="0" w:space="0" w:color="auto"/>
        <w:right w:val="none" w:sz="0" w:space="0" w:color="auto"/>
      </w:divBdr>
    </w:div>
    <w:div w:id="1654791153">
      <w:bodyDiv w:val="1"/>
      <w:marLeft w:val="0"/>
      <w:marRight w:val="0"/>
      <w:marTop w:val="0"/>
      <w:marBottom w:val="0"/>
      <w:divBdr>
        <w:top w:val="none" w:sz="0" w:space="0" w:color="auto"/>
        <w:left w:val="none" w:sz="0" w:space="0" w:color="auto"/>
        <w:bottom w:val="none" w:sz="0" w:space="0" w:color="auto"/>
        <w:right w:val="none" w:sz="0" w:space="0" w:color="auto"/>
      </w:divBdr>
    </w:div>
    <w:div w:id="1752046805">
      <w:bodyDiv w:val="1"/>
      <w:marLeft w:val="0"/>
      <w:marRight w:val="0"/>
      <w:marTop w:val="0"/>
      <w:marBottom w:val="0"/>
      <w:divBdr>
        <w:top w:val="none" w:sz="0" w:space="0" w:color="auto"/>
        <w:left w:val="none" w:sz="0" w:space="0" w:color="auto"/>
        <w:bottom w:val="none" w:sz="0" w:space="0" w:color="auto"/>
        <w:right w:val="none" w:sz="0" w:space="0" w:color="auto"/>
      </w:divBdr>
    </w:div>
    <w:div w:id="1754232112">
      <w:bodyDiv w:val="1"/>
      <w:marLeft w:val="0"/>
      <w:marRight w:val="0"/>
      <w:marTop w:val="0"/>
      <w:marBottom w:val="0"/>
      <w:divBdr>
        <w:top w:val="none" w:sz="0" w:space="0" w:color="auto"/>
        <w:left w:val="none" w:sz="0" w:space="0" w:color="auto"/>
        <w:bottom w:val="none" w:sz="0" w:space="0" w:color="auto"/>
        <w:right w:val="none" w:sz="0" w:space="0" w:color="auto"/>
      </w:divBdr>
    </w:div>
    <w:div w:id="1781797555">
      <w:bodyDiv w:val="1"/>
      <w:marLeft w:val="0"/>
      <w:marRight w:val="0"/>
      <w:marTop w:val="0"/>
      <w:marBottom w:val="0"/>
      <w:divBdr>
        <w:top w:val="none" w:sz="0" w:space="0" w:color="auto"/>
        <w:left w:val="none" w:sz="0" w:space="0" w:color="auto"/>
        <w:bottom w:val="none" w:sz="0" w:space="0" w:color="auto"/>
        <w:right w:val="none" w:sz="0" w:space="0" w:color="auto"/>
      </w:divBdr>
    </w:div>
    <w:div w:id="1890728448">
      <w:bodyDiv w:val="1"/>
      <w:marLeft w:val="0"/>
      <w:marRight w:val="0"/>
      <w:marTop w:val="0"/>
      <w:marBottom w:val="0"/>
      <w:divBdr>
        <w:top w:val="none" w:sz="0" w:space="0" w:color="auto"/>
        <w:left w:val="none" w:sz="0" w:space="0" w:color="auto"/>
        <w:bottom w:val="none" w:sz="0" w:space="0" w:color="auto"/>
        <w:right w:val="none" w:sz="0" w:space="0" w:color="auto"/>
      </w:divBdr>
    </w:div>
    <w:div w:id="1935086295">
      <w:bodyDiv w:val="1"/>
      <w:marLeft w:val="0"/>
      <w:marRight w:val="0"/>
      <w:marTop w:val="0"/>
      <w:marBottom w:val="0"/>
      <w:divBdr>
        <w:top w:val="none" w:sz="0" w:space="0" w:color="auto"/>
        <w:left w:val="none" w:sz="0" w:space="0" w:color="auto"/>
        <w:bottom w:val="none" w:sz="0" w:space="0" w:color="auto"/>
        <w:right w:val="none" w:sz="0" w:space="0" w:color="auto"/>
      </w:divBdr>
    </w:div>
    <w:div w:id="214554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svg"/><Relationship Id="rId21" Type="http://schemas.openxmlformats.org/officeDocument/2006/relationships/hyperlink" Target="https://github.com/jhaffner09/core_metabolome_2021" TargetMode="External"/><Relationship Id="rId42" Type="http://schemas.openxmlformats.org/officeDocument/2006/relationships/image" Target="media/image13.png"/><Relationship Id="rId63" Type="http://schemas.openxmlformats.org/officeDocument/2006/relationships/image" Target="media/image31.png"/><Relationship Id="rId84" Type="http://schemas.openxmlformats.org/officeDocument/2006/relationships/image" Target="media/image52.svg"/><Relationship Id="rId138" Type="http://schemas.openxmlformats.org/officeDocument/2006/relationships/image" Target="media/image106.png"/><Relationship Id="rId159" Type="http://schemas.openxmlformats.org/officeDocument/2006/relationships/image" Target="media/image127.svg"/><Relationship Id="rId170" Type="http://schemas.openxmlformats.org/officeDocument/2006/relationships/hyperlink" Target="https://gnps.ucsd.edu/ProteoSAFe/status.jsp?task=4a2ea5870d2e4622a5b90e4edfca3f17" TargetMode="External"/><Relationship Id="rId191" Type="http://schemas.openxmlformats.org/officeDocument/2006/relationships/hyperlink" Target="https://gnps.ucsd.edu/ProteoSAFe/status.jsp?task=d3eed7e162f24c3ab3b2c1c3e2e98785" TargetMode="External"/><Relationship Id="rId205" Type="http://schemas.openxmlformats.org/officeDocument/2006/relationships/hyperlink" Target="https://gnps.ucsd.edu/ProteoSAFe/status.jsp?task=9c0b6ad5c2f24f02b49c5d834598b39d" TargetMode="External"/><Relationship Id="rId226" Type="http://schemas.openxmlformats.org/officeDocument/2006/relationships/hyperlink" Target="https://gnps.ucsd.edu/ProteoSAFe/status.jsp?task=4d622370a5fa4ad5bb1eab577469d246" TargetMode="External"/><Relationship Id="rId247" Type="http://schemas.openxmlformats.org/officeDocument/2006/relationships/theme" Target="theme/theme1.xml"/><Relationship Id="rId107" Type="http://schemas.openxmlformats.org/officeDocument/2006/relationships/image" Target="media/image75.svg"/><Relationship Id="rId11" Type="http://schemas.openxmlformats.org/officeDocument/2006/relationships/hyperlink" Target="https://gnps.ucsd.edu/ProteoSAFe/status.jsp?task=505b8b39810c48eb9f9b65fee7c6bc7b" TargetMode="External"/><Relationship Id="rId32" Type="http://schemas.openxmlformats.org/officeDocument/2006/relationships/hyperlink" Target="https://gnps.ucsd.edu/ProteoSAFe/status.jsp?task=1b1f02ddb16743d091801ca17b83a386" TargetMode="External"/><Relationship Id="rId53" Type="http://schemas.openxmlformats.org/officeDocument/2006/relationships/image" Target="media/image21.png"/><Relationship Id="rId74" Type="http://schemas.openxmlformats.org/officeDocument/2006/relationships/image" Target="media/image42.svg"/><Relationship Id="rId128" Type="http://schemas.openxmlformats.org/officeDocument/2006/relationships/image" Target="media/image96.png"/><Relationship Id="rId149" Type="http://schemas.openxmlformats.org/officeDocument/2006/relationships/image" Target="media/image117.svg"/><Relationship Id="rId5" Type="http://schemas.openxmlformats.org/officeDocument/2006/relationships/webSettings" Target="webSettings.xml"/><Relationship Id="rId95" Type="http://schemas.openxmlformats.org/officeDocument/2006/relationships/image" Target="media/image63.svg"/><Relationship Id="rId160" Type="http://schemas.openxmlformats.org/officeDocument/2006/relationships/image" Target="media/image128.png"/><Relationship Id="rId181" Type="http://schemas.openxmlformats.org/officeDocument/2006/relationships/hyperlink" Target="https://gnps.ucsd.edu/ProteoSAFe/status.jsp?task=fc40869d5519485a808dc7caf0a2b8ae" TargetMode="External"/><Relationship Id="rId216" Type="http://schemas.openxmlformats.org/officeDocument/2006/relationships/hyperlink" Target="https://gnps.ucsd.edu/ProteoSAFe/status.jsp?task=0b17a25c3d6445d5b2c4a8e335adba23" TargetMode="External"/><Relationship Id="rId237" Type="http://schemas.openxmlformats.org/officeDocument/2006/relationships/image" Target="media/image138.png"/><Relationship Id="rId22" Type="http://schemas.openxmlformats.org/officeDocument/2006/relationships/image" Target="media/image2.tiff"/><Relationship Id="rId43" Type="http://schemas.openxmlformats.org/officeDocument/2006/relationships/image" Target="media/image14.svg"/><Relationship Id="rId64" Type="http://schemas.openxmlformats.org/officeDocument/2006/relationships/image" Target="media/image32.svg"/><Relationship Id="rId118" Type="http://schemas.openxmlformats.org/officeDocument/2006/relationships/image" Target="media/image86.png"/><Relationship Id="rId139" Type="http://schemas.openxmlformats.org/officeDocument/2006/relationships/image" Target="media/image107.svg"/><Relationship Id="rId85" Type="http://schemas.openxmlformats.org/officeDocument/2006/relationships/image" Target="media/image53.png"/><Relationship Id="rId150" Type="http://schemas.openxmlformats.org/officeDocument/2006/relationships/image" Target="media/image118.png"/><Relationship Id="rId171" Type="http://schemas.openxmlformats.org/officeDocument/2006/relationships/hyperlink" Target="https://gnps.ucsd.edu/ProteoSAFe/status.jsp?task=6cd1ad150059472e84f3f95842588083" TargetMode="External"/><Relationship Id="rId192" Type="http://schemas.openxmlformats.org/officeDocument/2006/relationships/hyperlink" Target="https://gnps.ucsd.edu/ProteoSAFe/status.jsp?task=ecdd1a94b14a4822a4466ca3c86b4bab" TargetMode="External"/><Relationship Id="rId206" Type="http://schemas.openxmlformats.org/officeDocument/2006/relationships/hyperlink" Target="https://gnps.ucsd.edu/ProteoSAFe/status.jsp?task=0506cb53c28b4aefa42281c3da9c0881" TargetMode="External"/><Relationship Id="rId227" Type="http://schemas.openxmlformats.org/officeDocument/2006/relationships/hyperlink" Target="https://gnps.ucsd.edu/ProteoSAFe/status.jsp?task=8cfb07ca20de46af9157341b39d25de5" TargetMode="External"/><Relationship Id="rId12" Type="http://schemas.openxmlformats.org/officeDocument/2006/relationships/hyperlink" Target="https://gnps.ucsd.edu/ProteoSAFe/status.jsp?task=b76893f1a07e4cb0be3b603c14cea1b2" TargetMode="External"/><Relationship Id="rId33" Type="http://schemas.openxmlformats.org/officeDocument/2006/relationships/hyperlink" Target="https://gnps.ucsd.edu/ProteoSAFe/status.jsp?task=00be111fe8a4480286ba1e1a24dcc814" TargetMode="External"/><Relationship Id="rId108" Type="http://schemas.openxmlformats.org/officeDocument/2006/relationships/image" Target="media/image76.png"/><Relationship Id="rId129" Type="http://schemas.openxmlformats.org/officeDocument/2006/relationships/image" Target="media/image97.svg"/><Relationship Id="rId54" Type="http://schemas.openxmlformats.org/officeDocument/2006/relationships/image" Target="media/image22.svg"/><Relationship Id="rId75" Type="http://schemas.openxmlformats.org/officeDocument/2006/relationships/image" Target="media/image43.png"/><Relationship Id="rId96" Type="http://schemas.openxmlformats.org/officeDocument/2006/relationships/image" Target="media/image64.png"/><Relationship Id="rId140" Type="http://schemas.openxmlformats.org/officeDocument/2006/relationships/image" Target="media/image108.png"/><Relationship Id="rId161" Type="http://schemas.openxmlformats.org/officeDocument/2006/relationships/image" Target="media/image129.svg"/><Relationship Id="rId182" Type="http://schemas.openxmlformats.org/officeDocument/2006/relationships/hyperlink" Target="https://gnps.ucsd.edu/ProteoSAFe/status.jsp?task=7279069e65014373ad790ecb80156672" TargetMode="External"/><Relationship Id="rId217" Type="http://schemas.openxmlformats.org/officeDocument/2006/relationships/hyperlink" Target="https://gnps.ucsd.edu/ProteoSAFe/status.jsp?task=f2352760f6db441f9bb0880f3ee98c26" TargetMode="External"/><Relationship Id="rId6" Type="http://schemas.openxmlformats.org/officeDocument/2006/relationships/footnotes" Target="footnotes.xml"/><Relationship Id="rId238" Type="http://schemas.openxmlformats.org/officeDocument/2006/relationships/image" Target="media/image139.svg"/><Relationship Id="rId23" Type="http://schemas.openxmlformats.org/officeDocument/2006/relationships/footer" Target="footer2.xml"/><Relationship Id="rId119" Type="http://schemas.openxmlformats.org/officeDocument/2006/relationships/image" Target="media/image87.svg"/><Relationship Id="rId44" Type="http://schemas.openxmlformats.org/officeDocument/2006/relationships/image" Target="media/image15.png"/><Relationship Id="rId65" Type="http://schemas.openxmlformats.org/officeDocument/2006/relationships/image" Target="media/image33.png"/><Relationship Id="rId86" Type="http://schemas.openxmlformats.org/officeDocument/2006/relationships/image" Target="media/image54.svg"/><Relationship Id="rId130" Type="http://schemas.openxmlformats.org/officeDocument/2006/relationships/image" Target="media/image98.png"/><Relationship Id="rId151" Type="http://schemas.openxmlformats.org/officeDocument/2006/relationships/image" Target="media/image119.svg"/><Relationship Id="rId172" Type="http://schemas.openxmlformats.org/officeDocument/2006/relationships/hyperlink" Target="https://gnps.ucsd.edu/ProteoSAFe/status.jsp?task=18ca57b672484cb2b4d89b5235afc96d" TargetMode="External"/><Relationship Id="rId193" Type="http://schemas.openxmlformats.org/officeDocument/2006/relationships/hyperlink" Target="https://gnps.ucsd.edu/ProteoSAFe/status.jsp?task=7e05ee9c085e492a871eb3bea1d24f50" TargetMode="External"/><Relationship Id="rId207" Type="http://schemas.openxmlformats.org/officeDocument/2006/relationships/hyperlink" Target="https://gnps.ucsd.edu/ProteoSAFe/status.jsp?task=7781fd3196b142e0975dbafc0f737392" TargetMode="External"/><Relationship Id="rId228" Type="http://schemas.openxmlformats.org/officeDocument/2006/relationships/hyperlink" Target="https://gnps.ucsd.edu/ProteoSAFe/status.jsp?task=43e8d71f3ad84cc0b7a7967e821a45a9" TargetMode="External"/><Relationship Id="rId13" Type="http://schemas.openxmlformats.org/officeDocument/2006/relationships/hyperlink" Target="https://gnps.ucsd.edu/ProteoSAFe/status.jsp?task=af7ec76b02ac482bbd2b7ee3a3ccbdc5" TargetMode="External"/><Relationship Id="rId109" Type="http://schemas.openxmlformats.org/officeDocument/2006/relationships/image" Target="media/image77.svg"/><Relationship Id="rId34" Type="http://schemas.openxmlformats.org/officeDocument/2006/relationships/hyperlink" Target="https://github.com/camilgosmanov/GNPS%20" TargetMode="External"/><Relationship Id="rId55" Type="http://schemas.openxmlformats.org/officeDocument/2006/relationships/image" Target="media/image23.png"/><Relationship Id="rId76" Type="http://schemas.openxmlformats.org/officeDocument/2006/relationships/image" Target="media/image44.svg"/><Relationship Id="rId97" Type="http://schemas.openxmlformats.org/officeDocument/2006/relationships/image" Target="media/image65.svg"/><Relationship Id="rId120" Type="http://schemas.openxmlformats.org/officeDocument/2006/relationships/image" Target="media/image88.png"/><Relationship Id="rId141" Type="http://schemas.openxmlformats.org/officeDocument/2006/relationships/image" Target="media/image109.svg"/><Relationship Id="rId7" Type="http://schemas.openxmlformats.org/officeDocument/2006/relationships/endnotes" Target="endnotes.xml"/><Relationship Id="rId162" Type="http://schemas.openxmlformats.org/officeDocument/2006/relationships/image" Target="media/image130.png"/><Relationship Id="rId183" Type="http://schemas.openxmlformats.org/officeDocument/2006/relationships/hyperlink" Target="https://gnps.ucsd.edu/ProteoSAFe/status.jsp?task=607f9ac84efe43a9a26a642389869975" TargetMode="External"/><Relationship Id="rId218" Type="http://schemas.openxmlformats.org/officeDocument/2006/relationships/hyperlink" Target="https://gnps.ucsd.edu/ProteoSAFe/status.jsp?task=d3840c7b8fd0438ab2518ebbabbf5b62" TargetMode="External"/><Relationship Id="rId239" Type="http://schemas.openxmlformats.org/officeDocument/2006/relationships/image" Target="media/image140.png"/><Relationship Id="rId24" Type="http://schemas.openxmlformats.org/officeDocument/2006/relationships/image" Target="media/image3.tiff"/><Relationship Id="rId45" Type="http://schemas.openxmlformats.org/officeDocument/2006/relationships/image" Target="media/image16.svg"/><Relationship Id="rId66" Type="http://schemas.openxmlformats.org/officeDocument/2006/relationships/image" Target="media/image34.svg"/><Relationship Id="rId87" Type="http://schemas.openxmlformats.org/officeDocument/2006/relationships/image" Target="media/image55.svg"/><Relationship Id="rId110" Type="http://schemas.openxmlformats.org/officeDocument/2006/relationships/image" Target="media/image78.png"/><Relationship Id="rId131" Type="http://schemas.openxmlformats.org/officeDocument/2006/relationships/image" Target="media/image99.svg"/><Relationship Id="rId152" Type="http://schemas.openxmlformats.org/officeDocument/2006/relationships/image" Target="media/image120.png"/><Relationship Id="rId173" Type="http://schemas.openxmlformats.org/officeDocument/2006/relationships/hyperlink" Target="https://gnps.ucsd.edu/ProteoSAFe/status.jsp?task=b93deedfe65c46de8b656c93f0e7f50d" TargetMode="External"/><Relationship Id="rId194" Type="http://schemas.openxmlformats.org/officeDocument/2006/relationships/hyperlink" Target="https://gnps.ucsd.edu/ProteoSAFe/status.jsp?task=5362cc2f00994eeba80d4bc3db7954e0" TargetMode="External"/><Relationship Id="rId208" Type="http://schemas.openxmlformats.org/officeDocument/2006/relationships/hyperlink" Target="https://gnps.ucsd.edu/ProteoSAFe/status.jsp?task=ca9486b15bc64efea62c56a21ff74057" TargetMode="External"/><Relationship Id="rId229" Type="http://schemas.openxmlformats.org/officeDocument/2006/relationships/hyperlink" Target="https://gnps.ucsd.edu/ProteoSAFe/status.jsp?task=496f2c33aaed4da0a9096623376f7afe" TargetMode="External"/><Relationship Id="rId240" Type="http://schemas.openxmlformats.org/officeDocument/2006/relationships/image" Target="media/image141.svg"/><Relationship Id="rId14" Type="http://schemas.openxmlformats.org/officeDocument/2006/relationships/hyperlink" Target="https://gnps.ucsd.edu/ProteoSAFe/status.jsp?task=db26beb51aff418585e6ad0b92f522b7" TargetMode="External"/><Relationship Id="rId35" Type="http://schemas.openxmlformats.org/officeDocument/2006/relationships/hyperlink" Target="https://github.com/camilgosmanov/Wisconsin-Diet-Project/blob/main/Diet_Project.R" TargetMode="External"/><Relationship Id="rId56" Type="http://schemas.openxmlformats.org/officeDocument/2006/relationships/image" Target="media/image24.svg"/><Relationship Id="rId77" Type="http://schemas.openxmlformats.org/officeDocument/2006/relationships/image" Target="media/image45.png"/><Relationship Id="rId100" Type="http://schemas.openxmlformats.org/officeDocument/2006/relationships/image" Target="media/image68.png"/><Relationship Id="rId8" Type="http://schemas.openxmlformats.org/officeDocument/2006/relationships/footer" Target="footer1.xml"/><Relationship Id="rId98" Type="http://schemas.openxmlformats.org/officeDocument/2006/relationships/image" Target="media/image66.png"/><Relationship Id="rId121" Type="http://schemas.openxmlformats.org/officeDocument/2006/relationships/image" Target="media/image89.svg"/><Relationship Id="rId142" Type="http://schemas.openxmlformats.org/officeDocument/2006/relationships/image" Target="media/image110.png"/><Relationship Id="rId163" Type="http://schemas.openxmlformats.org/officeDocument/2006/relationships/image" Target="media/image131.svg"/><Relationship Id="rId184" Type="http://schemas.openxmlformats.org/officeDocument/2006/relationships/hyperlink" Target="https://gnps.ucsd.edu/ProteoSAFe/status.jsp?task=a0be1a5518ef4594bd188eed2bd4e6d2" TargetMode="External"/><Relationship Id="rId219" Type="http://schemas.openxmlformats.org/officeDocument/2006/relationships/hyperlink" Target="https://gnps.ucsd.edu/ProteoSAFe/status.jsp?task=998632092bb7495692e01f7ba1be0248" TargetMode="External"/><Relationship Id="rId230" Type="http://schemas.openxmlformats.org/officeDocument/2006/relationships/hyperlink" Target="https://gnps.ucsd.edu/ProteoSAFe/status.jsp?task=9d7b3242ba97467f88cc7e2849a73c9a" TargetMode="External"/><Relationship Id="rId25" Type="http://schemas.openxmlformats.org/officeDocument/2006/relationships/image" Target="media/image4.tiff"/><Relationship Id="rId46" Type="http://schemas.openxmlformats.org/officeDocument/2006/relationships/image" Target="media/image17.png"/><Relationship Id="rId67" Type="http://schemas.openxmlformats.org/officeDocument/2006/relationships/image" Target="media/image35.png"/><Relationship Id="rId88" Type="http://schemas.openxmlformats.org/officeDocument/2006/relationships/image" Target="media/image56.png"/><Relationship Id="rId111" Type="http://schemas.openxmlformats.org/officeDocument/2006/relationships/image" Target="media/image79.svg"/><Relationship Id="rId132" Type="http://schemas.openxmlformats.org/officeDocument/2006/relationships/image" Target="media/image100.png"/><Relationship Id="rId153" Type="http://schemas.openxmlformats.org/officeDocument/2006/relationships/image" Target="media/image121.svg"/><Relationship Id="rId174" Type="http://schemas.openxmlformats.org/officeDocument/2006/relationships/hyperlink" Target="https://gnps.ucsd.edu/ProteoSAFe/status.jsp?task=1ce565d3cbe842b1a3f3b82de47606a7" TargetMode="External"/><Relationship Id="rId195" Type="http://schemas.openxmlformats.org/officeDocument/2006/relationships/hyperlink" Target="https://gnps.ucsd.edu/ProteoSAFe/status.jsp?task=da61e8f7b5e744ac99a829e23a067c71" TargetMode="External"/><Relationship Id="rId209" Type="http://schemas.openxmlformats.org/officeDocument/2006/relationships/hyperlink" Target="https://gnps.ucsd.edu/ProteoSAFe/status.jsp?task=e11d31d2e9294d8ea30cf1712be3184a" TargetMode="External"/><Relationship Id="rId220" Type="http://schemas.openxmlformats.org/officeDocument/2006/relationships/hyperlink" Target="https://gnps.ucsd.edu/ProteoSAFe/status.jsp?task=cf87c54ff6f14611846d4b9bb63f3b3b" TargetMode="External"/><Relationship Id="rId241" Type="http://schemas.openxmlformats.org/officeDocument/2006/relationships/image" Target="media/image142.png"/><Relationship Id="rId15" Type="http://schemas.openxmlformats.org/officeDocument/2006/relationships/hyperlink" Target="https://gnps.ucsd.edu/ProteoSAFe/status.jsp?task=4693e01a2af740ceb39bfb19720e798d" TargetMode="External"/><Relationship Id="rId36" Type="http://schemas.openxmlformats.org/officeDocument/2006/relationships/image" Target="media/image7.png"/><Relationship Id="rId57" Type="http://schemas.openxmlformats.org/officeDocument/2006/relationships/image" Target="media/image25.png"/><Relationship Id="rId10" Type="http://schemas.openxmlformats.org/officeDocument/2006/relationships/hyperlink" Target="https://inkscape.org/" TargetMode="External"/><Relationship Id="rId31" Type="http://schemas.openxmlformats.org/officeDocument/2006/relationships/hyperlink" Target="https://gnps.ucsd.edu/ProteoSAFe/status.jsp?task=3a3e85a2a63043d7a505547233ea9a91" TargetMode="External"/><Relationship Id="rId52" Type="http://schemas.openxmlformats.org/officeDocument/2006/relationships/hyperlink" Target="https://gnps.ucsd.edu/ProteoSAFe/status.jsp?task=%20cdffbdea152e456e9e06b2cf3de57ec5" TargetMode="External"/><Relationship Id="rId73" Type="http://schemas.openxmlformats.org/officeDocument/2006/relationships/image" Target="media/image41.png"/><Relationship Id="rId78" Type="http://schemas.openxmlformats.org/officeDocument/2006/relationships/image" Target="media/image46.svg"/><Relationship Id="rId94" Type="http://schemas.openxmlformats.org/officeDocument/2006/relationships/image" Target="media/image62.png"/><Relationship Id="rId99" Type="http://schemas.openxmlformats.org/officeDocument/2006/relationships/image" Target="media/image67.svg"/><Relationship Id="rId101" Type="http://schemas.openxmlformats.org/officeDocument/2006/relationships/image" Target="media/image69.svg"/><Relationship Id="rId122" Type="http://schemas.openxmlformats.org/officeDocument/2006/relationships/image" Target="media/image90.png"/><Relationship Id="rId143" Type="http://schemas.openxmlformats.org/officeDocument/2006/relationships/image" Target="media/image111.svg"/><Relationship Id="rId148" Type="http://schemas.openxmlformats.org/officeDocument/2006/relationships/image" Target="media/image116.png"/><Relationship Id="rId164" Type="http://schemas.openxmlformats.org/officeDocument/2006/relationships/image" Target="media/image132.png"/><Relationship Id="rId169" Type="http://schemas.openxmlformats.org/officeDocument/2006/relationships/image" Target="media/image137.svg"/><Relationship Id="rId185" Type="http://schemas.openxmlformats.org/officeDocument/2006/relationships/hyperlink" Target="https://gnps.ucsd.edu/ProteoSAFe/status.jsp?task=7a23704e8e7c40a7a18692083e5b00c2" TargetMode="External"/><Relationship Id="rId4" Type="http://schemas.openxmlformats.org/officeDocument/2006/relationships/settings" Target="settings.xml"/><Relationship Id="rId9" Type="http://schemas.openxmlformats.org/officeDocument/2006/relationships/image" Target="media/image1.emf"/><Relationship Id="rId180" Type="http://schemas.openxmlformats.org/officeDocument/2006/relationships/hyperlink" Target="https://gnps.ucsd.edu/ProteoSAFe/status.jsp?task=fb1b298fcd564e1594389d0207087f21" TargetMode="External"/><Relationship Id="rId210" Type="http://schemas.openxmlformats.org/officeDocument/2006/relationships/hyperlink" Target="https://gnps.ucsd.edu/ProteoSAFe/status.jsp?task=f40c0769edcc4b89b9e2f5507e2a976a" TargetMode="External"/><Relationship Id="rId215" Type="http://schemas.openxmlformats.org/officeDocument/2006/relationships/hyperlink" Target="https://gnps.ucsd.edu/ProteoSAFe/status.jsp?task=f691a68d2503426aa15f80cdd92f7d90" TargetMode="External"/><Relationship Id="rId236" Type="http://schemas.openxmlformats.org/officeDocument/2006/relationships/hyperlink" Target="https://gnps.ucsd.edu/ProteoSAFe/status.jsp?task=e314b28d4ff343ccbef124eb09ffb016" TargetMode="External"/><Relationship Id="rId26" Type="http://schemas.openxmlformats.org/officeDocument/2006/relationships/image" Target="media/image5.png"/><Relationship Id="rId231" Type="http://schemas.openxmlformats.org/officeDocument/2006/relationships/hyperlink" Target="https://gnps.ucsd.edu/ProteoSAFe/status.jsp?task=800acf7db452461c9d0a890f990ecd83" TargetMode="External"/><Relationship Id="rId47" Type="http://schemas.openxmlformats.org/officeDocument/2006/relationships/image" Target="media/image18.svg"/><Relationship Id="rId68" Type="http://schemas.openxmlformats.org/officeDocument/2006/relationships/image" Target="media/image36.svg"/><Relationship Id="rId89" Type="http://schemas.openxmlformats.org/officeDocument/2006/relationships/image" Target="media/image57.svg"/><Relationship Id="rId112" Type="http://schemas.openxmlformats.org/officeDocument/2006/relationships/image" Target="media/image80.png"/><Relationship Id="rId133" Type="http://schemas.openxmlformats.org/officeDocument/2006/relationships/image" Target="media/image101.svg"/><Relationship Id="rId154" Type="http://schemas.openxmlformats.org/officeDocument/2006/relationships/image" Target="media/image122.png"/><Relationship Id="rId175" Type="http://schemas.openxmlformats.org/officeDocument/2006/relationships/hyperlink" Target="https://gnps.ucsd.edu/ProteoSAFe/status.jsp?task=10153589289f45448d9db441d300369a" TargetMode="External"/><Relationship Id="rId196" Type="http://schemas.openxmlformats.org/officeDocument/2006/relationships/hyperlink" Target="https://gnps.ucsd.edu/ProteoSAFe/status.jsp?task=3772722082864e3db8ffa8be8d87607c" TargetMode="External"/><Relationship Id="rId200" Type="http://schemas.openxmlformats.org/officeDocument/2006/relationships/hyperlink" Target="https://gnps.ucsd.edu/ProteoSAFe/status.jsp?task=ae38f3f9e8864fb59edb943a8e514bae" TargetMode="External"/><Relationship Id="rId16" Type="http://schemas.openxmlformats.org/officeDocument/2006/relationships/hyperlink" Target="https://gnps.ucsd.edu/ProteoSAFe/status.jsp?task=220d1afd0a564ec1818601d3d928d27a" TargetMode="External"/><Relationship Id="rId221" Type="http://schemas.openxmlformats.org/officeDocument/2006/relationships/hyperlink" Target="https://gnps.ucsd.edu/ProteoSAFe/status.jsp?task=2bd41fcad2ef45be8edc72db760066f3" TargetMode="External"/><Relationship Id="rId242" Type="http://schemas.openxmlformats.org/officeDocument/2006/relationships/image" Target="media/image143.svg"/><Relationship Id="rId37" Type="http://schemas.openxmlformats.org/officeDocument/2006/relationships/image" Target="media/image8.svg"/><Relationship Id="rId58" Type="http://schemas.openxmlformats.org/officeDocument/2006/relationships/image" Target="media/image26.svg"/><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image" Target="media/image91.svg"/><Relationship Id="rId144" Type="http://schemas.openxmlformats.org/officeDocument/2006/relationships/image" Target="media/image112.png"/><Relationship Id="rId90" Type="http://schemas.openxmlformats.org/officeDocument/2006/relationships/image" Target="media/image58.png"/><Relationship Id="rId165" Type="http://schemas.openxmlformats.org/officeDocument/2006/relationships/image" Target="media/image133.svg"/><Relationship Id="rId186" Type="http://schemas.openxmlformats.org/officeDocument/2006/relationships/hyperlink" Target="https://gnps.ucsd.edu/ProteoSAFe/status.jsp?task=bce374bc20ef4f69ae9348a776d48e8f" TargetMode="External"/><Relationship Id="rId211" Type="http://schemas.openxmlformats.org/officeDocument/2006/relationships/hyperlink" Target="https://gnps.ucsd.edu/ProteoSAFe/status.jsp?task=ac1635b5525e4c48a6ba690f9bd314b1" TargetMode="External"/><Relationship Id="rId232" Type="http://schemas.openxmlformats.org/officeDocument/2006/relationships/hyperlink" Target="https://gnps.ucsd.edu/ProteoSAFe/status.jsp?task=8d5d343a95964faba3108020318837ff" TargetMode="External"/><Relationship Id="rId27" Type="http://schemas.openxmlformats.org/officeDocument/2006/relationships/image" Target="media/image6.svg"/><Relationship Id="rId48" Type="http://schemas.openxmlformats.org/officeDocument/2006/relationships/image" Target="media/image19.png"/><Relationship Id="rId69" Type="http://schemas.openxmlformats.org/officeDocument/2006/relationships/image" Target="media/image37.png"/><Relationship Id="rId113" Type="http://schemas.openxmlformats.org/officeDocument/2006/relationships/image" Target="media/image81.svg"/><Relationship Id="rId134" Type="http://schemas.openxmlformats.org/officeDocument/2006/relationships/image" Target="media/image102.png"/><Relationship Id="rId80" Type="http://schemas.openxmlformats.org/officeDocument/2006/relationships/image" Target="media/image48.svg"/><Relationship Id="rId155" Type="http://schemas.openxmlformats.org/officeDocument/2006/relationships/image" Target="media/image123.svg"/><Relationship Id="rId176" Type="http://schemas.openxmlformats.org/officeDocument/2006/relationships/hyperlink" Target="https://gnps.ucsd.edu/ProteoSAFe/status.jsp?task=d762844f0b444356a4958da4c610765f" TargetMode="External"/><Relationship Id="rId197" Type="http://schemas.openxmlformats.org/officeDocument/2006/relationships/hyperlink" Target="https://gnps.ucsd.edu/ProteoSAFe/status.jsp?task=4cd767ae2c9d4f2a815c2120511c9112" TargetMode="External"/><Relationship Id="rId201" Type="http://schemas.openxmlformats.org/officeDocument/2006/relationships/hyperlink" Target="https://gnps.ucsd.edu/ProteoSAFe/status.jsp?task=83c13baa8dc74e64b18653edd89e8567" TargetMode="External"/><Relationship Id="rId222" Type="http://schemas.openxmlformats.org/officeDocument/2006/relationships/hyperlink" Target="https://gnps.ucsd.edu/ProteoSAFe/status.jsp?task=e0bbeeff3ae04f2191b9bedf2ba39a22" TargetMode="External"/><Relationship Id="rId243" Type="http://schemas.openxmlformats.org/officeDocument/2006/relationships/image" Target="media/image144.png"/><Relationship Id="rId17" Type="http://schemas.openxmlformats.org/officeDocument/2006/relationships/hyperlink" Target="https://gnps.ucsd.edu/ProteoSAFe/status.jsp?task=d9686d483e5b496299a02750d6a3ec23" TargetMode="External"/><Relationship Id="rId38" Type="http://schemas.openxmlformats.org/officeDocument/2006/relationships/image" Target="media/image9.png"/><Relationship Id="rId59" Type="http://schemas.openxmlformats.org/officeDocument/2006/relationships/image" Target="media/image27.png"/><Relationship Id="rId103" Type="http://schemas.openxmlformats.org/officeDocument/2006/relationships/image" Target="media/image71.svg"/><Relationship Id="rId124" Type="http://schemas.openxmlformats.org/officeDocument/2006/relationships/image" Target="media/image92.png"/><Relationship Id="rId70" Type="http://schemas.openxmlformats.org/officeDocument/2006/relationships/image" Target="media/image38.svg"/><Relationship Id="rId91" Type="http://schemas.openxmlformats.org/officeDocument/2006/relationships/image" Target="media/image59.svg"/><Relationship Id="rId145" Type="http://schemas.openxmlformats.org/officeDocument/2006/relationships/image" Target="media/image113.svg"/><Relationship Id="rId166" Type="http://schemas.openxmlformats.org/officeDocument/2006/relationships/image" Target="media/image134.png"/><Relationship Id="rId187" Type="http://schemas.openxmlformats.org/officeDocument/2006/relationships/hyperlink" Target="https://gnps.ucsd.edu/ProteoSAFe/status.jsp?task=893f768b31de46f5903ad003dfdb2152" TargetMode="External"/><Relationship Id="rId1" Type="http://schemas.openxmlformats.org/officeDocument/2006/relationships/customXml" Target="../customXml/item1.xml"/><Relationship Id="rId212" Type="http://schemas.openxmlformats.org/officeDocument/2006/relationships/hyperlink" Target="https://gnps.ucsd.edu/ProteoSAFe/status.jsp?task=c7075cb219be444493020b722375a145" TargetMode="External"/><Relationship Id="rId233" Type="http://schemas.openxmlformats.org/officeDocument/2006/relationships/hyperlink" Target="https://gnps.ucsd.edu/ProteoSAFe/status.jsp?task=bdc20710970b4c47a99c178a1c2606e9" TargetMode="External"/><Relationship Id="rId28" Type="http://schemas.openxmlformats.org/officeDocument/2006/relationships/hyperlink" Target="http://bioinformatics.psb.ugent.be/%20webtools/Venn/" TargetMode="External"/><Relationship Id="rId49" Type="http://schemas.openxmlformats.org/officeDocument/2006/relationships/image" Target="media/image20.svg"/><Relationship Id="rId114" Type="http://schemas.openxmlformats.org/officeDocument/2006/relationships/image" Target="media/image82.png"/><Relationship Id="rId60" Type="http://schemas.openxmlformats.org/officeDocument/2006/relationships/image" Target="media/image28.svg"/><Relationship Id="rId81" Type="http://schemas.openxmlformats.org/officeDocument/2006/relationships/image" Target="media/image49.png"/><Relationship Id="rId135" Type="http://schemas.openxmlformats.org/officeDocument/2006/relationships/image" Target="media/image103.svg"/><Relationship Id="rId156" Type="http://schemas.openxmlformats.org/officeDocument/2006/relationships/image" Target="media/image124.png"/><Relationship Id="rId177" Type="http://schemas.openxmlformats.org/officeDocument/2006/relationships/hyperlink" Target="https://gnps.ucsd.edu/ProteoSAFe/status.jsp?task=fc336a940189429f85395db848e77d57" TargetMode="External"/><Relationship Id="rId198" Type="http://schemas.openxmlformats.org/officeDocument/2006/relationships/hyperlink" Target="https://gnps.ucsd.edu/ProteoSAFe/status.jsp?task=8dbc4bee89914f249f91ab103ac05d26" TargetMode="External"/><Relationship Id="rId202" Type="http://schemas.openxmlformats.org/officeDocument/2006/relationships/hyperlink" Target="https://gnps.ucsd.edu/ProteoSAFe/status.jsp?task=6389f1e6cf4f451893599372f2b682b5" TargetMode="External"/><Relationship Id="rId223" Type="http://schemas.openxmlformats.org/officeDocument/2006/relationships/hyperlink" Target="https://gnps.ucsd.edu/ProteoSAFe/status.jsp?task=50b42b413dbd4aa98745d64374ae8f6d" TargetMode="External"/><Relationship Id="rId244" Type="http://schemas.openxmlformats.org/officeDocument/2006/relationships/image" Target="media/image145.svg"/><Relationship Id="rId18" Type="http://schemas.openxmlformats.org/officeDocument/2006/relationships/hyperlink" Target="https://gnps.ucsd.edu/ProteoSAFe/status.jsp?task=45150c751a8e42eea51f3ea4936aee95" TargetMode="External"/><Relationship Id="rId39" Type="http://schemas.openxmlformats.org/officeDocument/2006/relationships/image" Target="media/image10.svg"/><Relationship Id="rId50" Type="http://schemas.openxmlformats.org/officeDocument/2006/relationships/hyperlink" Target="https://www.biorender.com/" TargetMode="External"/><Relationship Id="rId104" Type="http://schemas.openxmlformats.org/officeDocument/2006/relationships/image" Target="media/image72.png"/><Relationship Id="rId125" Type="http://schemas.openxmlformats.org/officeDocument/2006/relationships/image" Target="media/image93.svg"/><Relationship Id="rId146" Type="http://schemas.openxmlformats.org/officeDocument/2006/relationships/image" Target="media/image114.png"/><Relationship Id="rId167" Type="http://schemas.openxmlformats.org/officeDocument/2006/relationships/image" Target="media/image135.svg"/><Relationship Id="rId188" Type="http://schemas.openxmlformats.org/officeDocument/2006/relationships/hyperlink" Target="https://gnps.ucsd.edu/ProteoSAFe/status.jsp?task=09d5bd98a46145e982b986a34e4591ef" TargetMode="External"/><Relationship Id="rId71" Type="http://schemas.openxmlformats.org/officeDocument/2006/relationships/image" Target="media/image39.png"/><Relationship Id="rId92" Type="http://schemas.openxmlformats.org/officeDocument/2006/relationships/image" Target="media/image60.png"/><Relationship Id="rId213" Type="http://schemas.openxmlformats.org/officeDocument/2006/relationships/hyperlink" Target="https://gnps.ucsd.edu/ProteoSAFe/status.jsp?task=6c495d96e0bb4ceeb8c8821fd7a8f57b" TargetMode="External"/><Relationship Id="rId234" Type="http://schemas.openxmlformats.org/officeDocument/2006/relationships/hyperlink" Target="https://gnps.ucsd.edu/ProteoSAFe/status.jsp?task=2405d7eb22f64cceba64d6b43bd2f0aa" TargetMode="External"/><Relationship Id="rId2" Type="http://schemas.openxmlformats.org/officeDocument/2006/relationships/numbering" Target="numbering.xml"/><Relationship Id="rId29" Type="http://schemas.openxmlformats.org/officeDocument/2006/relationships/hyperlink" Target="https://github.com/camilgosmanov%20/GNPS" TargetMode="External"/><Relationship Id="rId40" Type="http://schemas.openxmlformats.org/officeDocument/2006/relationships/image" Target="media/image11.png"/><Relationship Id="rId115" Type="http://schemas.openxmlformats.org/officeDocument/2006/relationships/image" Target="media/image83.svg"/><Relationship Id="rId136" Type="http://schemas.openxmlformats.org/officeDocument/2006/relationships/image" Target="media/image104.png"/><Relationship Id="rId157" Type="http://schemas.openxmlformats.org/officeDocument/2006/relationships/image" Target="media/image125.svg"/><Relationship Id="rId178" Type="http://schemas.openxmlformats.org/officeDocument/2006/relationships/hyperlink" Target="https://gnps.ucsd.edu/ProteoSAFe/status.jsp?task=bf38c3b5b06c440ba397bbc10cf73601" TargetMode="External"/><Relationship Id="rId61" Type="http://schemas.openxmlformats.org/officeDocument/2006/relationships/image" Target="media/image29.png"/><Relationship Id="rId82" Type="http://schemas.openxmlformats.org/officeDocument/2006/relationships/image" Target="media/image50.svg"/><Relationship Id="rId199" Type="http://schemas.openxmlformats.org/officeDocument/2006/relationships/hyperlink" Target="https://gnps.ucsd.edu/ProteoSAFe/status.jsp?task=e4dd2264edc145dd9fd0525d9e8fbc4a" TargetMode="External"/><Relationship Id="rId203" Type="http://schemas.openxmlformats.org/officeDocument/2006/relationships/hyperlink" Target="https://gnps.ucsd.edu/ProteoSAFe/status.jsp?task=34e92fc0e92349189ec8234819dac5d8" TargetMode="External"/><Relationship Id="rId19" Type="http://schemas.openxmlformats.org/officeDocument/2006/relationships/hyperlink" Target="https://gnps.ucsd.edu/ProteoSAFe/status.jsp?task=45150c751a8e42eea51f3ea4936aee95" TargetMode="External"/><Relationship Id="rId224" Type="http://schemas.openxmlformats.org/officeDocument/2006/relationships/hyperlink" Target="https://gnps.ucsd.edu/ProteoSAFe/status.jsp?task=ab7256224a5240c38e829d2455ec4738" TargetMode="External"/><Relationship Id="rId245" Type="http://schemas.openxmlformats.org/officeDocument/2006/relationships/footer" Target="footer3.xml"/><Relationship Id="rId30" Type="http://schemas.openxmlformats.org/officeDocument/2006/relationships/hyperlink" Target="https://github.com/jhaffner09/Wisconsin_Diet_Project" TargetMode="External"/><Relationship Id="rId105" Type="http://schemas.openxmlformats.org/officeDocument/2006/relationships/image" Target="media/image73.svg"/><Relationship Id="rId126" Type="http://schemas.openxmlformats.org/officeDocument/2006/relationships/image" Target="media/image94.png"/><Relationship Id="rId147" Type="http://schemas.openxmlformats.org/officeDocument/2006/relationships/image" Target="media/image115.svg"/><Relationship Id="rId168" Type="http://schemas.openxmlformats.org/officeDocument/2006/relationships/image" Target="media/image136.png"/><Relationship Id="rId51" Type="http://schemas.openxmlformats.org/officeDocument/2006/relationships/hyperlink" Target="https://gnps.ucsd.edu/ProteoSAFe/status.jsp?task=%20677b1d18669f43428fb9b8a1e7fd126e" TargetMode="External"/><Relationship Id="rId72" Type="http://schemas.openxmlformats.org/officeDocument/2006/relationships/image" Target="media/image40.svg"/><Relationship Id="rId93" Type="http://schemas.openxmlformats.org/officeDocument/2006/relationships/image" Target="media/image61.svg"/><Relationship Id="rId189" Type="http://schemas.openxmlformats.org/officeDocument/2006/relationships/hyperlink" Target="https://gnps.ucsd.edu/ProteoSAFe/status.jsp?task=63a8a19454df4473b3bcbab0a4023ce9" TargetMode="External"/><Relationship Id="rId3" Type="http://schemas.openxmlformats.org/officeDocument/2006/relationships/styles" Target="styles.xml"/><Relationship Id="rId214" Type="http://schemas.openxmlformats.org/officeDocument/2006/relationships/hyperlink" Target="https://gnps.ucsd.edu/ProteoSAFe/status.jsp?task=b55595173aa54b429e8056f941be4d3a" TargetMode="External"/><Relationship Id="rId235" Type="http://schemas.openxmlformats.org/officeDocument/2006/relationships/hyperlink" Target="https://gnps.ucsd.edu/ProteoSAFe/status.jsp?task=da0037fa7f4c4f72860d39a4d7184402" TargetMode="External"/><Relationship Id="rId116" Type="http://schemas.openxmlformats.org/officeDocument/2006/relationships/image" Target="media/image84.png"/><Relationship Id="rId137" Type="http://schemas.openxmlformats.org/officeDocument/2006/relationships/image" Target="media/image105.svg"/><Relationship Id="rId158" Type="http://schemas.openxmlformats.org/officeDocument/2006/relationships/image" Target="media/image126.png"/><Relationship Id="rId20" Type="http://schemas.openxmlformats.org/officeDocument/2006/relationships/hyperlink" Target="https://gnps.ucsd.edu/ProteoSAFe/status.jsp?task=cc2c2d20b20d4bd28c22beb777d2782a" TargetMode="External"/><Relationship Id="rId41" Type="http://schemas.openxmlformats.org/officeDocument/2006/relationships/image" Target="media/image12.svg"/><Relationship Id="rId62" Type="http://schemas.openxmlformats.org/officeDocument/2006/relationships/image" Target="media/image30.svg"/><Relationship Id="rId83" Type="http://schemas.openxmlformats.org/officeDocument/2006/relationships/image" Target="media/image51.png"/><Relationship Id="rId179" Type="http://schemas.openxmlformats.org/officeDocument/2006/relationships/hyperlink" Target="https://gnps.ucsd.edu/ProteoSAFe/status.jsp?task=be50e86038794e1b9e0225109de958fa" TargetMode="External"/><Relationship Id="rId190" Type="http://schemas.openxmlformats.org/officeDocument/2006/relationships/hyperlink" Target="https://gnps.ucsd.edu/ProteoSAFe/status.jsp?task=c96f435a91334e1fb38bcd1d0c111a11" TargetMode="External"/><Relationship Id="rId204" Type="http://schemas.openxmlformats.org/officeDocument/2006/relationships/hyperlink" Target="https://gnps.ucsd.edu/ProteoSAFe/status.jsp?task=4dd48325058045aa862fbb31c1a8230d" TargetMode="External"/><Relationship Id="rId225" Type="http://schemas.openxmlformats.org/officeDocument/2006/relationships/hyperlink" Target="https://gnps.ucsd.edu/ProteoSAFe/status.jsp?task=f1259278f31d49e7965135dc4fd92f5f" TargetMode="External"/><Relationship Id="rId246" Type="http://schemas.openxmlformats.org/officeDocument/2006/relationships/fontTable" Target="fontTable.xml"/><Relationship Id="rId106" Type="http://schemas.openxmlformats.org/officeDocument/2006/relationships/image" Target="media/image74.png"/><Relationship Id="rId127" Type="http://schemas.openxmlformats.org/officeDocument/2006/relationships/image" Target="media/image95.svg"/></Relationships>
</file>

<file path=word/_rels/footnotes.xml.rels><?xml version="1.0" encoding="UTF-8" standalone="yes"?>
<Relationships xmlns="http://schemas.openxmlformats.org/package/2006/relationships"><Relationship Id="rId1" Type="http://schemas.openxmlformats.org/officeDocument/2006/relationships/hyperlink" Target="https://journals.asm.org/doi/10.1128/msystems.0071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D0181-522B-4327-8B38-23ABFFC6F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279</Pages>
  <Words>326064</Words>
  <Characters>1858567</Characters>
  <Application>Microsoft Office Word</Application>
  <DocSecurity>0</DocSecurity>
  <Lines>15488</Lines>
  <Paragraphs>4360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dc:creator>
  <cp:keywords/>
  <dc:description/>
  <cp:lastModifiedBy>Jacob</cp:lastModifiedBy>
  <cp:revision>3</cp:revision>
  <cp:lastPrinted>2023-05-05T18:28:00Z</cp:lastPrinted>
  <dcterms:created xsi:type="dcterms:W3CDTF">2023-05-05T18:28:00Z</dcterms:created>
  <dcterms:modified xsi:type="dcterms:W3CDTF">2023-05-05T18:32:00Z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4aea76a0-0ad5-33f8-bd09-5c806025ca8b</vt:lpwstr>
  </property>
  <property fmtid="{D5CDD505-2E9C-101B-9397-08002B2CF9AE}" pid="4" name="Mendeley Citation Style_1">
    <vt:lpwstr>https://csl.mendeley.com/styles/520151491/nature-2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http://www.zotero.org/styles/journal-of-archaeological-science</vt:lpwstr>
  </property>
  <property fmtid="{D5CDD505-2E9C-101B-9397-08002B2CF9AE}" pid="18" name="Mendeley Recent Style Name 6_1">
    <vt:lpwstr>Journal of Archaeological Science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https://csl.mendeley.com/styles/520151491/nature-2</vt:lpwstr>
  </property>
  <property fmtid="{D5CDD505-2E9C-101B-9397-08002B2CF9AE}" pid="24" name="Mendeley Recent Style Name 9_1">
    <vt:lpwstr>Nature - Jacob Haffner</vt:lpwstr>
  </property>
</Properties>
</file>